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42" w:rsidRDefault="00860D70" w:rsidP="00B66FDE">
      <w:r>
        <w:rPr>
          <w:rFonts w:eastAsiaTheme="majorEastAsia"/>
          <w:noProof/>
        </w:rPr>
        <w:drawing>
          <wp:inline distT="0" distB="0" distL="0" distR="0">
            <wp:extent cx="2895600" cy="904875"/>
            <wp:effectExtent l="0" t="0" r="0" b="0"/>
            <wp:docPr id="6" name="Obrázek 6" descr="K:\350\ŠABLONY\loga\Logo_MZP_RGB 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350\ŠABLONY\loga\Logo_MZP_RGB _72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904875"/>
                    </a:xfrm>
                    <a:prstGeom prst="rect">
                      <a:avLst/>
                    </a:prstGeom>
                    <a:noFill/>
                    <a:ln>
                      <a:noFill/>
                    </a:ln>
                  </pic:spPr>
                </pic:pic>
              </a:graphicData>
            </a:graphic>
          </wp:inline>
        </w:drawing>
      </w:r>
    </w:p>
    <w:sdt>
      <w:sdtPr>
        <w:id w:val="-1374072904"/>
        <w:docPartObj>
          <w:docPartGallery w:val="Cover Pages"/>
          <w:docPartUnique/>
        </w:docPartObj>
      </w:sdtPr>
      <w:sdtEndPr>
        <w:rPr>
          <w:rFonts w:eastAsiaTheme="majorEastAsia"/>
        </w:rPr>
      </w:sdtEndPr>
      <w:sdtContent>
        <w:p w:rsidR="007F7742" w:rsidRDefault="007F7742" w:rsidP="00B66FDE"/>
        <w:p w:rsidR="007F7742" w:rsidRDefault="007F7742" w:rsidP="00B66FDE"/>
        <w:p w:rsidR="007502C3" w:rsidRDefault="007502C3" w:rsidP="00B66FDE"/>
        <w:p w:rsidR="007502C3" w:rsidRDefault="007502C3" w:rsidP="00B66FDE"/>
        <w:p w:rsidR="007502C3" w:rsidRDefault="007502C3" w:rsidP="00B66FDE"/>
        <w:p w:rsidR="007502C3" w:rsidRDefault="007502C3" w:rsidP="00B66FDE"/>
        <w:p w:rsidR="007502C3" w:rsidRDefault="007502C3" w:rsidP="00B66FDE"/>
        <w:p w:rsidR="007502C3" w:rsidRDefault="007502C3" w:rsidP="00B66FDE"/>
        <w:p w:rsidR="007502C3" w:rsidRDefault="007502C3" w:rsidP="00B66FDE"/>
        <w:p w:rsidR="007502C3" w:rsidRDefault="00483FE2" w:rsidP="00B66FDE">
          <w:r w:rsidRPr="007502C3">
            <w:rPr>
              <w:rFonts w:eastAsiaTheme="majorEastAsia"/>
              <w:noProof/>
            </w:rPr>
            <w:drawing>
              <wp:inline distT="0" distB="0" distL="0" distR="0">
                <wp:extent cx="5759450" cy="766997"/>
                <wp:effectExtent l="19050" t="0" r="0" b="0"/>
                <wp:docPr id="7" name="Obrázek 7" descr="Mozaika_prezentac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60" name="Obrázek 7" descr="Mozaika_prezentace.jp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766997"/>
                        </a:xfrm>
                        <a:prstGeom prst="rect">
                          <a:avLst/>
                        </a:prstGeom>
                        <a:noFill/>
                        <a:ln>
                          <a:noFill/>
                        </a:ln>
                        <a:extLst/>
                      </pic:spPr>
                    </pic:pic>
                  </a:graphicData>
                </a:graphic>
              </wp:inline>
            </w:drawing>
          </w:r>
        </w:p>
        <w:p w:rsidR="007502C3" w:rsidRDefault="007502C3" w:rsidP="00B66FDE"/>
        <w:p w:rsidR="007502C3" w:rsidRDefault="007502C3" w:rsidP="00B66FDE"/>
        <w:p w:rsidR="00483FE2" w:rsidRDefault="00332B77" w:rsidP="00483FE2">
          <w:r>
            <w:rPr>
              <w:rFonts w:eastAsiaTheme="majorEastAsia"/>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9.8pt;margin-top:9.45pt;width:244.15pt;height:162.75pt;z-index:251661312;mso-width-relative:margin;mso-height-relative:margin" strokecolor="white [3212]">
                <v:textbox style="mso-next-textbox:#_x0000_s1026">
                  <w:txbxContent>
                    <w:p w:rsidR="00E640B5" w:rsidRPr="00483FE2" w:rsidRDefault="00E640B5" w:rsidP="001006A4">
                      <w:pPr>
                        <w:jc w:val="left"/>
                        <w:rPr>
                          <w:b/>
                          <w:color w:val="76923C" w:themeColor="accent3" w:themeShade="BF"/>
                          <w:sz w:val="48"/>
                          <w:szCs w:val="48"/>
                        </w:rPr>
                      </w:pPr>
                      <w:r w:rsidRPr="00483FE2">
                        <w:rPr>
                          <w:b/>
                          <w:color w:val="76923C" w:themeColor="accent3" w:themeShade="BF"/>
                          <w:sz w:val="48"/>
                          <w:szCs w:val="48"/>
                        </w:rPr>
                        <w:t>Operační program Životní prostředí 2014-2020</w:t>
                      </w:r>
                    </w:p>
                    <w:p w:rsidR="00E640B5" w:rsidRPr="00483FE2" w:rsidRDefault="00E640B5" w:rsidP="001006A4">
                      <w:pPr>
                        <w:jc w:val="left"/>
                        <w:rPr>
                          <w:b/>
                          <w:color w:val="76923C" w:themeColor="accent3" w:themeShade="BF"/>
                          <w:sz w:val="48"/>
                          <w:szCs w:val="48"/>
                        </w:rPr>
                      </w:pPr>
                      <w:r>
                        <w:rPr>
                          <w:b/>
                          <w:color w:val="76923C" w:themeColor="accent3" w:themeShade="BF"/>
                          <w:sz w:val="48"/>
                          <w:szCs w:val="48"/>
                        </w:rPr>
                        <w:t>V</w:t>
                      </w:r>
                      <w:r w:rsidRPr="00483FE2">
                        <w:rPr>
                          <w:b/>
                          <w:color w:val="76923C" w:themeColor="accent3" w:themeShade="BF"/>
                          <w:sz w:val="48"/>
                          <w:szCs w:val="48"/>
                        </w:rPr>
                        <w:t>erze</w:t>
                      </w:r>
                      <w:r>
                        <w:rPr>
                          <w:b/>
                          <w:color w:val="76923C" w:themeColor="accent3" w:themeShade="BF"/>
                          <w:sz w:val="48"/>
                          <w:szCs w:val="48"/>
                        </w:rPr>
                        <w:t xml:space="preserve"> 6</w:t>
                      </w:r>
                    </w:p>
                  </w:txbxContent>
                </v:textbox>
              </v:shape>
            </w:pict>
          </w:r>
        </w:p>
        <w:p w:rsidR="00483FE2" w:rsidRDefault="00483FE2" w:rsidP="00483FE2">
          <w:pPr>
            <w:rPr>
              <w:rFonts w:eastAsiaTheme="majorEastAsia"/>
            </w:rPr>
          </w:pPr>
        </w:p>
        <w:p w:rsidR="00483FE2" w:rsidRDefault="00483FE2" w:rsidP="00483FE2">
          <w:pPr>
            <w:rPr>
              <w:rFonts w:eastAsiaTheme="majorEastAsia"/>
            </w:rPr>
          </w:pPr>
        </w:p>
        <w:p w:rsidR="00483FE2" w:rsidRDefault="00483FE2" w:rsidP="00483FE2">
          <w:pPr>
            <w:rPr>
              <w:rFonts w:eastAsiaTheme="majorEastAsia"/>
            </w:rPr>
          </w:pPr>
        </w:p>
        <w:p w:rsidR="00483FE2" w:rsidRDefault="00483FE2" w:rsidP="00483FE2">
          <w:pPr>
            <w:rPr>
              <w:rFonts w:eastAsiaTheme="majorEastAsia"/>
            </w:rPr>
          </w:pPr>
        </w:p>
        <w:p w:rsidR="00483FE2" w:rsidRDefault="00483FE2" w:rsidP="00483FE2">
          <w:pPr>
            <w:rPr>
              <w:rFonts w:eastAsiaTheme="majorEastAsia"/>
            </w:rPr>
          </w:pPr>
        </w:p>
        <w:p w:rsidR="00483FE2" w:rsidRDefault="00332B77" w:rsidP="00483FE2">
          <w:pPr>
            <w:rPr>
              <w:rFonts w:eastAsiaTheme="majorEastAsia"/>
            </w:rPr>
          </w:pPr>
        </w:p>
      </w:sdtContent>
    </w:sdt>
    <w:p w:rsidR="000405B4" w:rsidRPr="00932A8A" w:rsidRDefault="00EB55DC" w:rsidP="00430AAF">
      <w:pPr>
        <w:outlineLvl w:val="0"/>
        <w:rPr>
          <w:noProof/>
        </w:rPr>
      </w:pPr>
      <w:bookmarkStart w:id="0" w:name="_Toc392150968"/>
      <w:r w:rsidRPr="00790708">
        <w:rPr>
          <w:b/>
          <w:color w:val="76923C" w:themeColor="accent3" w:themeShade="BF"/>
          <w:sz w:val="24"/>
        </w:rPr>
        <w:lastRenderedPageBreak/>
        <w:t>Obsah:</w:t>
      </w:r>
      <w:bookmarkEnd w:id="0"/>
      <w:r w:rsidR="000E07F9" w:rsidRPr="00932A8A">
        <w:fldChar w:fldCharType="begin"/>
      </w:r>
      <w:r w:rsidR="00CD6A31" w:rsidRPr="00932A8A">
        <w:instrText xml:space="preserve"> TOC \o "1-5" \h \z \u </w:instrText>
      </w:r>
      <w:r w:rsidR="000E07F9" w:rsidRPr="00932A8A">
        <w:fldChar w:fldCharType="separate"/>
      </w:r>
    </w:p>
    <w:p w:rsidR="000405B4" w:rsidRPr="00932A8A" w:rsidRDefault="00332B77">
      <w:pPr>
        <w:pStyle w:val="Obsah1"/>
        <w:rPr>
          <w:noProof/>
        </w:rPr>
      </w:pPr>
      <w:hyperlink w:anchor="_Toc392150968" w:history="1">
        <w:r w:rsidR="000405B4" w:rsidRPr="00932A8A">
          <w:rPr>
            <w:rStyle w:val="Hypertextovodkaz"/>
            <w:b/>
            <w:noProof/>
          </w:rPr>
          <w:t>Obsah:</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_Toc392150968 \h </w:instrText>
        </w:r>
        <w:r w:rsidR="000E07F9" w:rsidRPr="00932A8A">
          <w:rPr>
            <w:noProof/>
            <w:webHidden/>
          </w:rPr>
        </w:r>
        <w:r w:rsidR="000E07F9" w:rsidRPr="00932A8A">
          <w:rPr>
            <w:noProof/>
            <w:webHidden/>
          </w:rPr>
          <w:fldChar w:fldCharType="separate"/>
        </w:r>
        <w:r w:rsidR="000405B4" w:rsidRPr="00932A8A">
          <w:rPr>
            <w:noProof/>
            <w:webHidden/>
          </w:rPr>
          <w:t>2</w:t>
        </w:r>
        <w:r w:rsidR="000E07F9" w:rsidRPr="00932A8A">
          <w:rPr>
            <w:noProof/>
            <w:webHidden/>
          </w:rPr>
          <w:fldChar w:fldCharType="end"/>
        </w:r>
      </w:hyperlink>
    </w:p>
    <w:p w:rsidR="000405B4" w:rsidRPr="00932A8A" w:rsidRDefault="00332B77">
      <w:pPr>
        <w:pStyle w:val="Obsah1"/>
        <w:rPr>
          <w:noProof/>
        </w:rPr>
      </w:pPr>
      <w:hyperlink w:anchor="_Toc392150969" w:history="1">
        <w:r w:rsidR="000405B4" w:rsidRPr="00932A8A">
          <w:rPr>
            <w:rStyle w:val="Hypertextovodkaz"/>
            <w:noProof/>
          </w:rPr>
          <w:t>1</w:t>
        </w:r>
        <w:r w:rsidR="000405B4" w:rsidRPr="00932A8A">
          <w:rPr>
            <w:noProof/>
          </w:rPr>
          <w:tab/>
        </w:r>
        <w:r w:rsidR="000405B4" w:rsidRPr="00932A8A">
          <w:rPr>
            <w:rStyle w:val="Hypertextovodkaz"/>
            <w:noProof/>
          </w:rPr>
          <w:t>Strategie, na jejímž základě bude operační program přispívat ke strategii Unie pro inteligentní a udržitelný růst podporující začlenění a k dosažení hospodářské, sociální a územní soudržnosti</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_Toc392150969 \h </w:instrText>
        </w:r>
        <w:r w:rsidR="000E07F9" w:rsidRPr="00932A8A">
          <w:rPr>
            <w:noProof/>
            <w:webHidden/>
          </w:rPr>
        </w:r>
        <w:r w:rsidR="000E07F9" w:rsidRPr="00932A8A">
          <w:rPr>
            <w:noProof/>
            <w:webHidden/>
          </w:rPr>
          <w:fldChar w:fldCharType="separate"/>
        </w:r>
        <w:r w:rsidR="000405B4" w:rsidRPr="00932A8A">
          <w:rPr>
            <w:noProof/>
            <w:webHidden/>
          </w:rPr>
          <w:t>6</w:t>
        </w:r>
        <w:r w:rsidR="000E07F9" w:rsidRPr="00932A8A">
          <w:rPr>
            <w:noProof/>
            <w:webHidden/>
          </w:rPr>
          <w:fldChar w:fldCharType="end"/>
        </w:r>
      </w:hyperlink>
    </w:p>
    <w:p w:rsidR="000405B4" w:rsidRPr="00932A8A" w:rsidRDefault="00332B77">
      <w:pPr>
        <w:pStyle w:val="Obsah2"/>
        <w:rPr>
          <w:noProof/>
        </w:rPr>
      </w:pPr>
      <w:hyperlink w:anchor="_Toc392150970" w:history="1">
        <w:r w:rsidR="000405B4" w:rsidRPr="00932A8A">
          <w:rPr>
            <w:rStyle w:val="Hypertextovodkaz"/>
            <w:noProof/>
          </w:rPr>
          <w:t>1.1</w:t>
        </w:r>
        <w:r w:rsidR="000405B4" w:rsidRPr="00932A8A">
          <w:rPr>
            <w:noProof/>
          </w:rPr>
          <w:tab/>
        </w:r>
        <w:r w:rsidR="000405B4" w:rsidRPr="00932A8A">
          <w:rPr>
            <w:rStyle w:val="Hypertextovodkaz"/>
            <w:noProof/>
          </w:rPr>
          <w:t>Strategie, na jejímž základě bude operační program přispívat ke strategii Unie pro inteligentní a udržitelný růst podporující začlenění a k dosažení hospodářské, sociální a územní soudržnosti</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_Toc392150970 \h </w:instrText>
        </w:r>
        <w:r w:rsidR="000E07F9" w:rsidRPr="00932A8A">
          <w:rPr>
            <w:noProof/>
            <w:webHidden/>
          </w:rPr>
        </w:r>
        <w:r w:rsidR="000E07F9" w:rsidRPr="00932A8A">
          <w:rPr>
            <w:noProof/>
            <w:webHidden/>
          </w:rPr>
          <w:fldChar w:fldCharType="separate"/>
        </w:r>
        <w:r w:rsidR="000405B4" w:rsidRPr="00932A8A">
          <w:rPr>
            <w:noProof/>
            <w:webHidden/>
          </w:rPr>
          <w:t>6</w:t>
        </w:r>
        <w:r w:rsidR="000E07F9" w:rsidRPr="00932A8A">
          <w:rPr>
            <w:noProof/>
            <w:webHidden/>
          </w:rPr>
          <w:fldChar w:fldCharType="end"/>
        </w:r>
      </w:hyperlink>
    </w:p>
    <w:p w:rsidR="000405B4" w:rsidRPr="00932A8A" w:rsidRDefault="00332B77">
      <w:pPr>
        <w:pStyle w:val="Obsah3"/>
        <w:rPr>
          <w:noProof/>
        </w:rPr>
      </w:pPr>
      <w:hyperlink w:anchor="_Toc392150971" w:history="1">
        <w:r w:rsidR="000405B4" w:rsidRPr="00932A8A">
          <w:rPr>
            <w:rStyle w:val="Hypertextovodkaz"/>
            <w:rFonts w:eastAsia="Times New Roman"/>
            <w:noProof/>
          </w:rPr>
          <w:t>1.1.1</w:t>
        </w:r>
        <w:r w:rsidR="000405B4" w:rsidRPr="00932A8A">
          <w:rPr>
            <w:noProof/>
          </w:rPr>
          <w:tab/>
        </w:r>
        <w:r w:rsidR="000405B4" w:rsidRPr="00932A8A">
          <w:rPr>
            <w:rStyle w:val="Hypertextovodkaz"/>
            <w:rFonts w:eastAsia="Times New Roman"/>
            <w:noProof/>
          </w:rPr>
          <w:t xml:space="preserve">Strategický </w:t>
        </w:r>
        <w:r w:rsidR="000405B4" w:rsidRPr="00932A8A">
          <w:rPr>
            <w:rStyle w:val="Hypertextovodkaz"/>
            <w:noProof/>
          </w:rPr>
          <w:t>rámec</w:t>
        </w:r>
        <w:r w:rsidR="000405B4" w:rsidRPr="00932A8A">
          <w:rPr>
            <w:rStyle w:val="Hypertextovodkaz"/>
            <w:rFonts w:eastAsia="Times New Roman"/>
            <w:noProof/>
          </w:rPr>
          <w:t xml:space="preserve"> OP ŽP 2014-2020</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_Toc392150971 \h </w:instrText>
        </w:r>
        <w:r w:rsidR="000E07F9" w:rsidRPr="00932A8A">
          <w:rPr>
            <w:noProof/>
            <w:webHidden/>
          </w:rPr>
        </w:r>
        <w:r w:rsidR="000E07F9" w:rsidRPr="00932A8A">
          <w:rPr>
            <w:noProof/>
            <w:webHidden/>
          </w:rPr>
          <w:fldChar w:fldCharType="separate"/>
        </w:r>
        <w:r w:rsidR="000405B4" w:rsidRPr="00932A8A">
          <w:rPr>
            <w:noProof/>
            <w:webHidden/>
          </w:rPr>
          <w:t>7</w:t>
        </w:r>
        <w:r w:rsidR="000E07F9" w:rsidRPr="00932A8A">
          <w:rPr>
            <w:noProof/>
            <w:webHidden/>
          </w:rPr>
          <w:fldChar w:fldCharType="end"/>
        </w:r>
      </w:hyperlink>
    </w:p>
    <w:p w:rsidR="000405B4" w:rsidRPr="00932A8A" w:rsidRDefault="00332B77">
      <w:pPr>
        <w:pStyle w:val="Obsah3"/>
        <w:rPr>
          <w:noProof/>
        </w:rPr>
      </w:pPr>
      <w:hyperlink w:anchor="_Toc392150972" w:history="1">
        <w:r w:rsidR="000405B4" w:rsidRPr="00932A8A">
          <w:rPr>
            <w:rStyle w:val="Hypertextovodkaz"/>
            <w:rFonts w:eastAsia="Times New Roman"/>
            <w:noProof/>
          </w:rPr>
          <w:t>1.1.2</w:t>
        </w:r>
        <w:r w:rsidR="000405B4" w:rsidRPr="00932A8A">
          <w:rPr>
            <w:noProof/>
          </w:rPr>
          <w:tab/>
        </w:r>
        <w:r w:rsidR="000405B4" w:rsidRPr="00932A8A">
          <w:rPr>
            <w:rStyle w:val="Hypertextovodkaz"/>
            <w:rFonts w:eastAsia="Times New Roman"/>
            <w:noProof/>
          </w:rPr>
          <w:t>Analýza problémů a identifikace příčin a potřeb v oblasti životního prostředí v</w:t>
        </w:r>
        <w:r w:rsidR="00932A8A">
          <w:rPr>
            <w:rStyle w:val="Hypertextovodkaz"/>
            <w:rFonts w:eastAsia="Times New Roman"/>
            <w:noProof/>
          </w:rPr>
          <w:t> </w:t>
        </w:r>
        <w:r w:rsidR="000405B4" w:rsidRPr="00932A8A">
          <w:rPr>
            <w:rStyle w:val="Hypertextovodkaz"/>
            <w:rFonts w:eastAsia="Times New Roman"/>
            <w:noProof/>
          </w:rPr>
          <w:t>ČR</w:t>
        </w:r>
        <w:r w:rsidR="00932A8A">
          <w:rPr>
            <w:rStyle w:val="Hypertextovodkaz"/>
            <w:rFonts w:eastAsia="Times New Roman"/>
            <w:noProof/>
          </w:rPr>
          <w:t>………</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_Toc392150972 \h </w:instrText>
        </w:r>
        <w:r w:rsidR="000E07F9" w:rsidRPr="00932A8A">
          <w:rPr>
            <w:noProof/>
            <w:webHidden/>
          </w:rPr>
        </w:r>
        <w:r w:rsidR="000E07F9" w:rsidRPr="00932A8A">
          <w:rPr>
            <w:noProof/>
            <w:webHidden/>
          </w:rPr>
          <w:fldChar w:fldCharType="separate"/>
        </w:r>
        <w:r w:rsidR="000405B4" w:rsidRPr="00932A8A">
          <w:rPr>
            <w:noProof/>
            <w:webHidden/>
          </w:rPr>
          <w:t>9</w:t>
        </w:r>
        <w:r w:rsidR="000E07F9" w:rsidRPr="00932A8A">
          <w:rPr>
            <w:noProof/>
            <w:webHidden/>
          </w:rPr>
          <w:fldChar w:fldCharType="end"/>
        </w:r>
      </w:hyperlink>
    </w:p>
    <w:p w:rsidR="000405B4" w:rsidRPr="00932A8A" w:rsidRDefault="00332B77">
      <w:pPr>
        <w:pStyle w:val="Obsah2"/>
        <w:rPr>
          <w:noProof/>
        </w:rPr>
      </w:pPr>
      <w:hyperlink w:anchor="_Toc392150973" w:history="1">
        <w:r w:rsidR="000405B4" w:rsidRPr="00932A8A">
          <w:rPr>
            <w:rStyle w:val="Hypertextovodkaz"/>
            <w:noProof/>
          </w:rPr>
          <w:t>1.2</w:t>
        </w:r>
        <w:r w:rsidR="000405B4" w:rsidRPr="00932A8A">
          <w:rPr>
            <w:noProof/>
          </w:rPr>
          <w:tab/>
        </w:r>
        <w:r w:rsidR="000405B4" w:rsidRPr="00932A8A">
          <w:rPr>
            <w:rStyle w:val="Hypertextovodkaz"/>
            <w:noProof/>
          </w:rPr>
          <w:t>Odůvodnění přidělení finančních prostředků</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_Toc392150973 \h </w:instrText>
        </w:r>
        <w:r w:rsidR="000E07F9" w:rsidRPr="00932A8A">
          <w:rPr>
            <w:noProof/>
            <w:webHidden/>
          </w:rPr>
        </w:r>
        <w:r w:rsidR="000E07F9" w:rsidRPr="00932A8A">
          <w:rPr>
            <w:noProof/>
            <w:webHidden/>
          </w:rPr>
          <w:fldChar w:fldCharType="separate"/>
        </w:r>
        <w:r w:rsidR="000405B4" w:rsidRPr="00932A8A">
          <w:rPr>
            <w:noProof/>
            <w:webHidden/>
          </w:rPr>
          <w:t>38</w:t>
        </w:r>
        <w:r w:rsidR="000E07F9" w:rsidRPr="00932A8A">
          <w:rPr>
            <w:noProof/>
            <w:webHidden/>
          </w:rPr>
          <w:fldChar w:fldCharType="end"/>
        </w:r>
      </w:hyperlink>
    </w:p>
    <w:p w:rsidR="000405B4" w:rsidRPr="00932A8A" w:rsidRDefault="00332B77">
      <w:pPr>
        <w:pStyle w:val="Obsah1"/>
        <w:rPr>
          <w:noProof/>
        </w:rPr>
      </w:pPr>
      <w:hyperlink w:anchor="_Toc392150974" w:history="1">
        <w:r w:rsidR="000405B4" w:rsidRPr="00932A8A">
          <w:rPr>
            <w:rStyle w:val="Hypertextovodkaz"/>
            <w:noProof/>
          </w:rPr>
          <w:t>2</w:t>
        </w:r>
        <w:r w:rsidR="000405B4" w:rsidRPr="00932A8A">
          <w:rPr>
            <w:noProof/>
          </w:rPr>
          <w:tab/>
        </w:r>
        <w:r w:rsidR="000405B4" w:rsidRPr="00932A8A">
          <w:rPr>
            <w:rStyle w:val="Hypertextovodkaz"/>
            <w:noProof/>
          </w:rPr>
          <w:t>POPIS PRIORITNÍCH OS OPERAČNÍHO PROGRAMU ŽIVOTNÍ PROSTŘEDÍ 2014–2020</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_Toc392150974 \h </w:instrText>
        </w:r>
        <w:r w:rsidR="000E07F9" w:rsidRPr="00932A8A">
          <w:rPr>
            <w:noProof/>
            <w:webHidden/>
          </w:rPr>
        </w:r>
        <w:r w:rsidR="000E07F9" w:rsidRPr="00932A8A">
          <w:rPr>
            <w:noProof/>
            <w:webHidden/>
          </w:rPr>
          <w:fldChar w:fldCharType="separate"/>
        </w:r>
        <w:r w:rsidR="000405B4" w:rsidRPr="00932A8A">
          <w:rPr>
            <w:noProof/>
            <w:webHidden/>
          </w:rPr>
          <w:t>45</w:t>
        </w:r>
        <w:r w:rsidR="000E07F9" w:rsidRPr="00932A8A">
          <w:rPr>
            <w:noProof/>
            <w:webHidden/>
          </w:rPr>
          <w:fldChar w:fldCharType="end"/>
        </w:r>
      </w:hyperlink>
    </w:p>
    <w:p w:rsidR="000405B4" w:rsidRPr="00932A8A" w:rsidRDefault="00332B77">
      <w:pPr>
        <w:pStyle w:val="Obsah2"/>
        <w:rPr>
          <w:noProof/>
        </w:rPr>
      </w:pPr>
      <w:hyperlink w:anchor="_Toc392150975" w:history="1">
        <w:r w:rsidR="000405B4" w:rsidRPr="00932A8A">
          <w:rPr>
            <w:rStyle w:val="Hypertextovodkaz"/>
            <w:noProof/>
          </w:rPr>
          <w:t>2.1</w:t>
        </w:r>
        <w:r w:rsidR="000405B4" w:rsidRPr="00932A8A">
          <w:rPr>
            <w:noProof/>
          </w:rPr>
          <w:tab/>
        </w:r>
        <w:r w:rsidR="000405B4" w:rsidRPr="00932A8A">
          <w:rPr>
            <w:rStyle w:val="Hypertextovodkaz"/>
            <w:noProof/>
          </w:rPr>
          <w:t>PRIORITNÍ OSA 1: Zlepšování kvality vody a snižování rizika povodní</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_Toc392150975 \h </w:instrText>
        </w:r>
        <w:r w:rsidR="000E07F9" w:rsidRPr="00932A8A">
          <w:rPr>
            <w:noProof/>
            <w:webHidden/>
          </w:rPr>
        </w:r>
        <w:r w:rsidR="000E07F9" w:rsidRPr="00932A8A">
          <w:rPr>
            <w:noProof/>
            <w:webHidden/>
          </w:rPr>
          <w:fldChar w:fldCharType="separate"/>
        </w:r>
        <w:r w:rsidR="000405B4" w:rsidRPr="00932A8A">
          <w:rPr>
            <w:noProof/>
            <w:webHidden/>
          </w:rPr>
          <w:t>45</w:t>
        </w:r>
        <w:r w:rsidR="000E07F9" w:rsidRPr="00932A8A">
          <w:rPr>
            <w:noProof/>
            <w:webHidden/>
          </w:rPr>
          <w:fldChar w:fldCharType="end"/>
        </w:r>
      </w:hyperlink>
    </w:p>
    <w:p w:rsidR="000405B4" w:rsidRPr="00932A8A" w:rsidRDefault="00332B77">
      <w:pPr>
        <w:pStyle w:val="Obsah3"/>
        <w:rPr>
          <w:noProof/>
        </w:rPr>
      </w:pPr>
      <w:hyperlink w:anchor="_Toc392150976" w:history="1">
        <w:r w:rsidR="000405B4" w:rsidRPr="00932A8A">
          <w:rPr>
            <w:rStyle w:val="Hypertextovodkaz"/>
            <w:noProof/>
          </w:rPr>
          <w:t>2.1.1</w:t>
        </w:r>
        <w:r w:rsidR="000405B4" w:rsidRPr="00932A8A">
          <w:rPr>
            <w:noProof/>
          </w:rPr>
          <w:tab/>
        </w:r>
        <w:r w:rsidR="000405B4" w:rsidRPr="00932A8A">
          <w:rPr>
            <w:rStyle w:val="Hypertextovodkaz"/>
            <w:noProof/>
          </w:rPr>
          <w:t>Odůvodnění pro vytvoření prioritní osy, která zahrnuje více než jednu kategorii regionů nebo více než jeden tematický cíl či fond</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_Toc392150976 \h </w:instrText>
        </w:r>
        <w:r w:rsidR="000E07F9" w:rsidRPr="00932A8A">
          <w:rPr>
            <w:noProof/>
            <w:webHidden/>
          </w:rPr>
        </w:r>
        <w:r w:rsidR="000E07F9" w:rsidRPr="00932A8A">
          <w:rPr>
            <w:noProof/>
            <w:webHidden/>
          </w:rPr>
          <w:fldChar w:fldCharType="separate"/>
        </w:r>
        <w:r w:rsidR="000405B4" w:rsidRPr="00932A8A">
          <w:rPr>
            <w:noProof/>
            <w:webHidden/>
          </w:rPr>
          <w:t>45</w:t>
        </w:r>
        <w:r w:rsidR="000E07F9" w:rsidRPr="00932A8A">
          <w:rPr>
            <w:noProof/>
            <w:webHidden/>
          </w:rPr>
          <w:fldChar w:fldCharType="end"/>
        </w:r>
      </w:hyperlink>
    </w:p>
    <w:p w:rsidR="000405B4" w:rsidRPr="00932A8A" w:rsidRDefault="00332B77">
      <w:pPr>
        <w:pStyle w:val="Obsah3"/>
        <w:rPr>
          <w:noProof/>
        </w:rPr>
      </w:pPr>
      <w:hyperlink w:anchor="_Toc392150977" w:history="1">
        <w:r w:rsidR="000405B4" w:rsidRPr="00932A8A">
          <w:rPr>
            <w:rStyle w:val="Hypertextovodkaz"/>
            <w:noProof/>
          </w:rPr>
          <w:t>2.1.2</w:t>
        </w:r>
        <w:r w:rsidR="000405B4" w:rsidRPr="00932A8A">
          <w:rPr>
            <w:noProof/>
          </w:rPr>
          <w:tab/>
        </w:r>
        <w:r w:rsidR="000405B4" w:rsidRPr="00932A8A">
          <w:rPr>
            <w:rStyle w:val="Hypertextovodkaz"/>
            <w:noProof/>
          </w:rPr>
          <w:t>Fond, kategorie regionů a základ pro výpočet podpory Unie</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_Toc392150977 \h </w:instrText>
        </w:r>
        <w:r w:rsidR="000E07F9" w:rsidRPr="00932A8A">
          <w:rPr>
            <w:noProof/>
            <w:webHidden/>
          </w:rPr>
        </w:r>
        <w:r w:rsidR="000E07F9" w:rsidRPr="00932A8A">
          <w:rPr>
            <w:noProof/>
            <w:webHidden/>
          </w:rPr>
          <w:fldChar w:fldCharType="separate"/>
        </w:r>
        <w:r w:rsidR="000405B4" w:rsidRPr="00932A8A">
          <w:rPr>
            <w:noProof/>
            <w:webHidden/>
          </w:rPr>
          <w:t>46</w:t>
        </w:r>
        <w:r w:rsidR="000E07F9" w:rsidRPr="00932A8A">
          <w:rPr>
            <w:noProof/>
            <w:webHidden/>
          </w:rPr>
          <w:fldChar w:fldCharType="end"/>
        </w:r>
      </w:hyperlink>
    </w:p>
    <w:p w:rsidR="000405B4" w:rsidRPr="00932A8A" w:rsidRDefault="00332B77">
      <w:pPr>
        <w:pStyle w:val="Obsah3"/>
        <w:rPr>
          <w:noProof/>
        </w:rPr>
      </w:pPr>
      <w:hyperlink w:anchor="_Toc392150978" w:history="1">
        <w:r w:rsidR="000405B4" w:rsidRPr="00932A8A">
          <w:rPr>
            <w:rStyle w:val="Hypertextovodkaz"/>
            <w:noProof/>
          </w:rPr>
          <w:t>2.1.3</w:t>
        </w:r>
        <w:r w:rsidR="000405B4" w:rsidRPr="00932A8A">
          <w:rPr>
            <w:noProof/>
          </w:rPr>
          <w:tab/>
        </w:r>
        <w:r w:rsidR="000405B4" w:rsidRPr="00932A8A">
          <w:rPr>
            <w:rStyle w:val="Hypertextovodkaz"/>
            <w:noProof/>
          </w:rPr>
          <w:t xml:space="preserve">INVESTIČNÍ PRIORITA 1 prioritní osy 1: Zachování a ochrana životního prostředí a podporování účinného využívání zdrojů: investicemi do vodního hospodářství s cílem plnit požadavky </w:t>
        </w:r>
        <w:r w:rsidR="000405B4" w:rsidRPr="00932A8A">
          <w:rPr>
            <w:rStyle w:val="Hypertextovodkaz"/>
            <w:i/>
            <w:noProof/>
          </w:rPr>
          <w:t>acquis</w:t>
        </w:r>
        <w:r w:rsidR="000405B4" w:rsidRPr="00932A8A">
          <w:rPr>
            <w:rStyle w:val="Hypertextovodkaz"/>
            <w:noProof/>
          </w:rPr>
          <w:t xml:space="preserve"> Unie v oblasti životního prostředí a řešením potřeb investic, které podle zjištění členských států přesahují rámec těchto požadavků (Dle Nařízení Evropského parlamentu a Rady (EU) č.1300/2013, čl. 4 odst. c) písm. ii))</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_Toc392150978 \h </w:instrText>
        </w:r>
        <w:r w:rsidR="000E07F9" w:rsidRPr="00932A8A">
          <w:rPr>
            <w:noProof/>
            <w:webHidden/>
          </w:rPr>
        </w:r>
        <w:r w:rsidR="000E07F9" w:rsidRPr="00932A8A">
          <w:rPr>
            <w:noProof/>
            <w:webHidden/>
          </w:rPr>
          <w:fldChar w:fldCharType="separate"/>
        </w:r>
        <w:r w:rsidR="000405B4" w:rsidRPr="00932A8A">
          <w:rPr>
            <w:noProof/>
            <w:webHidden/>
          </w:rPr>
          <w:t>46</w:t>
        </w:r>
        <w:r w:rsidR="000E07F9" w:rsidRPr="00932A8A">
          <w:rPr>
            <w:noProof/>
            <w:webHidden/>
          </w:rPr>
          <w:fldChar w:fldCharType="end"/>
        </w:r>
      </w:hyperlink>
    </w:p>
    <w:p w:rsidR="000405B4" w:rsidRPr="00932A8A" w:rsidRDefault="00332B77">
      <w:pPr>
        <w:pStyle w:val="Obsah4"/>
        <w:rPr>
          <w:rFonts w:ascii="Cambria" w:hAnsi="Cambria"/>
          <w:noProof/>
        </w:rPr>
      </w:pPr>
      <w:hyperlink w:anchor="_Toc392150979" w:history="1">
        <w:r w:rsidR="000405B4" w:rsidRPr="00932A8A">
          <w:rPr>
            <w:rStyle w:val="Hypertextovodkaz"/>
            <w:rFonts w:ascii="Cambria" w:hAnsi="Cambria"/>
            <w:noProof/>
          </w:rPr>
          <w:t>2.1.3.1</w:t>
        </w:r>
        <w:r w:rsidR="000405B4" w:rsidRPr="00932A8A">
          <w:rPr>
            <w:rFonts w:ascii="Cambria" w:hAnsi="Cambria"/>
            <w:noProof/>
          </w:rPr>
          <w:tab/>
        </w:r>
        <w:r w:rsidR="000405B4" w:rsidRPr="00932A8A">
          <w:rPr>
            <w:rStyle w:val="Hypertextovodkaz"/>
            <w:rFonts w:ascii="Cambria" w:hAnsi="Cambria"/>
            <w:noProof/>
          </w:rPr>
          <w:t>Specifické cíle odpovídající investiční prioritě a očekávané výsledky</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_Toc392150979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46</w:t>
        </w:r>
        <w:r w:rsidR="000E07F9" w:rsidRPr="00932A8A">
          <w:rPr>
            <w:rFonts w:ascii="Cambria" w:hAnsi="Cambria"/>
            <w:noProof/>
            <w:webHidden/>
          </w:rPr>
          <w:fldChar w:fldCharType="end"/>
        </w:r>
      </w:hyperlink>
    </w:p>
    <w:p w:rsidR="000405B4" w:rsidRPr="00932A8A" w:rsidRDefault="00332B77">
      <w:pPr>
        <w:pStyle w:val="Obsah4"/>
        <w:rPr>
          <w:rFonts w:ascii="Cambria" w:hAnsi="Cambria"/>
          <w:noProof/>
        </w:rPr>
      </w:pPr>
      <w:hyperlink w:anchor="_Toc392150980" w:history="1">
        <w:r w:rsidR="000405B4" w:rsidRPr="00932A8A">
          <w:rPr>
            <w:rStyle w:val="Hypertextovodkaz"/>
            <w:rFonts w:ascii="Cambria" w:hAnsi="Cambria"/>
            <w:noProof/>
          </w:rPr>
          <w:t>2.1.3.2</w:t>
        </w:r>
        <w:r w:rsidR="000405B4" w:rsidRPr="00932A8A">
          <w:rPr>
            <w:rFonts w:ascii="Cambria" w:hAnsi="Cambria"/>
            <w:noProof/>
          </w:rPr>
          <w:tab/>
        </w:r>
        <w:r w:rsidR="000405B4" w:rsidRPr="00932A8A">
          <w:rPr>
            <w:rStyle w:val="Hypertextovodkaz"/>
            <w:rFonts w:ascii="Cambria" w:hAnsi="Cambria"/>
            <w:noProof/>
          </w:rPr>
          <w:t>Opatření, jež má být podpořeno v rámci investiční priority</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_Toc392150980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49</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0981" w:history="1">
        <w:r w:rsidR="000405B4" w:rsidRPr="00932A8A">
          <w:rPr>
            <w:rStyle w:val="Hypertextovodkaz"/>
            <w:rFonts w:ascii="Cambria" w:hAnsi="Cambria"/>
            <w:noProof/>
          </w:rPr>
          <w:t>2.1.3.2.1</w:t>
        </w:r>
        <w:r w:rsidR="000405B4" w:rsidRPr="00932A8A">
          <w:rPr>
            <w:rFonts w:ascii="Cambria" w:hAnsi="Cambria"/>
            <w:noProof/>
          </w:rPr>
          <w:tab/>
        </w:r>
        <w:r w:rsidR="000405B4" w:rsidRPr="00932A8A">
          <w:rPr>
            <w:rStyle w:val="Hypertextovodkaz"/>
            <w:rFonts w:ascii="Cambria" w:hAnsi="Cambria"/>
            <w:noProof/>
          </w:rPr>
          <w:t>Popis typů a příkladů opatření, které mají být podporována, a jejich očekávaný přínos k plnění specifických cílů, případně včetně určení hlavních cílových skupin, konkrétních cílových území a druhů příjemců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_Toc392150981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49</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0982" w:history="1">
        <w:r w:rsidR="000405B4" w:rsidRPr="00932A8A">
          <w:rPr>
            <w:rStyle w:val="Hypertextovodkaz"/>
            <w:rFonts w:ascii="Cambria" w:hAnsi="Cambria"/>
            <w:noProof/>
          </w:rPr>
          <w:t>2.1.3.2.2</w:t>
        </w:r>
        <w:r w:rsidR="000405B4" w:rsidRPr="00932A8A">
          <w:rPr>
            <w:rFonts w:ascii="Cambria" w:hAnsi="Cambria"/>
            <w:noProof/>
          </w:rPr>
          <w:tab/>
        </w:r>
        <w:r w:rsidR="000405B4" w:rsidRPr="00932A8A">
          <w:rPr>
            <w:rStyle w:val="Hypertextovodkaz"/>
            <w:rFonts w:ascii="Cambria" w:hAnsi="Cambria"/>
            <w:noProof/>
          </w:rPr>
          <w:t>Hlavní zásady pro výběr operací</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_Toc392150982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50</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0983" w:history="1">
        <w:r w:rsidR="000405B4" w:rsidRPr="00932A8A">
          <w:rPr>
            <w:rStyle w:val="Hypertextovodkaz"/>
            <w:rFonts w:ascii="Cambria" w:hAnsi="Cambria"/>
            <w:noProof/>
          </w:rPr>
          <w:t>2.1.3.2.3</w:t>
        </w:r>
        <w:r w:rsidR="000405B4" w:rsidRPr="00932A8A">
          <w:rPr>
            <w:rFonts w:ascii="Cambria" w:hAnsi="Cambria"/>
            <w:noProof/>
          </w:rPr>
          <w:tab/>
        </w:r>
        <w:r w:rsidR="000405B4" w:rsidRPr="00932A8A">
          <w:rPr>
            <w:rStyle w:val="Hypertextovodkaz"/>
            <w:rFonts w:ascii="Cambria" w:hAnsi="Cambria"/>
            <w:noProof/>
          </w:rPr>
          <w:t>Plánované využití finančních nástrojů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_Toc392150983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51</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0984" w:history="1">
        <w:r w:rsidR="000405B4" w:rsidRPr="00932A8A">
          <w:rPr>
            <w:rStyle w:val="Hypertextovodkaz"/>
            <w:rFonts w:ascii="Cambria" w:hAnsi="Cambria"/>
            <w:noProof/>
          </w:rPr>
          <w:t>2.1.3.2.4</w:t>
        </w:r>
        <w:r w:rsidR="000405B4" w:rsidRPr="00932A8A">
          <w:rPr>
            <w:rFonts w:ascii="Cambria" w:hAnsi="Cambria"/>
            <w:noProof/>
          </w:rPr>
          <w:tab/>
        </w:r>
        <w:r w:rsidR="000405B4" w:rsidRPr="00932A8A">
          <w:rPr>
            <w:rStyle w:val="Hypertextovodkaz"/>
            <w:rFonts w:ascii="Cambria" w:hAnsi="Cambria"/>
            <w:noProof/>
          </w:rPr>
          <w:t>Plánované využití velkých projektů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_Toc392150984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51</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0985" w:history="1">
        <w:r w:rsidR="000405B4" w:rsidRPr="00932A8A">
          <w:rPr>
            <w:rStyle w:val="Hypertextovodkaz"/>
            <w:rFonts w:ascii="Cambria" w:hAnsi="Cambria"/>
            <w:noProof/>
          </w:rPr>
          <w:t>2.1.3.2.5</w:t>
        </w:r>
        <w:r w:rsidR="000405B4" w:rsidRPr="00932A8A">
          <w:rPr>
            <w:rFonts w:ascii="Cambria" w:hAnsi="Cambria"/>
            <w:noProof/>
          </w:rPr>
          <w:tab/>
        </w:r>
        <w:r w:rsidR="000405B4" w:rsidRPr="00932A8A">
          <w:rPr>
            <w:rStyle w:val="Hypertextovodkaz"/>
            <w:rFonts w:ascii="Cambria" w:hAnsi="Cambria"/>
            <w:noProof/>
          </w:rPr>
          <w:t>Ukazatele výstupů podle investiční priority a případně podle kategorie regionů</w:t>
        </w:r>
        <w:r w:rsidR="00932A8A">
          <w:rPr>
            <w:rStyle w:val="Hypertextovodkaz"/>
            <w:rFonts w:ascii="Cambria" w:hAnsi="Cambria"/>
            <w:noProof/>
          </w:rPr>
          <w:t>……</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_Toc392150985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52</w:t>
        </w:r>
        <w:r w:rsidR="000E07F9" w:rsidRPr="00932A8A">
          <w:rPr>
            <w:rFonts w:ascii="Cambria" w:hAnsi="Cambria"/>
            <w:noProof/>
            <w:webHidden/>
          </w:rPr>
          <w:fldChar w:fldCharType="end"/>
        </w:r>
      </w:hyperlink>
    </w:p>
    <w:p w:rsidR="000405B4" w:rsidRPr="00932A8A" w:rsidRDefault="00332B77">
      <w:pPr>
        <w:pStyle w:val="Obsah3"/>
        <w:rPr>
          <w:noProof/>
        </w:rPr>
      </w:pPr>
      <w:hyperlink w:anchor="_Toc392150986" w:history="1">
        <w:r w:rsidR="000405B4" w:rsidRPr="00932A8A">
          <w:rPr>
            <w:rStyle w:val="Hypertextovodkaz"/>
            <w:noProof/>
          </w:rPr>
          <w:t>2.1.4</w:t>
        </w:r>
        <w:r w:rsidR="000405B4" w:rsidRPr="00932A8A">
          <w:rPr>
            <w:noProof/>
          </w:rPr>
          <w:tab/>
        </w:r>
        <w:r w:rsidR="000405B4" w:rsidRPr="00932A8A">
          <w:rPr>
            <w:rStyle w:val="Hypertextovodkaz"/>
            <w:noProof/>
          </w:rPr>
          <w:t>INVESTIČNÍ PRIORITA 2 prioritní osy 1: Podporování přizpůsobení se změně klimatu, předcházení rizikům a řízení rizik podporou investic zaměřených na řešení konkrétních rizik, zajištěním odolnosti vůči katastrofám a vývojem systémů pro zvládání katastrof (Dle nařízení Evropského parlamentu a Rady (EU) č. 1300/2013 čl. 4 odst. b) písm. ii)</w:t>
        </w:r>
        <w:r w:rsidR="00932A8A">
          <w:rPr>
            <w:rStyle w:val="Hypertextovodkaz"/>
            <w:noProof/>
          </w:rPr>
          <w:t>…</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_Toc392150986 \h </w:instrText>
        </w:r>
        <w:r w:rsidR="000E07F9" w:rsidRPr="00932A8A">
          <w:rPr>
            <w:noProof/>
            <w:webHidden/>
          </w:rPr>
        </w:r>
        <w:r w:rsidR="000E07F9" w:rsidRPr="00932A8A">
          <w:rPr>
            <w:noProof/>
            <w:webHidden/>
          </w:rPr>
          <w:fldChar w:fldCharType="separate"/>
        </w:r>
        <w:r w:rsidR="000405B4" w:rsidRPr="00932A8A">
          <w:rPr>
            <w:noProof/>
            <w:webHidden/>
          </w:rPr>
          <w:t>53</w:t>
        </w:r>
        <w:r w:rsidR="000E07F9" w:rsidRPr="00932A8A">
          <w:rPr>
            <w:noProof/>
            <w:webHidden/>
          </w:rPr>
          <w:fldChar w:fldCharType="end"/>
        </w:r>
      </w:hyperlink>
    </w:p>
    <w:p w:rsidR="000405B4" w:rsidRPr="00932A8A" w:rsidRDefault="00332B77">
      <w:pPr>
        <w:pStyle w:val="Obsah4"/>
        <w:rPr>
          <w:rFonts w:ascii="Cambria" w:hAnsi="Cambria"/>
          <w:noProof/>
        </w:rPr>
      </w:pPr>
      <w:hyperlink w:anchor="_Toc392150987" w:history="1">
        <w:r w:rsidR="000405B4" w:rsidRPr="00932A8A">
          <w:rPr>
            <w:rStyle w:val="Hypertextovodkaz"/>
            <w:rFonts w:ascii="Cambria" w:hAnsi="Cambria"/>
            <w:noProof/>
          </w:rPr>
          <w:t>2.1.4.1</w:t>
        </w:r>
        <w:r w:rsidR="000405B4" w:rsidRPr="00932A8A">
          <w:rPr>
            <w:rFonts w:ascii="Cambria" w:hAnsi="Cambria"/>
            <w:noProof/>
          </w:rPr>
          <w:tab/>
        </w:r>
        <w:r w:rsidR="000405B4" w:rsidRPr="00932A8A">
          <w:rPr>
            <w:rStyle w:val="Hypertextovodkaz"/>
            <w:rFonts w:ascii="Cambria" w:hAnsi="Cambria"/>
            <w:noProof/>
          </w:rPr>
          <w:t>Specifické cíle odpovídající dané investiční prioritě a očekávané výsledky</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_Toc392150987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53</w:t>
        </w:r>
        <w:r w:rsidR="000E07F9" w:rsidRPr="00932A8A">
          <w:rPr>
            <w:rFonts w:ascii="Cambria" w:hAnsi="Cambria"/>
            <w:noProof/>
            <w:webHidden/>
          </w:rPr>
          <w:fldChar w:fldCharType="end"/>
        </w:r>
      </w:hyperlink>
    </w:p>
    <w:p w:rsidR="000405B4" w:rsidRPr="00932A8A" w:rsidRDefault="00332B77">
      <w:pPr>
        <w:pStyle w:val="Obsah4"/>
        <w:rPr>
          <w:rFonts w:ascii="Cambria" w:hAnsi="Cambria"/>
          <w:noProof/>
        </w:rPr>
      </w:pPr>
      <w:hyperlink w:anchor="_Toc392150988" w:history="1">
        <w:r w:rsidR="000405B4" w:rsidRPr="00932A8A">
          <w:rPr>
            <w:rStyle w:val="Hypertextovodkaz"/>
            <w:rFonts w:ascii="Cambria" w:hAnsi="Cambria"/>
            <w:noProof/>
          </w:rPr>
          <w:t>2.1.4.2</w:t>
        </w:r>
        <w:r w:rsidR="000405B4" w:rsidRPr="00932A8A">
          <w:rPr>
            <w:rFonts w:ascii="Cambria" w:hAnsi="Cambria"/>
            <w:noProof/>
          </w:rPr>
          <w:tab/>
        </w:r>
        <w:r w:rsidR="000405B4" w:rsidRPr="00932A8A">
          <w:rPr>
            <w:rStyle w:val="Hypertextovodkaz"/>
            <w:rFonts w:ascii="Cambria" w:hAnsi="Cambria"/>
            <w:noProof/>
          </w:rPr>
          <w:t>Opatření, jež má být podpořeno v rámci investiční priority</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_Toc392150988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55</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0989" w:history="1">
        <w:r w:rsidR="000405B4" w:rsidRPr="00932A8A">
          <w:rPr>
            <w:rStyle w:val="Hypertextovodkaz"/>
            <w:rFonts w:ascii="Cambria" w:hAnsi="Cambria"/>
            <w:noProof/>
          </w:rPr>
          <w:t>2.1.4.2.1</w:t>
        </w:r>
        <w:r w:rsidR="000405B4" w:rsidRPr="00932A8A">
          <w:rPr>
            <w:rFonts w:ascii="Cambria" w:hAnsi="Cambria"/>
            <w:noProof/>
          </w:rPr>
          <w:tab/>
        </w:r>
        <w:r w:rsidR="000405B4" w:rsidRPr="00932A8A">
          <w:rPr>
            <w:rStyle w:val="Hypertextovodkaz"/>
            <w:rFonts w:ascii="Cambria" w:hAnsi="Cambria"/>
            <w:noProof/>
          </w:rPr>
          <w:t>Popis typů a příkladů opatření, která mají být podporována, a jejich očekávaný přínos k plnění specifických cílů, případně včetně určení hlavních cílových skupin, konkrétních cílových území a druhů příjemců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_Toc392150989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55</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0990" w:history="1">
        <w:r w:rsidR="000405B4" w:rsidRPr="00932A8A">
          <w:rPr>
            <w:rStyle w:val="Hypertextovodkaz"/>
            <w:rFonts w:ascii="Cambria" w:hAnsi="Cambria"/>
            <w:noProof/>
          </w:rPr>
          <w:t>2.1.4.2.2</w:t>
        </w:r>
        <w:r w:rsidR="000405B4" w:rsidRPr="00932A8A">
          <w:rPr>
            <w:rFonts w:ascii="Cambria" w:hAnsi="Cambria"/>
            <w:noProof/>
          </w:rPr>
          <w:tab/>
        </w:r>
        <w:r w:rsidR="000405B4" w:rsidRPr="00932A8A">
          <w:rPr>
            <w:rStyle w:val="Hypertextovodkaz"/>
            <w:rFonts w:ascii="Cambria" w:hAnsi="Cambria"/>
            <w:noProof/>
          </w:rPr>
          <w:t>Hlavní zásady pro výběr operací</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_Toc392150990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57</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0991" w:history="1">
        <w:r w:rsidR="000405B4" w:rsidRPr="00932A8A">
          <w:rPr>
            <w:rStyle w:val="Hypertextovodkaz"/>
            <w:rFonts w:ascii="Cambria" w:hAnsi="Cambria"/>
            <w:noProof/>
          </w:rPr>
          <w:t>2.1.4.2.3</w:t>
        </w:r>
        <w:r w:rsidR="000405B4" w:rsidRPr="00932A8A">
          <w:rPr>
            <w:rFonts w:ascii="Cambria" w:hAnsi="Cambria"/>
            <w:noProof/>
          </w:rPr>
          <w:tab/>
        </w:r>
        <w:r w:rsidR="000405B4" w:rsidRPr="00932A8A">
          <w:rPr>
            <w:rStyle w:val="Hypertextovodkaz"/>
            <w:rFonts w:ascii="Cambria" w:hAnsi="Cambria"/>
            <w:noProof/>
          </w:rPr>
          <w:t>Plánované využití finančních nástrojů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_Toc392150991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58</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0992" w:history="1">
        <w:r w:rsidR="000405B4" w:rsidRPr="00932A8A">
          <w:rPr>
            <w:rStyle w:val="Hypertextovodkaz"/>
            <w:rFonts w:ascii="Cambria" w:hAnsi="Cambria"/>
            <w:noProof/>
          </w:rPr>
          <w:t>2.1.4.2.4</w:t>
        </w:r>
        <w:r w:rsidR="000405B4" w:rsidRPr="00932A8A">
          <w:rPr>
            <w:rFonts w:ascii="Cambria" w:hAnsi="Cambria"/>
            <w:noProof/>
          </w:rPr>
          <w:tab/>
        </w:r>
        <w:r w:rsidR="000405B4" w:rsidRPr="00932A8A">
          <w:rPr>
            <w:rStyle w:val="Hypertextovodkaz"/>
            <w:rFonts w:ascii="Cambria" w:hAnsi="Cambria"/>
            <w:noProof/>
          </w:rPr>
          <w:t>Plánované využití velkých projektů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_Toc392150992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58</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0993" w:history="1">
        <w:r w:rsidR="000405B4" w:rsidRPr="00932A8A">
          <w:rPr>
            <w:rStyle w:val="Hypertextovodkaz"/>
            <w:rFonts w:ascii="Cambria" w:hAnsi="Cambria"/>
            <w:noProof/>
          </w:rPr>
          <w:t>2.1.4.2.5</w:t>
        </w:r>
        <w:r w:rsidR="000405B4" w:rsidRPr="00932A8A">
          <w:rPr>
            <w:rFonts w:ascii="Cambria" w:hAnsi="Cambria"/>
            <w:noProof/>
          </w:rPr>
          <w:tab/>
        </w:r>
        <w:r w:rsidR="000405B4" w:rsidRPr="00932A8A">
          <w:rPr>
            <w:rStyle w:val="Hypertextovodkaz"/>
            <w:rFonts w:ascii="Cambria" w:hAnsi="Cambria"/>
            <w:noProof/>
          </w:rPr>
          <w:t>Ukazatele výstupů podle investiční priority a případně podle kategorie regionů</w:t>
        </w:r>
        <w:r w:rsidR="00932A8A">
          <w:rPr>
            <w:rStyle w:val="Hypertextovodkaz"/>
            <w:rFonts w:ascii="Cambria" w:hAnsi="Cambria"/>
            <w:noProof/>
          </w:rPr>
          <w:t>……</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_Toc392150993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59</w:t>
        </w:r>
        <w:r w:rsidR="000E07F9" w:rsidRPr="00932A8A">
          <w:rPr>
            <w:rFonts w:ascii="Cambria" w:hAnsi="Cambria"/>
            <w:noProof/>
            <w:webHidden/>
          </w:rPr>
          <w:fldChar w:fldCharType="end"/>
        </w:r>
      </w:hyperlink>
    </w:p>
    <w:p w:rsidR="000405B4" w:rsidRPr="00932A8A" w:rsidRDefault="00332B77">
      <w:pPr>
        <w:pStyle w:val="Obsah3"/>
        <w:rPr>
          <w:noProof/>
        </w:rPr>
      </w:pPr>
      <w:hyperlink w:anchor="_Toc392150994" w:history="1">
        <w:r w:rsidR="000405B4" w:rsidRPr="00932A8A">
          <w:rPr>
            <w:rStyle w:val="Hypertextovodkaz"/>
            <w:noProof/>
          </w:rPr>
          <w:t>2.1.5</w:t>
        </w:r>
        <w:r w:rsidR="000405B4" w:rsidRPr="00932A8A">
          <w:rPr>
            <w:noProof/>
          </w:rPr>
          <w:tab/>
        </w:r>
        <w:r w:rsidR="000405B4" w:rsidRPr="00932A8A">
          <w:rPr>
            <w:rStyle w:val="Hypertextovodkaz"/>
            <w:noProof/>
          </w:rPr>
          <w:t>Výkonnostní rámec</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_Toc392150994 \h </w:instrText>
        </w:r>
        <w:r w:rsidR="000E07F9" w:rsidRPr="00932A8A">
          <w:rPr>
            <w:noProof/>
            <w:webHidden/>
          </w:rPr>
        </w:r>
        <w:r w:rsidR="000E07F9" w:rsidRPr="00932A8A">
          <w:rPr>
            <w:noProof/>
            <w:webHidden/>
          </w:rPr>
          <w:fldChar w:fldCharType="separate"/>
        </w:r>
        <w:r w:rsidR="000405B4" w:rsidRPr="00932A8A">
          <w:rPr>
            <w:noProof/>
            <w:webHidden/>
          </w:rPr>
          <w:t>60</w:t>
        </w:r>
        <w:r w:rsidR="000E07F9" w:rsidRPr="00932A8A">
          <w:rPr>
            <w:noProof/>
            <w:webHidden/>
          </w:rPr>
          <w:fldChar w:fldCharType="end"/>
        </w:r>
      </w:hyperlink>
    </w:p>
    <w:p w:rsidR="000405B4" w:rsidRPr="00932A8A" w:rsidRDefault="00332B77">
      <w:pPr>
        <w:pStyle w:val="Obsah3"/>
        <w:rPr>
          <w:noProof/>
        </w:rPr>
      </w:pPr>
      <w:hyperlink w:anchor="_Toc392150995" w:history="1">
        <w:r w:rsidR="000405B4" w:rsidRPr="00932A8A">
          <w:rPr>
            <w:rStyle w:val="Hypertextovodkaz"/>
            <w:noProof/>
          </w:rPr>
          <w:t>2.1.6</w:t>
        </w:r>
        <w:r w:rsidR="000405B4" w:rsidRPr="00932A8A">
          <w:rPr>
            <w:noProof/>
          </w:rPr>
          <w:tab/>
        </w:r>
        <w:r w:rsidR="000405B4" w:rsidRPr="00932A8A">
          <w:rPr>
            <w:rStyle w:val="Hypertextovodkaz"/>
            <w:noProof/>
          </w:rPr>
          <w:t>Kategorie zásahů</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_Toc392150995 \h </w:instrText>
        </w:r>
        <w:r w:rsidR="000E07F9" w:rsidRPr="00932A8A">
          <w:rPr>
            <w:noProof/>
            <w:webHidden/>
          </w:rPr>
        </w:r>
        <w:r w:rsidR="000E07F9" w:rsidRPr="00932A8A">
          <w:rPr>
            <w:noProof/>
            <w:webHidden/>
          </w:rPr>
          <w:fldChar w:fldCharType="separate"/>
        </w:r>
        <w:r w:rsidR="000405B4" w:rsidRPr="00932A8A">
          <w:rPr>
            <w:noProof/>
            <w:webHidden/>
          </w:rPr>
          <w:t>61</w:t>
        </w:r>
        <w:r w:rsidR="000E07F9" w:rsidRPr="00932A8A">
          <w:rPr>
            <w:noProof/>
            <w:webHidden/>
          </w:rPr>
          <w:fldChar w:fldCharType="end"/>
        </w:r>
      </w:hyperlink>
    </w:p>
    <w:p w:rsidR="000405B4" w:rsidRPr="00932A8A" w:rsidRDefault="00332B77">
      <w:pPr>
        <w:pStyle w:val="Obsah2"/>
        <w:rPr>
          <w:noProof/>
        </w:rPr>
      </w:pPr>
      <w:hyperlink w:anchor="_Toc392150996" w:history="1">
        <w:r w:rsidR="000405B4" w:rsidRPr="00932A8A">
          <w:rPr>
            <w:rStyle w:val="Hypertextovodkaz"/>
            <w:noProof/>
          </w:rPr>
          <w:t>2.2</w:t>
        </w:r>
        <w:r w:rsidR="000405B4" w:rsidRPr="00932A8A">
          <w:rPr>
            <w:noProof/>
          </w:rPr>
          <w:tab/>
        </w:r>
        <w:r w:rsidR="000405B4" w:rsidRPr="00932A8A">
          <w:rPr>
            <w:rStyle w:val="Hypertextovodkaz"/>
            <w:noProof/>
          </w:rPr>
          <w:t>PRIORITNÍ OSA 2: Zlepšování kvality ovzduší v lidských sídlech</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_Toc392150996 \h </w:instrText>
        </w:r>
        <w:r w:rsidR="000E07F9" w:rsidRPr="00932A8A">
          <w:rPr>
            <w:noProof/>
            <w:webHidden/>
          </w:rPr>
        </w:r>
        <w:r w:rsidR="000E07F9" w:rsidRPr="00932A8A">
          <w:rPr>
            <w:noProof/>
            <w:webHidden/>
          </w:rPr>
          <w:fldChar w:fldCharType="separate"/>
        </w:r>
        <w:r w:rsidR="000405B4" w:rsidRPr="00932A8A">
          <w:rPr>
            <w:noProof/>
            <w:webHidden/>
          </w:rPr>
          <w:t>62</w:t>
        </w:r>
        <w:r w:rsidR="000E07F9" w:rsidRPr="00932A8A">
          <w:rPr>
            <w:noProof/>
            <w:webHidden/>
          </w:rPr>
          <w:fldChar w:fldCharType="end"/>
        </w:r>
      </w:hyperlink>
    </w:p>
    <w:p w:rsidR="000405B4" w:rsidRPr="00932A8A" w:rsidRDefault="00332B77">
      <w:pPr>
        <w:pStyle w:val="Obsah3"/>
        <w:rPr>
          <w:noProof/>
        </w:rPr>
      </w:pPr>
      <w:hyperlink w:anchor="_Toc392150997" w:history="1">
        <w:r w:rsidR="000405B4" w:rsidRPr="00932A8A">
          <w:rPr>
            <w:rStyle w:val="Hypertextovodkaz"/>
            <w:noProof/>
          </w:rPr>
          <w:t>2.2.1</w:t>
        </w:r>
        <w:r w:rsidR="000405B4" w:rsidRPr="00932A8A">
          <w:rPr>
            <w:noProof/>
          </w:rPr>
          <w:tab/>
        </w:r>
        <w:r w:rsidR="000405B4" w:rsidRPr="00932A8A">
          <w:rPr>
            <w:rStyle w:val="Hypertextovodkaz"/>
            <w:noProof/>
          </w:rPr>
          <w:t>Odůvodnění pro vytvoření prioritní osy, která zahrnuje více než jednu kategorii regionů nebo více než jeden tematický cíl či fond</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_Toc392150997 \h </w:instrText>
        </w:r>
        <w:r w:rsidR="000E07F9" w:rsidRPr="00932A8A">
          <w:rPr>
            <w:noProof/>
            <w:webHidden/>
          </w:rPr>
        </w:r>
        <w:r w:rsidR="000E07F9" w:rsidRPr="00932A8A">
          <w:rPr>
            <w:noProof/>
            <w:webHidden/>
          </w:rPr>
          <w:fldChar w:fldCharType="separate"/>
        </w:r>
        <w:r w:rsidR="000405B4" w:rsidRPr="00932A8A">
          <w:rPr>
            <w:noProof/>
            <w:webHidden/>
          </w:rPr>
          <w:t>62</w:t>
        </w:r>
        <w:r w:rsidR="000E07F9" w:rsidRPr="00932A8A">
          <w:rPr>
            <w:noProof/>
            <w:webHidden/>
          </w:rPr>
          <w:fldChar w:fldCharType="end"/>
        </w:r>
      </w:hyperlink>
    </w:p>
    <w:p w:rsidR="000405B4" w:rsidRPr="00932A8A" w:rsidRDefault="00332B77">
      <w:pPr>
        <w:pStyle w:val="Obsah3"/>
        <w:rPr>
          <w:noProof/>
        </w:rPr>
      </w:pPr>
      <w:hyperlink w:anchor="_Toc392150998" w:history="1">
        <w:r w:rsidR="000405B4" w:rsidRPr="00932A8A">
          <w:rPr>
            <w:rStyle w:val="Hypertextovodkaz"/>
            <w:noProof/>
          </w:rPr>
          <w:t>2.2.2</w:t>
        </w:r>
        <w:r w:rsidR="000405B4" w:rsidRPr="00932A8A">
          <w:rPr>
            <w:noProof/>
          </w:rPr>
          <w:tab/>
        </w:r>
        <w:r w:rsidR="000405B4" w:rsidRPr="00932A8A">
          <w:rPr>
            <w:rStyle w:val="Hypertextovodkaz"/>
            <w:noProof/>
          </w:rPr>
          <w:t>Fond, kategorie regionů a základ pro výpočet podpory Unie</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_Toc392150998 \h </w:instrText>
        </w:r>
        <w:r w:rsidR="000E07F9" w:rsidRPr="00932A8A">
          <w:rPr>
            <w:noProof/>
            <w:webHidden/>
          </w:rPr>
        </w:r>
        <w:r w:rsidR="000E07F9" w:rsidRPr="00932A8A">
          <w:rPr>
            <w:noProof/>
            <w:webHidden/>
          </w:rPr>
          <w:fldChar w:fldCharType="separate"/>
        </w:r>
        <w:r w:rsidR="000405B4" w:rsidRPr="00932A8A">
          <w:rPr>
            <w:noProof/>
            <w:webHidden/>
          </w:rPr>
          <w:t>62</w:t>
        </w:r>
        <w:r w:rsidR="000E07F9" w:rsidRPr="00932A8A">
          <w:rPr>
            <w:noProof/>
            <w:webHidden/>
          </w:rPr>
          <w:fldChar w:fldCharType="end"/>
        </w:r>
      </w:hyperlink>
    </w:p>
    <w:p w:rsidR="000405B4" w:rsidRPr="00932A8A" w:rsidRDefault="00332B77">
      <w:pPr>
        <w:pStyle w:val="Obsah3"/>
        <w:rPr>
          <w:noProof/>
        </w:rPr>
      </w:pPr>
      <w:hyperlink w:anchor="_Toc392150999" w:history="1">
        <w:r w:rsidR="000405B4" w:rsidRPr="00932A8A">
          <w:rPr>
            <w:rStyle w:val="Hypertextovodkaz"/>
            <w:noProof/>
          </w:rPr>
          <w:t>2.2.3</w:t>
        </w:r>
        <w:r w:rsidR="000405B4" w:rsidRPr="00932A8A">
          <w:rPr>
            <w:noProof/>
          </w:rPr>
          <w:tab/>
        </w:r>
        <w:r w:rsidR="000405B4" w:rsidRPr="00932A8A">
          <w:rPr>
            <w:rStyle w:val="Hypertextovodkaz"/>
            <w:noProof/>
          </w:rPr>
          <w:t>INVESTIČNÍ PRIORITA 1 prioritní osy 2: Zachování a ochrana životního prostředí a podporování účinného využívání zdrojů přijímáním opatření ke zlepšování městského prostředí, revitalizaci měst, regeneraci a dekontaminaci dříve zastavěných území (brownfields)(včetně bývalých vojenských oblastí), snížení znečištění ovzduší a podporou opatření ke snížení hluku (Dle nařízení Evropského parlamentu a Rady (EU) č. 1300/2013 čl. 4 odst. c) písm. iv))</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_Toc392150999 \h </w:instrText>
        </w:r>
        <w:r w:rsidR="000E07F9" w:rsidRPr="00932A8A">
          <w:rPr>
            <w:noProof/>
            <w:webHidden/>
          </w:rPr>
        </w:r>
        <w:r w:rsidR="000E07F9" w:rsidRPr="00932A8A">
          <w:rPr>
            <w:noProof/>
            <w:webHidden/>
          </w:rPr>
          <w:fldChar w:fldCharType="separate"/>
        </w:r>
        <w:r w:rsidR="000405B4" w:rsidRPr="00932A8A">
          <w:rPr>
            <w:noProof/>
            <w:webHidden/>
          </w:rPr>
          <w:t>62</w:t>
        </w:r>
        <w:r w:rsidR="000E07F9" w:rsidRPr="00932A8A">
          <w:rPr>
            <w:noProof/>
            <w:webHidden/>
          </w:rPr>
          <w:fldChar w:fldCharType="end"/>
        </w:r>
      </w:hyperlink>
    </w:p>
    <w:p w:rsidR="000405B4" w:rsidRPr="00932A8A" w:rsidRDefault="00332B77">
      <w:pPr>
        <w:pStyle w:val="Obsah4"/>
        <w:rPr>
          <w:rFonts w:ascii="Cambria" w:hAnsi="Cambria"/>
          <w:noProof/>
        </w:rPr>
      </w:pPr>
      <w:hyperlink w:anchor="_Toc392151000" w:history="1">
        <w:r w:rsidR="000405B4" w:rsidRPr="00932A8A">
          <w:rPr>
            <w:rStyle w:val="Hypertextovodkaz"/>
            <w:rFonts w:ascii="Cambria" w:hAnsi="Cambria"/>
            <w:noProof/>
          </w:rPr>
          <w:t>2.2.3.1</w:t>
        </w:r>
        <w:r w:rsidR="000405B4" w:rsidRPr="00932A8A">
          <w:rPr>
            <w:rFonts w:ascii="Cambria" w:hAnsi="Cambria"/>
            <w:noProof/>
          </w:rPr>
          <w:tab/>
        </w:r>
        <w:r w:rsidR="000405B4" w:rsidRPr="00932A8A">
          <w:rPr>
            <w:rStyle w:val="Hypertextovodkaz"/>
            <w:rFonts w:ascii="Cambria" w:hAnsi="Cambria"/>
            <w:noProof/>
          </w:rPr>
          <w:t>Specifické cíle odpovídající dané investiční prioritě a očekávané výsledky</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_Toc392151000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62</w:t>
        </w:r>
        <w:r w:rsidR="000E07F9" w:rsidRPr="00932A8A">
          <w:rPr>
            <w:rFonts w:ascii="Cambria" w:hAnsi="Cambria"/>
            <w:noProof/>
            <w:webHidden/>
          </w:rPr>
          <w:fldChar w:fldCharType="end"/>
        </w:r>
      </w:hyperlink>
    </w:p>
    <w:p w:rsidR="000405B4" w:rsidRPr="00932A8A" w:rsidRDefault="00332B77">
      <w:pPr>
        <w:pStyle w:val="Obsah4"/>
        <w:rPr>
          <w:rFonts w:ascii="Cambria" w:hAnsi="Cambria"/>
          <w:noProof/>
        </w:rPr>
      </w:pPr>
      <w:hyperlink w:anchor="_Toc392151001" w:history="1">
        <w:r w:rsidR="000405B4" w:rsidRPr="00932A8A">
          <w:rPr>
            <w:rStyle w:val="Hypertextovodkaz"/>
            <w:rFonts w:ascii="Cambria" w:hAnsi="Cambria"/>
            <w:noProof/>
          </w:rPr>
          <w:t>2.2.3.2</w:t>
        </w:r>
        <w:r w:rsidR="000405B4" w:rsidRPr="00932A8A">
          <w:rPr>
            <w:rFonts w:ascii="Cambria" w:hAnsi="Cambria"/>
            <w:noProof/>
          </w:rPr>
          <w:tab/>
        </w:r>
        <w:r w:rsidR="000405B4" w:rsidRPr="00932A8A">
          <w:rPr>
            <w:rStyle w:val="Hypertextovodkaz"/>
            <w:rFonts w:ascii="Cambria" w:hAnsi="Cambria"/>
            <w:noProof/>
          </w:rPr>
          <w:t>Opatření, jež má být podpořeno v rámci investiční priority</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_Toc392151001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66</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02" w:history="1">
        <w:r w:rsidR="000405B4" w:rsidRPr="00932A8A">
          <w:rPr>
            <w:rStyle w:val="Hypertextovodkaz"/>
            <w:rFonts w:ascii="Cambria" w:hAnsi="Cambria"/>
            <w:noProof/>
          </w:rPr>
          <w:t>2.2.3.2.1</w:t>
        </w:r>
        <w:r w:rsidR="000405B4" w:rsidRPr="00932A8A">
          <w:rPr>
            <w:rFonts w:ascii="Cambria" w:hAnsi="Cambria"/>
            <w:noProof/>
          </w:rPr>
          <w:tab/>
        </w:r>
        <w:r w:rsidR="000405B4" w:rsidRPr="00932A8A">
          <w:rPr>
            <w:rStyle w:val="Hypertextovodkaz"/>
            <w:rFonts w:ascii="Cambria" w:hAnsi="Cambria"/>
            <w:noProof/>
          </w:rPr>
          <w:t>Popis typů a příkladů opatření, která mají být podporována, a jejich očekávaný přínos k plnění specifických cílů, případně včetně určení hlavních cílových skupin, konkrétních cílových území a druhů příjemců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_Toc392151002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66</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03" w:history="1">
        <w:r w:rsidR="000405B4" w:rsidRPr="00932A8A">
          <w:rPr>
            <w:rStyle w:val="Hypertextovodkaz"/>
            <w:rFonts w:ascii="Cambria" w:hAnsi="Cambria"/>
            <w:noProof/>
          </w:rPr>
          <w:t>2.2.3.2.2</w:t>
        </w:r>
        <w:r w:rsidR="000405B4" w:rsidRPr="00932A8A">
          <w:rPr>
            <w:rFonts w:ascii="Cambria" w:hAnsi="Cambria"/>
            <w:noProof/>
          </w:rPr>
          <w:tab/>
        </w:r>
        <w:r w:rsidR="000405B4" w:rsidRPr="00932A8A">
          <w:rPr>
            <w:rStyle w:val="Hypertextovodkaz"/>
            <w:rFonts w:ascii="Cambria" w:hAnsi="Cambria"/>
            <w:noProof/>
          </w:rPr>
          <w:t>Hlavní zásady pro výběr operací</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_Toc392151003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70</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04" w:history="1">
        <w:r w:rsidR="000405B4" w:rsidRPr="00932A8A">
          <w:rPr>
            <w:rStyle w:val="Hypertextovodkaz"/>
            <w:rFonts w:ascii="Cambria" w:hAnsi="Cambria"/>
            <w:noProof/>
          </w:rPr>
          <w:t>2.2.3.2.3</w:t>
        </w:r>
        <w:r w:rsidR="000405B4" w:rsidRPr="00932A8A">
          <w:rPr>
            <w:rFonts w:ascii="Cambria" w:hAnsi="Cambria"/>
            <w:noProof/>
          </w:rPr>
          <w:tab/>
        </w:r>
        <w:r w:rsidR="000405B4" w:rsidRPr="00932A8A">
          <w:rPr>
            <w:rStyle w:val="Hypertextovodkaz"/>
            <w:rFonts w:ascii="Cambria" w:hAnsi="Cambria"/>
            <w:noProof/>
          </w:rPr>
          <w:t>Plánované využití finančních nástrojů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_Toc392151004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71</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05" w:history="1">
        <w:r w:rsidR="000405B4" w:rsidRPr="00932A8A">
          <w:rPr>
            <w:rStyle w:val="Hypertextovodkaz"/>
            <w:rFonts w:ascii="Cambria" w:hAnsi="Cambria"/>
            <w:noProof/>
          </w:rPr>
          <w:t>2.2.3.2.4</w:t>
        </w:r>
        <w:r w:rsidR="000405B4" w:rsidRPr="00932A8A">
          <w:rPr>
            <w:rFonts w:ascii="Cambria" w:hAnsi="Cambria"/>
            <w:noProof/>
          </w:rPr>
          <w:tab/>
        </w:r>
        <w:r w:rsidR="000405B4" w:rsidRPr="00932A8A">
          <w:rPr>
            <w:rStyle w:val="Hypertextovodkaz"/>
            <w:rFonts w:ascii="Cambria" w:hAnsi="Cambria"/>
            <w:noProof/>
          </w:rPr>
          <w:t>Plánované využití velkých projektů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_Toc392151005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71</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06" w:history="1">
        <w:r w:rsidR="000405B4" w:rsidRPr="00932A8A">
          <w:rPr>
            <w:rStyle w:val="Hypertextovodkaz"/>
            <w:rFonts w:ascii="Cambria" w:hAnsi="Cambria"/>
            <w:noProof/>
          </w:rPr>
          <w:t>2.2.3.2.5</w:t>
        </w:r>
        <w:r w:rsidR="000405B4" w:rsidRPr="00932A8A">
          <w:rPr>
            <w:rFonts w:ascii="Cambria" w:hAnsi="Cambria"/>
            <w:noProof/>
          </w:rPr>
          <w:tab/>
        </w:r>
        <w:r w:rsidR="000405B4" w:rsidRPr="00932A8A">
          <w:rPr>
            <w:rStyle w:val="Hypertextovodkaz"/>
            <w:rFonts w:ascii="Cambria" w:hAnsi="Cambria"/>
            <w:noProof/>
          </w:rPr>
          <w:t>Ukazatele výstupů podle investiční priority a případně podle kategorie regionů</w:t>
        </w:r>
        <w:r w:rsidR="00932A8A">
          <w:rPr>
            <w:rStyle w:val="Hypertextovodkaz"/>
            <w:rFonts w:ascii="Cambria" w:hAnsi="Cambria"/>
            <w:noProof/>
          </w:rPr>
          <w:t>……</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_Toc392151006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71</w:t>
        </w:r>
        <w:r w:rsidR="000E07F9" w:rsidRPr="00932A8A">
          <w:rPr>
            <w:rFonts w:ascii="Cambria" w:hAnsi="Cambria"/>
            <w:noProof/>
            <w:webHidden/>
          </w:rPr>
          <w:fldChar w:fldCharType="end"/>
        </w:r>
      </w:hyperlink>
    </w:p>
    <w:p w:rsidR="000405B4" w:rsidRPr="00932A8A" w:rsidRDefault="00332B77">
      <w:pPr>
        <w:pStyle w:val="Obsah3"/>
        <w:rPr>
          <w:noProof/>
        </w:rPr>
      </w:pPr>
      <w:hyperlink w:anchor="_Toc392151007" w:history="1">
        <w:r w:rsidR="000405B4" w:rsidRPr="00932A8A">
          <w:rPr>
            <w:rStyle w:val="Hypertextovodkaz"/>
            <w:noProof/>
          </w:rPr>
          <w:t>2.2.4</w:t>
        </w:r>
        <w:r w:rsidR="000405B4" w:rsidRPr="00932A8A">
          <w:rPr>
            <w:noProof/>
          </w:rPr>
          <w:tab/>
        </w:r>
        <w:r w:rsidR="000405B4" w:rsidRPr="00932A8A">
          <w:rPr>
            <w:rStyle w:val="Hypertextovodkaz"/>
            <w:noProof/>
          </w:rPr>
          <w:t>Výkonnostní rámec</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_Toc392151007 \h </w:instrText>
        </w:r>
        <w:r w:rsidR="000E07F9" w:rsidRPr="00932A8A">
          <w:rPr>
            <w:noProof/>
            <w:webHidden/>
          </w:rPr>
        </w:r>
        <w:r w:rsidR="000E07F9" w:rsidRPr="00932A8A">
          <w:rPr>
            <w:noProof/>
            <w:webHidden/>
          </w:rPr>
          <w:fldChar w:fldCharType="separate"/>
        </w:r>
        <w:r w:rsidR="000405B4" w:rsidRPr="00932A8A">
          <w:rPr>
            <w:noProof/>
            <w:webHidden/>
          </w:rPr>
          <w:t>72</w:t>
        </w:r>
        <w:r w:rsidR="000E07F9" w:rsidRPr="00932A8A">
          <w:rPr>
            <w:noProof/>
            <w:webHidden/>
          </w:rPr>
          <w:fldChar w:fldCharType="end"/>
        </w:r>
      </w:hyperlink>
    </w:p>
    <w:p w:rsidR="000405B4" w:rsidRPr="00932A8A" w:rsidRDefault="00332B77">
      <w:pPr>
        <w:pStyle w:val="Obsah3"/>
        <w:rPr>
          <w:noProof/>
        </w:rPr>
      </w:pPr>
      <w:hyperlink w:anchor="_Toc392151008" w:history="1">
        <w:r w:rsidR="000405B4" w:rsidRPr="00932A8A">
          <w:rPr>
            <w:rStyle w:val="Hypertextovodkaz"/>
            <w:noProof/>
          </w:rPr>
          <w:t>2.2.5</w:t>
        </w:r>
        <w:r w:rsidR="000405B4" w:rsidRPr="00932A8A">
          <w:rPr>
            <w:noProof/>
          </w:rPr>
          <w:tab/>
        </w:r>
        <w:r w:rsidR="000405B4" w:rsidRPr="00932A8A">
          <w:rPr>
            <w:rStyle w:val="Hypertextovodkaz"/>
            <w:noProof/>
          </w:rPr>
          <w:t>Kategorie zásahů</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_Toc392151008 \h </w:instrText>
        </w:r>
        <w:r w:rsidR="000E07F9" w:rsidRPr="00932A8A">
          <w:rPr>
            <w:noProof/>
            <w:webHidden/>
          </w:rPr>
        </w:r>
        <w:r w:rsidR="000E07F9" w:rsidRPr="00932A8A">
          <w:rPr>
            <w:noProof/>
            <w:webHidden/>
          </w:rPr>
          <w:fldChar w:fldCharType="separate"/>
        </w:r>
        <w:r w:rsidR="000405B4" w:rsidRPr="00932A8A">
          <w:rPr>
            <w:noProof/>
            <w:webHidden/>
          </w:rPr>
          <w:t>72</w:t>
        </w:r>
        <w:r w:rsidR="000E07F9" w:rsidRPr="00932A8A">
          <w:rPr>
            <w:noProof/>
            <w:webHidden/>
          </w:rPr>
          <w:fldChar w:fldCharType="end"/>
        </w:r>
      </w:hyperlink>
    </w:p>
    <w:p w:rsidR="000405B4" w:rsidRPr="00932A8A" w:rsidRDefault="00332B77">
      <w:pPr>
        <w:pStyle w:val="Obsah2"/>
        <w:rPr>
          <w:noProof/>
        </w:rPr>
      </w:pPr>
      <w:hyperlink w:anchor="_Toc392151009" w:history="1">
        <w:r w:rsidR="000405B4" w:rsidRPr="00932A8A">
          <w:rPr>
            <w:rStyle w:val="Hypertextovodkaz"/>
            <w:noProof/>
          </w:rPr>
          <w:t>2.3</w:t>
        </w:r>
        <w:r w:rsidR="000405B4" w:rsidRPr="00932A8A">
          <w:rPr>
            <w:noProof/>
          </w:rPr>
          <w:tab/>
        </w:r>
        <w:r w:rsidR="000405B4" w:rsidRPr="00932A8A">
          <w:rPr>
            <w:rStyle w:val="Hypertextovodkaz"/>
            <w:noProof/>
          </w:rPr>
          <w:t>PRIORITNÍ OSA 3: Odpady a materiálové toky, ekologické zátěže a rizika</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_Toc392151009 \h </w:instrText>
        </w:r>
        <w:r w:rsidR="000E07F9" w:rsidRPr="00932A8A">
          <w:rPr>
            <w:noProof/>
            <w:webHidden/>
          </w:rPr>
        </w:r>
        <w:r w:rsidR="000E07F9" w:rsidRPr="00932A8A">
          <w:rPr>
            <w:noProof/>
            <w:webHidden/>
          </w:rPr>
          <w:fldChar w:fldCharType="separate"/>
        </w:r>
        <w:r w:rsidR="000405B4" w:rsidRPr="00932A8A">
          <w:rPr>
            <w:noProof/>
            <w:webHidden/>
          </w:rPr>
          <w:t>74</w:t>
        </w:r>
        <w:r w:rsidR="000E07F9" w:rsidRPr="00932A8A">
          <w:rPr>
            <w:noProof/>
            <w:webHidden/>
          </w:rPr>
          <w:fldChar w:fldCharType="end"/>
        </w:r>
      </w:hyperlink>
    </w:p>
    <w:p w:rsidR="000405B4" w:rsidRPr="00932A8A" w:rsidRDefault="00332B77">
      <w:pPr>
        <w:pStyle w:val="Obsah3"/>
        <w:rPr>
          <w:noProof/>
        </w:rPr>
      </w:pPr>
      <w:hyperlink w:anchor="_Toc392151010" w:history="1">
        <w:r w:rsidR="000405B4" w:rsidRPr="00932A8A">
          <w:rPr>
            <w:rStyle w:val="Hypertextovodkaz"/>
            <w:noProof/>
          </w:rPr>
          <w:t>2.3.1</w:t>
        </w:r>
        <w:r w:rsidR="000405B4" w:rsidRPr="00932A8A">
          <w:rPr>
            <w:noProof/>
          </w:rPr>
          <w:tab/>
        </w:r>
        <w:r w:rsidR="000405B4" w:rsidRPr="00932A8A">
          <w:rPr>
            <w:rStyle w:val="Hypertextovodkaz"/>
            <w:noProof/>
          </w:rPr>
          <w:t>Odůvodnění pro vytvoření prioritní osy, která zahrnuje více než jednu kategorii regionů nebo více než jeden tematický cíl či fond</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_Toc392151010 \h </w:instrText>
        </w:r>
        <w:r w:rsidR="000E07F9" w:rsidRPr="00932A8A">
          <w:rPr>
            <w:noProof/>
            <w:webHidden/>
          </w:rPr>
        </w:r>
        <w:r w:rsidR="000E07F9" w:rsidRPr="00932A8A">
          <w:rPr>
            <w:noProof/>
            <w:webHidden/>
          </w:rPr>
          <w:fldChar w:fldCharType="separate"/>
        </w:r>
        <w:r w:rsidR="000405B4" w:rsidRPr="00932A8A">
          <w:rPr>
            <w:noProof/>
            <w:webHidden/>
          </w:rPr>
          <w:t>74</w:t>
        </w:r>
        <w:r w:rsidR="000E07F9" w:rsidRPr="00932A8A">
          <w:rPr>
            <w:noProof/>
            <w:webHidden/>
          </w:rPr>
          <w:fldChar w:fldCharType="end"/>
        </w:r>
      </w:hyperlink>
    </w:p>
    <w:p w:rsidR="000405B4" w:rsidRPr="00932A8A" w:rsidRDefault="00332B77">
      <w:pPr>
        <w:pStyle w:val="Obsah3"/>
        <w:rPr>
          <w:noProof/>
        </w:rPr>
      </w:pPr>
      <w:hyperlink w:anchor="_Toc392151011" w:history="1">
        <w:r w:rsidR="000405B4" w:rsidRPr="00932A8A">
          <w:rPr>
            <w:rStyle w:val="Hypertextovodkaz"/>
            <w:noProof/>
          </w:rPr>
          <w:t>2.3.2</w:t>
        </w:r>
        <w:r w:rsidR="000405B4" w:rsidRPr="00932A8A">
          <w:rPr>
            <w:noProof/>
          </w:rPr>
          <w:tab/>
        </w:r>
        <w:r w:rsidR="000405B4" w:rsidRPr="00932A8A">
          <w:rPr>
            <w:rStyle w:val="Hypertextovodkaz"/>
            <w:noProof/>
          </w:rPr>
          <w:t>Fond, kategorie regionů a základ pro výpočet podpory Unie</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_Toc392151011 \h </w:instrText>
        </w:r>
        <w:r w:rsidR="000E07F9" w:rsidRPr="00932A8A">
          <w:rPr>
            <w:noProof/>
            <w:webHidden/>
          </w:rPr>
        </w:r>
        <w:r w:rsidR="000E07F9" w:rsidRPr="00932A8A">
          <w:rPr>
            <w:noProof/>
            <w:webHidden/>
          </w:rPr>
          <w:fldChar w:fldCharType="separate"/>
        </w:r>
        <w:r w:rsidR="000405B4" w:rsidRPr="00932A8A">
          <w:rPr>
            <w:noProof/>
            <w:webHidden/>
          </w:rPr>
          <w:t>75</w:t>
        </w:r>
        <w:r w:rsidR="000E07F9" w:rsidRPr="00932A8A">
          <w:rPr>
            <w:noProof/>
            <w:webHidden/>
          </w:rPr>
          <w:fldChar w:fldCharType="end"/>
        </w:r>
      </w:hyperlink>
    </w:p>
    <w:p w:rsidR="000405B4" w:rsidRPr="00932A8A" w:rsidRDefault="00332B77">
      <w:pPr>
        <w:pStyle w:val="Obsah3"/>
        <w:rPr>
          <w:noProof/>
        </w:rPr>
      </w:pPr>
      <w:hyperlink w:anchor="_Toc392151012" w:history="1">
        <w:r w:rsidR="000405B4" w:rsidRPr="00932A8A">
          <w:rPr>
            <w:rStyle w:val="Hypertextovodkaz"/>
            <w:noProof/>
          </w:rPr>
          <w:t>2.3.3</w:t>
        </w:r>
        <w:r w:rsidR="000405B4" w:rsidRPr="00932A8A">
          <w:rPr>
            <w:noProof/>
          </w:rPr>
          <w:tab/>
        </w:r>
        <w:r w:rsidR="000405B4" w:rsidRPr="00932A8A">
          <w:rPr>
            <w:rStyle w:val="Hypertextovodkaz"/>
            <w:noProof/>
          </w:rPr>
          <w:t xml:space="preserve">INVESTIČNÍ PRIORITA 1 prioritní osy 3: Zachování a ochrana životního prostředí a podporování účinného využívání zdrojů investicemi do odpadového hospodářství s cílem plnit požadavky </w:t>
        </w:r>
        <w:r w:rsidR="000405B4" w:rsidRPr="00932A8A">
          <w:rPr>
            <w:rStyle w:val="Hypertextovodkaz"/>
            <w:i/>
            <w:noProof/>
          </w:rPr>
          <w:t>acquis</w:t>
        </w:r>
        <w:r w:rsidR="000405B4" w:rsidRPr="00932A8A">
          <w:rPr>
            <w:rStyle w:val="Hypertextovodkaz"/>
            <w:noProof/>
          </w:rPr>
          <w:t xml:space="preserve"> Unie v oblasti životního prostředí a řešením potřeb investic, které podle zjištění členských států přesahují rámec těchto požadavků (Dle Nařízení Evropského parlamentu a Rady (EU) č. 1301/2013 čl. 5 odst. 6 písm. a))</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_Toc392151012 \h </w:instrText>
        </w:r>
        <w:r w:rsidR="000E07F9" w:rsidRPr="00932A8A">
          <w:rPr>
            <w:noProof/>
            <w:webHidden/>
          </w:rPr>
        </w:r>
        <w:r w:rsidR="000E07F9" w:rsidRPr="00932A8A">
          <w:rPr>
            <w:noProof/>
            <w:webHidden/>
          </w:rPr>
          <w:fldChar w:fldCharType="separate"/>
        </w:r>
        <w:r w:rsidR="000405B4" w:rsidRPr="00932A8A">
          <w:rPr>
            <w:noProof/>
            <w:webHidden/>
          </w:rPr>
          <w:t>75</w:t>
        </w:r>
        <w:r w:rsidR="000E07F9" w:rsidRPr="00932A8A">
          <w:rPr>
            <w:noProof/>
            <w:webHidden/>
          </w:rPr>
          <w:fldChar w:fldCharType="end"/>
        </w:r>
      </w:hyperlink>
    </w:p>
    <w:p w:rsidR="000405B4" w:rsidRPr="00932A8A" w:rsidRDefault="00332B77">
      <w:pPr>
        <w:pStyle w:val="Obsah4"/>
        <w:rPr>
          <w:rFonts w:ascii="Cambria" w:hAnsi="Cambria"/>
          <w:noProof/>
        </w:rPr>
      </w:pPr>
      <w:hyperlink w:anchor="_Toc392151013" w:history="1">
        <w:r w:rsidR="000405B4" w:rsidRPr="00932A8A">
          <w:rPr>
            <w:rStyle w:val="Hypertextovodkaz"/>
            <w:rFonts w:ascii="Cambria" w:hAnsi="Cambria"/>
            <w:noProof/>
          </w:rPr>
          <w:t>2.3.3.1</w:t>
        </w:r>
        <w:r w:rsidR="000405B4" w:rsidRPr="00932A8A">
          <w:rPr>
            <w:rFonts w:ascii="Cambria" w:hAnsi="Cambria"/>
            <w:noProof/>
          </w:rPr>
          <w:tab/>
        </w:r>
        <w:r w:rsidR="000405B4" w:rsidRPr="00932A8A">
          <w:rPr>
            <w:rStyle w:val="Hypertextovodkaz"/>
            <w:rFonts w:ascii="Cambria" w:hAnsi="Cambria"/>
            <w:noProof/>
          </w:rPr>
          <w:t>Specifické cíle odpovídající dané investiční prioritě a očekávané výsledky</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_Toc392151013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75</w:t>
        </w:r>
        <w:r w:rsidR="000E07F9" w:rsidRPr="00932A8A">
          <w:rPr>
            <w:rFonts w:ascii="Cambria" w:hAnsi="Cambria"/>
            <w:noProof/>
            <w:webHidden/>
          </w:rPr>
          <w:fldChar w:fldCharType="end"/>
        </w:r>
      </w:hyperlink>
    </w:p>
    <w:p w:rsidR="000405B4" w:rsidRPr="00932A8A" w:rsidRDefault="00332B77">
      <w:pPr>
        <w:pStyle w:val="Obsah4"/>
        <w:rPr>
          <w:rFonts w:ascii="Cambria" w:hAnsi="Cambria"/>
          <w:noProof/>
        </w:rPr>
      </w:pPr>
      <w:hyperlink w:anchor="_Toc392151014" w:history="1">
        <w:r w:rsidR="000405B4" w:rsidRPr="00932A8A">
          <w:rPr>
            <w:rStyle w:val="Hypertextovodkaz"/>
            <w:rFonts w:ascii="Cambria" w:hAnsi="Cambria"/>
            <w:noProof/>
          </w:rPr>
          <w:t>2.3.3.2</w:t>
        </w:r>
        <w:r w:rsidR="000405B4" w:rsidRPr="00932A8A">
          <w:rPr>
            <w:rFonts w:ascii="Cambria" w:hAnsi="Cambria"/>
            <w:noProof/>
          </w:rPr>
          <w:tab/>
        </w:r>
        <w:r w:rsidR="000405B4" w:rsidRPr="00932A8A">
          <w:rPr>
            <w:rStyle w:val="Hypertextovodkaz"/>
            <w:rFonts w:ascii="Cambria" w:hAnsi="Cambria"/>
            <w:noProof/>
          </w:rPr>
          <w:t>Opatření, jež má být podpořeno v rámci investiční priority</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_Toc392151014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80</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15" w:history="1">
        <w:r w:rsidR="000405B4" w:rsidRPr="00932A8A">
          <w:rPr>
            <w:rStyle w:val="Hypertextovodkaz"/>
            <w:rFonts w:ascii="Cambria" w:hAnsi="Cambria"/>
            <w:noProof/>
          </w:rPr>
          <w:t>2.3.3.2.1</w:t>
        </w:r>
        <w:r w:rsidR="000405B4" w:rsidRPr="00932A8A">
          <w:rPr>
            <w:rFonts w:ascii="Cambria" w:hAnsi="Cambria"/>
            <w:noProof/>
          </w:rPr>
          <w:tab/>
        </w:r>
        <w:r w:rsidR="000405B4" w:rsidRPr="00932A8A">
          <w:rPr>
            <w:rStyle w:val="Hypertextovodkaz"/>
            <w:rFonts w:ascii="Cambria" w:hAnsi="Cambria"/>
            <w:noProof/>
          </w:rPr>
          <w:t>Popis typů a příkladů opatření, která mají být podporována, a jejich očekávaný přínos k plnění specifických cílů, případně včetně určení hlavních cílových skupin, konkrétních cílových území a druhů příjemců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_Toc392151015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80</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16" w:history="1">
        <w:r w:rsidR="000405B4" w:rsidRPr="00932A8A">
          <w:rPr>
            <w:rStyle w:val="Hypertextovodkaz"/>
            <w:rFonts w:ascii="Cambria" w:hAnsi="Cambria"/>
            <w:noProof/>
          </w:rPr>
          <w:t>2.3.3.2.2</w:t>
        </w:r>
        <w:r w:rsidR="000405B4" w:rsidRPr="00932A8A">
          <w:rPr>
            <w:rFonts w:ascii="Cambria" w:hAnsi="Cambria"/>
            <w:noProof/>
          </w:rPr>
          <w:tab/>
        </w:r>
        <w:r w:rsidR="000405B4" w:rsidRPr="00932A8A">
          <w:rPr>
            <w:rStyle w:val="Hypertextovodkaz"/>
            <w:rFonts w:ascii="Cambria" w:hAnsi="Cambria"/>
            <w:noProof/>
          </w:rPr>
          <w:t>Hlavní zásady pro výběr operací</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_Toc392151016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84</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17" w:history="1">
        <w:r w:rsidR="000405B4" w:rsidRPr="00932A8A">
          <w:rPr>
            <w:rStyle w:val="Hypertextovodkaz"/>
            <w:rFonts w:ascii="Cambria" w:hAnsi="Cambria"/>
            <w:noProof/>
          </w:rPr>
          <w:t>2.3.3.2.3</w:t>
        </w:r>
        <w:r w:rsidR="000405B4" w:rsidRPr="00932A8A">
          <w:rPr>
            <w:rFonts w:ascii="Cambria" w:hAnsi="Cambria"/>
            <w:noProof/>
          </w:rPr>
          <w:tab/>
        </w:r>
        <w:r w:rsidR="000405B4" w:rsidRPr="00932A8A">
          <w:rPr>
            <w:rStyle w:val="Hypertextovodkaz"/>
            <w:rFonts w:ascii="Cambria" w:hAnsi="Cambria"/>
            <w:noProof/>
          </w:rPr>
          <w:t>Plánované využití finančních nástrojů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_Toc392151017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84</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18" w:history="1">
        <w:r w:rsidR="000405B4" w:rsidRPr="00932A8A">
          <w:rPr>
            <w:rStyle w:val="Hypertextovodkaz"/>
            <w:rFonts w:ascii="Cambria" w:hAnsi="Cambria"/>
            <w:noProof/>
          </w:rPr>
          <w:t>2.3.3.2.4</w:t>
        </w:r>
        <w:r w:rsidR="000405B4" w:rsidRPr="00932A8A">
          <w:rPr>
            <w:rFonts w:ascii="Cambria" w:hAnsi="Cambria"/>
            <w:noProof/>
          </w:rPr>
          <w:tab/>
        </w:r>
        <w:r w:rsidR="000405B4" w:rsidRPr="00932A8A">
          <w:rPr>
            <w:rStyle w:val="Hypertextovodkaz"/>
            <w:rFonts w:ascii="Cambria" w:hAnsi="Cambria"/>
            <w:noProof/>
          </w:rPr>
          <w:t>Plánované využití velkých projektů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_Toc392151018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85</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19" w:history="1">
        <w:r w:rsidR="000405B4" w:rsidRPr="00932A8A">
          <w:rPr>
            <w:rStyle w:val="Hypertextovodkaz"/>
            <w:rFonts w:ascii="Cambria" w:hAnsi="Cambria"/>
            <w:noProof/>
          </w:rPr>
          <w:t>2.3.3.2.5</w:t>
        </w:r>
        <w:r w:rsidR="000405B4" w:rsidRPr="00932A8A">
          <w:rPr>
            <w:rFonts w:ascii="Cambria" w:hAnsi="Cambria"/>
            <w:noProof/>
          </w:rPr>
          <w:tab/>
        </w:r>
        <w:r w:rsidR="000405B4" w:rsidRPr="00932A8A">
          <w:rPr>
            <w:rStyle w:val="Hypertextovodkaz"/>
            <w:rFonts w:ascii="Cambria" w:hAnsi="Cambria"/>
            <w:noProof/>
          </w:rPr>
          <w:t>Ukazatele výstupů podle investiční priority a případně podle kategorie regionů</w:t>
        </w:r>
        <w:r w:rsidR="00932A8A">
          <w:rPr>
            <w:rStyle w:val="Hypertextovodkaz"/>
            <w:rFonts w:ascii="Cambria" w:hAnsi="Cambria"/>
            <w:noProof/>
          </w:rPr>
          <w:t>……</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_Toc392151019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85</w:t>
        </w:r>
        <w:r w:rsidR="000E07F9" w:rsidRPr="00932A8A">
          <w:rPr>
            <w:rFonts w:ascii="Cambria" w:hAnsi="Cambria"/>
            <w:noProof/>
            <w:webHidden/>
          </w:rPr>
          <w:fldChar w:fldCharType="end"/>
        </w:r>
      </w:hyperlink>
    </w:p>
    <w:p w:rsidR="000405B4" w:rsidRPr="00932A8A" w:rsidRDefault="00332B77">
      <w:pPr>
        <w:pStyle w:val="Obsah3"/>
        <w:rPr>
          <w:noProof/>
        </w:rPr>
      </w:pPr>
      <w:hyperlink w:anchor="_Toc392151020" w:history="1">
        <w:r w:rsidR="000405B4" w:rsidRPr="00932A8A">
          <w:rPr>
            <w:rStyle w:val="Hypertextovodkaz"/>
            <w:noProof/>
          </w:rPr>
          <w:t>2.3.4</w:t>
        </w:r>
        <w:r w:rsidR="000405B4" w:rsidRPr="00932A8A">
          <w:rPr>
            <w:noProof/>
          </w:rPr>
          <w:tab/>
        </w:r>
        <w:r w:rsidR="000405B4" w:rsidRPr="00932A8A">
          <w:rPr>
            <w:rStyle w:val="Hypertextovodkaz"/>
            <w:noProof/>
          </w:rPr>
          <w:t>INVESTIČNÍ PRIORITA 2 prioritní osy 3: Podporování přizpůsobení se změně klimatu, předcházení rizikům a řízení rizik podporou investic zaměřených na řešení konkrétních rizik, zajištěním odolnosti vůči katastrofám a vývojem systémů pro zvládání katastrof (Dle Nařízení Evropského parlamentu a Rady (EU) č. 1300/2013 čl. 4 odst. b) písm. ii))</w:t>
        </w:r>
        <w:r w:rsidR="00932A8A">
          <w:rPr>
            <w:rStyle w:val="Hypertextovodkaz"/>
            <w:noProof/>
          </w:rPr>
          <w:t>.</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_Toc392151020 \h </w:instrText>
        </w:r>
        <w:r w:rsidR="000E07F9" w:rsidRPr="00932A8A">
          <w:rPr>
            <w:noProof/>
            <w:webHidden/>
          </w:rPr>
        </w:r>
        <w:r w:rsidR="000E07F9" w:rsidRPr="00932A8A">
          <w:rPr>
            <w:noProof/>
            <w:webHidden/>
          </w:rPr>
          <w:fldChar w:fldCharType="separate"/>
        </w:r>
        <w:r w:rsidR="000405B4" w:rsidRPr="00932A8A">
          <w:rPr>
            <w:noProof/>
            <w:webHidden/>
          </w:rPr>
          <w:t>87</w:t>
        </w:r>
        <w:r w:rsidR="000E07F9" w:rsidRPr="00932A8A">
          <w:rPr>
            <w:noProof/>
            <w:webHidden/>
          </w:rPr>
          <w:fldChar w:fldCharType="end"/>
        </w:r>
      </w:hyperlink>
    </w:p>
    <w:p w:rsidR="000405B4" w:rsidRPr="00932A8A" w:rsidRDefault="00332B77">
      <w:pPr>
        <w:pStyle w:val="Obsah4"/>
        <w:rPr>
          <w:rFonts w:ascii="Cambria" w:hAnsi="Cambria"/>
          <w:noProof/>
        </w:rPr>
      </w:pPr>
      <w:hyperlink w:anchor="_Toc392151021" w:history="1">
        <w:r w:rsidR="000405B4" w:rsidRPr="00932A8A">
          <w:rPr>
            <w:rStyle w:val="Hypertextovodkaz"/>
            <w:rFonts w:ascii="Cambria" w:hAnsi="Cambria"/>
            <w:noProof/>
          </w:rPr>
          <w:t>2.3.4.1</w:t>
        </w:r>
        <w:r w:rsidR="000405B4" w:rsidRPr="00932A8A">
          <w:rPr>
            <w:rFonts w:ascii="Cambria" w:hAnsi="Cambria"/>
            <w:noProof/>
          </w:rPr>
          <w:tab/>
        </w:r>
        <w:r w:rsidR="000405B4" w:rsidRPr="00932A8A">
          <w:rPr>
            <w:rStyle w:val="Hypertextovodkaz"/>
            <w:rFonts w:ascii="Cambria" w:hAnsi="Cambria"/>
            <w:noProof/>
          </w:rPr>
          <w:t>Specifické cíle odpovídající dané investiční prioritě a očekávané výsledky</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_Toc392151021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87</w:t>
        </w:r>
        <w:r w:rsidR="000E07F9" w:rsidRPr="00932A8A">
          <w:rPr>
            <w:rFonts w:ascii="Cambria" w:hAnsi="Cambria"/>
            <w:noProof/>
            <w:webHidden/>
          </w:rPr>
          <w:fldChar w:fldCharType="end"/>
        </w:r>
      </w:hyperlink>
    </w:p>
    <w:p w:rsidR="000405B4" w:rsidRPr="00932A8A" w:rsidRDefault="00332B77">
      <w:pPr>
        <w:pStyle w:val="Obsah4"/>
        <w:rPr>
          <w:rFonts w:ascii="Cambria" w:hAnsi="Cambria"/>
          <w:noProof/>
        </w:rPr>
      </w:pPr>
      <w:hyperlink w:anchor="_Toc392151022" w:history="1">
        <w:r w:rsidR="000405B4" w:rsidRPr="00932A8A">
          <w:rPr>
            <w:rStyle w:val="Hypertextovodkaz"/>
            <w:rFonts w:ascii="Cambria" w:hAnsi="Cambria"/>
            <w:noProof/>
          </w:rPr>
          <w:t>2.3.4.2</w:t>
        </w:r>
        <w:r w:rsidR="000405B4" w:rsidRPr="00932A8A">
          <w:rPr>
            <w:rFonts w:ascii="Cambria" w:hAnsi="Cambria"/>
            <w:noProof/>
          </w:rPr>
          <w:tab/>
        </w:r>
        <w:r w:rsidR="000405B4" w:rsidRPr="00932A8A">
          <w:rPr>
            <w:rStyle w:val="Hypertextovodkaz"/>
            <w:rFonts w:ascii="Cambria" w:hAnsi="Cambria"/>
            <w:noProof/>
          </w:rPr>
          <w:t>Opatření, jež má být podpořeno v rámci investiční priority</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_Toc392151022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89</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23" w:history="1">
        <w:r w:rsidR="000405B4" w:rsidRPr="00932A8A">
          <w:rPr>
            <w:rStyle w:val="Hypertextovodkaz"/>
            <w:rFonts w:ascii="Cambria" w:hAnsi="Cambria"/>
            <w:noProof/>
          </w:rPr>
          <w:t>2.3.4.2.1</w:t>
        </w:r>
        <w:r w:rsidR="000405B4" w:rsidRPr="00932A8A">
          <w:rPr>
            <w:rFonts w:ascii="Cambria" w:hAnsi="Cambria"/>
            <w:noProof/>
          </w:rPr>
          <w:tab/>
        </w:r>
        <w:r w:rsidR="000405B4" w:rsidRPr="00932A8A">
          <w:rPr>
            <w:rStyle w:val="Hypertextovodkaz"/>
            <w:rFonts w:ascii="Cambria" w:hAnsi="Cambria"/>
            <w:noProof/>
          </w:rPr>
          <w:t>Popis typů a příkladů opatření, která mají výt podporována, a jejich očekávaný přínos k plnění specifických cílů, případně včetně určení hlavních cílových skupin, konkrétních cílových území a druhů příjemců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_Toc392151023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89</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24" w:history="1">
        <w:r w:rsidR="000405B4" w:rsidRPr="00932A8A">
          <w:rPr>
            <w:rStyle w:val="Hypertextovodkaz"/>
            <w:rFonts w:ascii="Cambria" w:hAnsi="Cambria"/>
            <w:noProof/>
          </w:rPr>
          <w:t>2.3.4.2.2</w:t>
        </w:r>
        <w:r w:rsidR="000405B4" w:rsidRPr="00932A8A">
          <w:rPr>
            <w:rFonts w:ascii="Cambria" w:hAnsi="Cambria"/>
            <w:noProof/>
          </w:rPr>
          <w:tab/>
        </w:r>
        <w:r w:rsidR="000405B4" w:rsidRPr="00932A8A">
          <w:rPr>
            <w:rStyle w:val="Hypertextovodkaz"/>
            <w:rFonts w:ascii="Cambria" w:hAnsi="Cambria"/>
            <w:noProof/>
          </w:rPr>
          <w:t>Hlavní zásady pro výběr operací</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_Toc392151024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90</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25" w:history="1">
        <w:r w:rsidR="000405B4" w:rsidRPr="00932A8A">
          <w:rPr>
            <w:rStyle w:val="Hypertextovodkaz"/>
            <w:rFonts w:ascii="Cambria" w:hAnsi="Cambria"/>
            <w:noProof/>
          </w:rPr>
          <w:t>2.3.4.2.3</w:t>
        </w:r>
        <w:r w:rsidR="000405B4" w:rsidRPr="00932A8A">
          <w:rPr>
            <w:rFonts w:ascii="Cambria" w:hAnsi="Cambria"/>
            <w:noProof/>
          </w:rPr>
          <w:tab/>
        </w:r>
        <w:r w:rsidR="000405B4" w:rsidRPr="00932A8A">
          <w:rPr>
            <w:rStyle w:val="Hypertextovodkaz"/>
            <w:rFonts w:ascii="Cambria" w:hAnsi="Cambria"/>
            <w:noProof/>
          </w:rPr>
          <w:t>Plánované využití finančních nástrojů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_Toc392151025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90</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26" w:history="1">
        <w:r w:rsidR="000405B4" w:rsidRPr="00932A8A">
          <w:rPr>
            <w:rStyle w:val="Hypertextovodkaz"/>
            <w:rFonts w:ascii="Cambria" w:hAnsi="Cambria"/>
            <w:noProof/>
          </w:rPr>
          <w:t>2.3.4.2.4</w:t>
        </w:r>
        <w:r w:rsidR="000405B4" w:rsidRPr="00932A8A">
          <w:rPr>
            <w:rFonts w:ascii="Cambria" w:hAnsi="Cambria"/>
            <w:noProof/>
          </w:rPr>
          <w:tab/>
        </w:r>
        <w:r w:rsidR="000405B4" w:rsidRPr="00932A8A">
          <w:rPr>
            <w:rStyle w:val="Hypertextovodkaz"/>
            <w:rFonts w:ascii="Cambria" w:hAnsi="Cambria"/>
            <w:noProof/>
          </w:rPr>
          <w:t>Plánované využití velkých projektů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_Toc392151026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90</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27" w:history="1">
        <w:r w:rsidR="000405B4" w:rsidRPr="00932A8A">
          <w:rPr>
            <w:rStyle w:val="Hypertextovodkaz"/>
            <w:rFonts w:ascii="Cambria" w:hAnsi="Cambria"/>
            <w:noProof/>
          </w:rPr>
          <w:t>2.3.4.2.5</w:t>
        </w:r>
        <w:r w:rsidR="000405B4" w:rsidRPr="00932A8A">
          <w:rPr>
            <w:rFonts w:ascii="Cambria" w:hAnsi="Cambria"/>
            <w:noProof/>
          </w:rPr>
          <w:tab/>
        </w:r>
        <w:r w:rsidR="000405B4" w:rsidRPr="00932A8A">
          <w:rPr>
            <w:rStyle w:val="Hypertextovodkaz"/>
            <w:rFonts w:ascii="Cambria" w:hAnsi="Cambria"/>
            <w:noProof/>
          </w:rPr>
          <w:t>Ukazatele výstupů podle investiční priority a případně podle kategorie regionů</w:t>
        </w:r>
        <w:r w:rsidR="00932A8A">
          <w:rPr>
            <w:rStyle w:val="Hypertextovodkaz"/>
            <w:rFonts w:ascii="Cambria" w:hAnsi="Cambria"/>
            <w:noProof/>
          </w:rPr>
          <w:t>……</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_Toc392151027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91</w:t>
        </w:r>
        <w:r w:rsidR="000E07F9" w:rsidRPr="00932A8A">
          <w:rPr>
            <w:rFonts w:ascii="Cambria" w:hAnsi="Cambria"/>
            <w:noProof/>
            <w:webHidden/>
          </w:rPr>
          <w:fldChar w:fldCharType="end"/>
        </w:r>
      </w:hyperlink>
    </w:p>
    <w:p w:rsidR="000405B4" w:rsidRPr="00932A8A" w:rsidRDefault="00332B77">
      <w:pPr>
        <w:pStyle w:val="Obsah3"/>
        <w:rPr>
          <w:noProof/>
        </w:rPr>
      </w:pPr>
      <w:hyperlink w:anchor="_Toc392151028" w:history="1">
        <w:r w:rsidR="000405B4" w:rsidRPr="00932A8A">
          <w:rPr>
            <w:rStyle w:val="Hypertextovodkaz"/>
            <w:noProof/>
          </w:rPr>
          <w:t>2.3.5</w:t>
        </w:r>
        <w:r w:rsidR="000405B4" w:rsidRPr="00932A8A">
          <w:rPr>
            <w:noProof/>
          </w:rPr>
          <w:tab/>
        </w:r>
        <w:r w:rsidR="000405B4" w:rsidRPr="00932A8A">
          <w:rPr>
            <w:rStyle w:val="Hypertextovodkaz"/>
            <w:noProof/>
          </w:rPr>
          <w:t>INVESTIČNÍ PRIORITA 3 prioritní osy 3: Podporování přizpůsobení se změně klimatu, předcházení rizikům a jejich řízení podporou investic zaměřených na řešení konkrétních rizik, zajištěním odolnosti vůči katastrofám a vývojem systémů krizového řízení (Dle Nařízení Evropského parlamentu a Rady (EU) č. 1301/2013 čl. 5 odst. 5 písm. b))</w:t>
        </w:r>
        <w:r w:rsidR="00932A8A">
          <w:rPr>
            <w:rStyle w:val="Hypertextovodkaz"/>
            <w:noProof/>
          </w:rPr>
          <w:t>…………</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_Toc392151028 \h </w:instrText>
        </w:r>
        <w:r w:rsidR="000E07F9" w:rsidRPr="00932A8A">
          <w:rPr>
            <w:noProof/>
            <w:webHidden/>
          </w:rPr>
        </w:r>
        <w:r w:rsidR="000E07F9" w:rsidRPr="00932A8A">
          <w:rPr>
            <w:noProof/>
            <w:webHidden/>
          </w:rPr>
          <w:fldChar w:fldCharType="separate"/>
        </w:r>
        <w:r w:rsidR="000405B4" w:rsidRPr="00932A8A">
          <w:rPr>
            <w:noProof/>
            <w:webHidden/>
          </w:rPr>
          <w:t>92</w:t>
        </w:r>
        <w:r w:rsidR="000E07F9" w:rsidRPr="00932A8A">
          <w:rPr>
            <w:noProof/>
            <w:webHidden/>
          </w:rPr>
          <w:fldChar w:fldCharType="end"/>
        </w:r>
      </w:hyperlink>
    </w:p>
    <w:p w:rsidR="000405B4" w:rsidRPr="00932A8A" w:rsidRDefault="00332B77">
      <w:pPr>
        <w:pStyle w:val="Obsah4"/>
        <w:rPr>
          <w:rFonts w:ascii="Cambria" w:hAnsi="Cambria"/>
          <w:noProof/>
        </w:rPr>
      </w:pPr>
      <w:hyperlink w:anchor="_Toc392151029" w:history="1">
        <w:r w:rsidR="000405B4" w:rsidRPr="00932A8A">
          <w:rPr>
            <w:rStyle w:val="Hypertextovodkaz"/>
            <w:rFonts w:ascii="Cambria" w:hAnsi="Cambria"/>
            <w:noProof/>
          </w:rPr>
          <w:t>2.3.5.1</w:t>
        </w:r>
        <w:r w:rsidR="000405B4" w:rsidRPr="00932A8A">
          <w:rPr>
            <w:rFonts w:ascii="Cambria" w:hAnsi="Cambria"/>
            <w:noProof/>
          </w:rPr>
          <w:tab/>
        </w:r>
        <w:r w:rsidR="000405B4" w:rsidRPr="00932A8A">
          <w:rPr>
            <w:rStyle w:val="Hypertextovodkaz"/>
            <w:rFonts w:ascii="Cambria" w:hAnsi="Cambria"/>
            <w:noProof/>
          </w:rPr>
          <w:t>Specifické cíle odpovídající dané investiční prioritě a očekávané výsledky</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_Toc392151029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92</w:t>
        </w:r>
        <w:r w:rsidR="000E07F9" w:rsidRPr="00932A8A">
          <w:rPr>
            <w:rFonts w:ascii="Cambria" w:hAnsi="Cambria"/>
            <w:noProof/>
            <w:webHidden/>
          </w:rPr>
          <w:fldChar w:fldCharType="end"/>
        </w:r>
      </w:hyperlink>
    </w:p>
    <w:p w:rsidR="000405B4" w:rsidRPr="00932A8A" w:rsidRDefault="00332B77">
      <w:pPr>
        <w:pStyle w:val="Obsah4"/>
        <w:rPr>
          <w:rFonts w:ascii="Cambria" w:hAnsi="Cambria"/>
          <w:noProof/>
        </w:rPr>
      </w:pPr>
      <w:hyperlink w:anchor="_Toc392151030" w:history="1">
        <w:r w:rsidR="000405B4" w:rsidRPr="00932A8A">
          <w:rPr>
            <w:rStyle w:val="Hypertextovodkaz"/>
            <w:rFonts w:ascii="Cambria" w:hAnsi="Cambria"/>
            <w:noProof/>
          </w:rPr>
          <w:t>2.3.5.2</w:t>
        </w:r>
        <w:r w:rsidR="000405B4" w:rsidRPr="00932A8A">
          <w:rPr>
            <w:rFonts w:ascii="Cambria" w:hAnsi="Cambria"/>
            <w:noProof/>
          </w:rPr>
          <w:tab/>
        </w:r>
        <w:r w:rsidR="000405B4" w:rsidRPr="00932A8A">
          <w:rPr>
            <w:rStyle w:val="Hypertextovodkaz"/>
            <w:rFonts w:ascii="Cambria" w:hAnsi="Cambria"/>
            <w:noProof/>
          </w:rPr>
          <w:t>Opatření, jež má být podpořeno v rámci investiční priority</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_Toc392151030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93</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31" w:history="1">
        <w:r w:rsidR="000405B4" w:rsidRPr="00932A8A">
          <w:rPr>
            <w:rStyle w:val="Hypertextovodkaz"/>
            <w:rFonts w:ascii="Cambria" w:hAnsi="Cambria"/>
            <w:noProof/>
          </w:rPr>
          <w:t>2.3.5.2.1</w:t>
        </w:r>
        <w:r w:rsidR="000405B4" w:rsidRPr="00932A8A">
          <w:rPr>
            <w:rFonts w:ascii="Cambria" w:hAnsi="Cambria"/>
            <w:noProof/>
          </w:rPr>
          <w:tab/>
        </w:r>
        <w:r w:rsidR="000405B4" w:rsidRPr="00932A8A">
          <w:rPr>
            <w:rStyle w:val="Hypertextovodkaz"/>
            <w:rFonts w:ascii="Cambria" w:hAnsi="Cambria"/>
            <w:noProof/>
          </w:rPr>
          <w:t>Popis typů a příkladů opatření, která mají být podporována, a jejich očekávaný přínos k plnění specifických cílů, případně včetně hlavních cílových skupin, konkrétních cílových území a druhů příjemců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_Toc392151031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93</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32" w:history="1">
        <w:r w:rsidR="000405B4" w:rsidRPr="00932A8A">
          <w:rPr>
            <w:rStyle w:val="Hypertextovodkaz"/>
            <w:rFonts w:ascii="Cambria" w:hAnsi="Cambria"/>
            <w:noProof/>
          </w:rPr>
          <w:t>2.3.5.2.2</w:t>
        </w:r>
        <w:r w:rsidR="000405B4" w:rsidRPr="00932A8A">
          <w:rPr>
            <w:rFonts w:ascii="Cambria" w:hAnsi="Cambria"/>
            <w:noProof/>
          </w:rPr>
          <w:tab/>
        </w:r>
        <w:r w:rsidR="000405B4" w:rsidRPr="00932A8A">
          <w:rPr>
            <w:rStyle w:val="Hypertextovodkaz"/>
            <w:rFonts w:ascii="Cambria" w:hAnsi="Cambria"/>
            <w:noProof/>
          </w:rPr>
          <w:t>Hlavní zásady pro výběr operací</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_Toc392151032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95</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33" w:history="1">
        <w:r w:rsidR="000405B4" w:rsidRPr="00932A8A">
          <w:rPr>
            <w:rStyle w:val="Hypertextovodkaz"/>
            <w:rFonts w:ascii="Cambria" w:hAnsi="Cambria"/>
            <w:noProof/>
          </w:rPr>
          <w:t>2.3.5.2.3</w:t>
        </w:r>
        <w:r w:rsidR="000405B4" w:rsidRPr="00932A8A">
          <w:rPr>
            <w:rFonts w:ascii="Cambria" w:hAnsi="Cambria"/>
            <w:noProof/>
          </w:rPr>
          <w:tab/>
        </w:r>
        <w:r w:rsidR="000405B4" w:rsidRPr="00932A8A">
          <w:rPr>
            <w:rStyle w:val="Hypertextovodkaz"/>
            <w:rFonts w:ascii="Cambria" w:hAnsi="Cambria"/>
            <w:noProof/>
          </w:rPr>
          <w:t>Plánované využití finančních nástrojů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_Toc392151033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95</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34" w:history="1">
        <w:r w:rsidR="000405B4" w:rsidRPr="00932A8A">
          <w:rPr>
            <w:rStyle w:val="Hypertextovodkaz"/>
            <w:rFonts w:ascii="Cambria" w:hAnsi="Cambria"/>
            <w:noProof/>
          </w:rPr>
          <w:t>2.3.5.2.4</w:t>
        </w:r>
        <w:r w:rsidR="000405B4" w:rsidRPr="00932A8A">
          <w:rPr>
            <w:rFonts w:ascii="Cambria" w:hAnsi="Cambria"/>
            <w:noProof/>
          </w:rPr>
          <w:tab/>
        </w:r>
        <w:r w:rsidR="000405B4" w:rsidRPr="00932A8A">
          <w:rPr>
            <w:rStyle w:val="Hypertextovodkaz"/>
            <w:rFonts w:ascii="Cambria" w:hAnsi="Cambria"/>
            <w:noProof/>
          </w:rPr>
          <w:t>Plánované využití velkých projektů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_Toc392151034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95</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35" w:history="1">
        <w:r w:rsidR="000405B4" w:rsidRPr="00932A8A">
          <w:rPr>
            <w:rStyle w:val="Hypertextovodkaz"/>
            <w:rFonts w:ascii="Cambria" w:hAnsi="Cambria"/>
            <w:noProof/>
          </w:rPr>
          <w:t>2.3.5.2.5</w:t>
        </w:r>
        <w:r w:rsidR="000405B4" w:rsidRPr="00932A8A">
          <w:rPr>
            <w:rFonts w:ascii="Cambria" w:hAnsi="Cambria"/>
            <w:noProof/>
          </w:rPr>
          <w:tab/>
        </w:r>
        <w:r w:rsidR="000405B4" w:rsidRPr="00932A8A">
          <w:rPr>
            <w:rStyle w:val="Hypertextovodkaz"/>
            <w:rFonts w:ascii="Cambria" w:hAnsi="Cambria"/>
            <w:noProof/>
          </w:rPr>
          <w:t>Ukazatele výstupů podle investiční priority a případně podle kategorie regionů</w:t>
        </w:r>
        <w:r w:rsidR="00932A8A">
          <w:rPr>
            <w:rStyle w:val="Hypertextovodkaz"/>
            <w:rFonts w:ascii="Cambria" w:hAnsi="Cambria"/>
            <w:noProof/>
          </w:rPr>
          <w:t>……</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_Toc392151035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95</w:t>
        </w:r>
        <w:r w:rsidR="000E07F9" w:rsidRPr="00932A8A">
          <w:rPr>
            <w:rFonts w:ascii="Cambria" w:hAnsi="Cambria"/>
            <w:noProof/>
            <w:webHidden/>
          </w:rPr>
          <w:fldChar w:fldCharType="end"/>
        </w:r>
      </w:hyperlink>
    </w:p>
    <w:p w:rsidR="000405B4" w:rsidRPr="00932A8A" w:rsidRDefault="00332B77">
      <w:pPr>
        <w:pStyle w:val="Obsah3"/>
        <w:rPr>
          <w:noProof/>
        </w:rPr>
      </w:pPr>
      <w:hyperlink w:anchor="_Toc392151036" w:history="1">
        <w:r w:rsidR="000405B4" w:rsidRPr="00932A8A">
          <w:rPr>
            <w:rStyle w:val="Hypertextovodkaz"/>
            <w:noProof/>
          </w:rPr>
          <w:t>2.3.6</w:t>
        </w:r>
        <w:r w:rsidR="000405B4" w:rsidRPr="00932A8A">
          <w:rPr>
            <w:noProof/>
          </w:rPr>
          <w:tab/>
        </w:r>
        <w:r w:rsidR="000405B4" w:rsidRPr="00932A8A">
          <w:rPr>
            <w:rStyle w:val="Hypertextovodkaz"/>
            <w:noProof/>
          </w:rPr>
          <w:t>Výkonnostní rámec</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_Toc392151036 \h </w:instrText>
        </w:r>
        <w:r w:rsidR="000E07F9" w:rsidRPr="00932A8A">
          <w:rPr>
            <w:noProof/>
            <w:webHidden/>
          </w:rPr>
        </w:r>
        <w:r w:rsidR="000E07F9" w:rsidRPr="00932A8A">
          <w:rPr>
            <w:noProof/>
            <w:webHidden/>
          </w:rPr>
          <w:fldChar w:fldCharType="separate"/>
        </w:r>
        <w:r w:rsidR="000405B4" w:rsidRPr="00932A8A">
          <w:rPr>
            <w:noProof/>
            <w:webHidden/>
          </w:rPr>
          <w:t>96</w:t>
        </w:r>
        <w:r w:rsidR="000E07F9" w:rsidRPr="00932A8A">
          <w:rPr>
            <w:noProof/>
            <w:webHidden/>
          </w:rPr>
          <w:fldChar w:fldCharType="end"/>
        </w:r>
      </w:hyperlink>
    </w:p>
    <w:p w:rsidR="000405B4" w:rsidRPr="00932A8A" w:rsidRDefault="00332B77">
      <w:pPr>
        <w:pStyle w:val="Obsah3"/>
        <w:rPr>
          <w:noProof/>
        </w:rPr>
      </w:pPr>
      <w:hyperlink w:anchor="_Toc392151037" w:history="1">
        <w:r w:rsidR="000405B4" w:rsidRPr="00932A8A">
          <w:rPr>
            <w:rStyle w:val="Hypertextovodkaz"/>
            <w:noProof/>
          </w:rPr>
          <w:t>2.3.7</w:t>
        </w:r>
        <w:r w:rsidR="000405B4" w:rsidRPr="00932A8A">
          <w:rPr>
            <w:noProof/>
          </w:rPr>
          <w:tab/>
        </w:r>
        <w:r w:rsidR="000405B4" w:rsidRPr="00932A8A">
          <w:rPr>
            <w:rStyle w:val="Hypertextovodkaz"/>
            <w:noProof/>
          </w:rPr>
          <w:t>Kategorie zásahů</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_Toc392151037 \h </w:instrText>
        </w:r>
        <w:r w:rsidR="000E07F9" w:rsidRPr="00932A8A">
          <w:rPr>
            <w:noProof/>
            <w:webHidden/>
          </w:rPr>
        </w:r>
        <w:r w:rsidR="000E07F9" w:rsidRPr="00932A8A">
          <w:rPr>
            <w:noProof/>
            <w:webHidden/>
          </w:rPr>
          <w:fldChar w:fldCharType="separate"/>
        </w:r>
        <w:r w:rsidR="000405B4" w:rsidRPr="00932A8A">
          <w:rPr>
            <w:noProof/>
            <w:webHidden/>
          </w:rPr>
          <w:t>98</w:t>
        </w:r>
        <w:r w:rsidR="000E07F9" w:rsidRPr="00932A8A">
          <w:rPr>
            <w:noProof/>
            <w:webHidden/>
          </w:rPr>
          <w:fldChar w:fldCharType="end"/>
        </w:r>
      </w:hyperlink>
    </w:p>
    <w:p w:rsidR="000405B4" w:rsidRPr="00932A8A" w:rsidRDefault="00332B77">
      <w:pPr>
        <w:pStyle w:val="Obsah2"/>
        <w:rPr>
          <w:noProof/>
        </w:rPr>
      </w:pPr>
      <w:hyperlink w:anchor="_Toc392151038" w:history="1">
        <w:r w:rsidR="000405B4" w:rsidRPr="00932A8A">
          <w:rPr>
            <w:rStyle w:val="Hypertextovodkaz"/>
            <w:noProof/>
          </w:rPr>
          <w:t>2.4</w:t>
        </w:r>
        <w:r w:rsidR="000405B4" w:rsidRPr="00932A8A">
          <w:rPr>
            <w:noProof/>
          </w:rPr>
          <w:tab/>
        </w:r>
        <w:r w:rsidR="000405B4" w:rsidRPr="00932A8A">
          <w:rPr>
            <w:rStyle w:val="Hypertextovodkaz"/>
            <w:noProof/>
          </w:rPr>
          <w:t>PRIORITNÍ OSA 4: Ochrana a péče o přírodu a krajinu</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_Toc392151038 \h </w:instrText>
        </w:r>
        <w:r w:rsidR="000E07F9" w:rsidRPr="00932A8A">
          <w:rPr>
            <w:noProof/>
            <w:webHidden/>
          </w:rPr>
        </w:r>
        <w:r w:rsidR="000E07F9" w:rsidRPr="00932A8A">
          <w:rPr>
            <w:noProof/>
            <w:webHidden/>
          </w:rPr>
          <w:fldChar w:fldCharType="separate"/>
        </w:r>
        <w:r w:rsidR="000405B4" w:rsidRPr="00932A8A">
          <w:rPr>
            <w:noProof/>
            <w:webHidden/>
          </w:rPr>
          <w:t>100</w:t>
        </w:r>
        <w:r w:rsidR="000E07F9" w:rsidRPr="00932A8A">
          <w:rPr>
            <w:noProof/>
            <w:webHidden/>
          </w:rPr>
          <w:fldChar w:fldCharType="end"/>
        </w:r>
      </w:hyperlink>
    </w:p>
    <w:p w:rsidR="000405B4" w:rsidRPr="00932A8A" w:rsidRDefault="00332B77">
      <w:pPr>
        <w:pStyle w:val="Obsah3"/>
        <w:rPr>
          <w:noProof/>
        </w:rPr>
      </w:pPr>
      <w:hyperlink w:anchor="_Toc392151039" w:history="1">
        <w:r w:rsidR="000405B4" w:rsidRPr="00932A8A">
          <w:rPr>
            <w:rStyle w:val="Hypertextovodkaz"/>
            <w:noProof/>
          </w:rPr>
          <w:t>2.4.1</w:t>
        </w:r>
        <w:r w:rsidR="000405B4" w:rsidRPr="00932A8A">
          <w:rPr>
            <w:noProof/>
          </w:rPr>
          <w:tab/>
        </w:r>
        <w:r w:rsidR="000405B4" w:rsidRPr="00932A8A">
          <w:rPr>
            <w:rStyle w:val="Hypertextovodkaz"/>
            <w:noProof/>
          </w:rPr>
          <w:t>Odůvodnění pro vytvoření prioritní osy, která zahrnuje více než jednu kategorii regionů nebo více než jeden tematický cíl či fond</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_Toc392151039 \h </w:instrText>
        </w:r>
        <w:r w:rsidR="000E07F9" w:rsidRPr="00932A8A">
          <w:rPr>
            <w:noProof/>
            <w:webHidden/>
          </w:rPr>
        </w:r>
        <w:r w:rsidR="000E07F9" w:rsidRPr="00932A8A">
          <w:rPr>
            <w:noProof/>
            <w:webHidden/>
          </w:rPr>
          <w:fldChar w:fldCharType="separate"/>
        </w:r>
        <w:r w:rsidR="000405B4" w:rsidRPr="00932A8A">
          <w:rPr>
            <w:noProof/>
            <w:webHidden/>
          </w:rPr>
          <w:t>100</w:t>
        </w:r>
        <w:r w:rsidR="000E07F9" w:rsidRPr="00932A8A">
          <w:rPr>
            <w:noProof/>
            <w:webHidden/>
          </w:rPr>
          <w:fldChar w:fldCharType="end"/>
        </w:r>
      </w:hyperlink>
    </w:p>
    <w:p w:rsidR="000405B4" w:rsidRPr="00932A8A" w:rsidRDefault="00332B77">
      <w:pPr>
        <w:pStyle w:val="Obsah3"/>
        <w:rPr>
          <w:noProof/>
        </w:rPr>
      </w:pPr>
      <w:hyperlink w:anchor="_Toc392151040" w:history="1">
        <w:r w:rsidR="000405B4" w:rsidRPr="00932A8A">
          <w:rPr>
            <w:rStyle w:val="Hypertextovodkaz"/>
            <w:noProof/>
          </w:rPr>
          <w:t>2.4.2</w:t>
        </w:r>
        <w:r w:rsidR="000405B4" w:rsidRPr="00932A8A">
          <w:rPr>
            <w:noProof/>
          </w:rPr>
          <w:tab/>
        </w:r>
        <w:r w:rsidR="000405B4" w:rsidRPr="00932A8A">
          <w:rPr>
            <w:rStyle w:val="Hypertextovodkaz"/>
            <w:noProof/>
          </w:rPr>
          <w:t>Fond, kategorie regionů a základ pro výpočet podpory Unie</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_Toc392151040 \h </w:instrText>
        </w:r>
        <w:r w:rsidR="000E07F9" w:rsidRPr="00932A8A">
          <w:rPr>
            <w:noProof/>
            <w:webHidden/>
          </w:rPr>
        </w:r>
        <w:r w:rsidR="000E07F9" w:rsidRPr="00932A8A">
          <w:rPr>
            <w:noProof/>
            <w:webHidden/>
          </w:rPr>
          <w:fldChar w:fldCharType="separate"/>
        </w:r>
        <w:r w:rsidR="000405B4" w:rsidRPr="00932A8A">
          <w:rPr>
            <w:noProof/>
            <w:webHidden/>
          </w:rPr>
          <w:t>100</w:t>
        </w:r>
        <w:r w:rsidR="000E07F9" w:rsidRPr="00932A8A">
          <w:rPr>
            <w:noProof/>
            <w:webHidden/>
          </w:rPr>
          <w:fldChar w:fldCharType="end"/>
        </w:r>
      </w:hyperlink>
    </w:p>
    <w:p w:rsidR="000405B4" w:rsidRPr="00932A8A" w:rsidRDefault="00332B77">
      <w:pPr>
        <w:pStyle w:val="Obsah3"/>
        <w:rPr>
          <w:noProof/>
        </w:rPr>
      </w:pPr>
      <w:hyperlink w:anchor="_Toc392151041" w:history="1">
        <w:r w:rsidR="000405B4" w:rsidRPr="00932A8A">
          <w:rPr>
            <w:rStyle w:val="Hypertextovodkaz"/>
            <w:noProof/>
          </w:rPr>
          <w:t>2.4.3</w:t>
        </w:r>
        <w:r w:rsidR="000405B4" w:rsidRPr="00932A8A">
          <w:rPr>
            <w:noProof/>
          </w:rPr>
          <w:tab/>
        </w:r>
        <w:r w:rsidR="000405B4" w:rsidRPr="00932A8A">
          <w:rPr>
            <w:rStyle w:val="Hypertextovodkaz"/>
            <w:noProof/>
          </w:rPr>
          <w:t>INVESTIČNÍ PRIORITA 1 prioritní osy 4: Zachování a ochrana životního prostředí a podporování účinného využívání zdrojů ochranou a obnovou biologické rozmanitosti a půdy a podporou ekosystémových služeb, včetně prostřednictvím sítě NATURA 2000 a ekologických infrastruktur (Dle Nařízení Evropského parlamentu a Rady (EU) č. 1301/2013, čl. 5 odst. 6 písm. d))</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_Toc392151041 \h </w:instrText>
        </w:r>
        <w:r w:rsidR="000E07F9" w:rsidRPr="00932A8A">
          <w:rPr>
            <w:noProof/>
            <w:webHidden/>
          </w:rPr>
        </w:r>
        <w:r w:rsidR="000E07F9" w:rsidRPr="00932A8A">
          <w:rPr>
            <w:noProof/>
            <w:webHidden/>
          </w:rPr>
          <w:fldChar w:fldCharType="separate"/>
        </w:r>
        <w:r w:rsidR="000405B4" w:rsidRPr="00932A8A">
          <w:rPr>
            <w:noProof/>
            <w:webHidden/>
          </w:rPr>
          <w:t>100</w:t>
        </w:r>
        <w:r w:rsidR="000E07F9" w:rsidRPr="00932A8A">
          <w:rPr>
            <w:noProof/>
            <w:webHidden/>
          </w:rPr>
          <w:fldChar w:fldCharType="end"/>
        </w:r>
      </w:hyperlink>
    </w:p>
    <w:p w:rsidR="000405B4" w:rsidRPr="00932A8A" w:rsidRDefault="00332B77">
      <w:pPr>
        <w:pStyle w:val="Obsah4"/>
        <w:rPr>
          <w:rFonts w:ascii="Cambria" w:hAnsi="Cambria"/>
          <w:noProof/>
        </w:rPr>
      </w:pPr>
      <w:hyperlink w:anchor="_Toc392151042" w:history="1">
        <w:r w:rsidR="000405B4" w:rsidRPr="00932A8A">
          <w:rPr>
            <w:rStyle w:val="Hypertextovodkaz"/>
            <w:rFonts w:ascii="Cambria" w:hAnsi="Cambria"/>
            <w:noProof/>
          </w:rPr>
          <w:t>2.4.3.1</w:t>
        </w:r>
        <w:r w:rsidR="000405B4" w:rsidRPr="00932A8A">
          <w:rPr>
            <w:rFonts w:ascii="Cambria" w:hAnsi="Cambria"/>
            <w:noProof/>
          </w:rPr>
          <w:tab/>
        </w:r>
        <w:r w:rsidR="000405B4" w:rsidRPr="00932A8A">
          <w:rPr>
            <w:rStyle w:val="Hypertextovodkaz"/>
            <w:rFonts w:ascii="Cambria" w:hAnsi="Cambria"/>
            <w:noProof/>
          </w:rPr>
          <w:t>Specifické cíle odpovídající dané investiční prioritě a očekávané výsledky</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_Toc392151042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100</w:t>
        </w:r>
        <w:r w:rsidR="000E07F9" w:rsidRPr="00932A8A">
          <w:rPr>
            <w:rFonts w:ascii="Cambria" w:hAnsi="Cambria"/>
            <w:noProof/>
            <w:webHidden/>
          </w:rPr>
          <w:fldChar w:fldCharType="end"/>
        </w:r>
      </w:hyperlink>
    </w:p>
    <w:p w:rsidR="000405B4" w:rsidRPr="00932A8A" w:rsidRDefault="00332B77">
      <w:pPr>
        <w:pStyle w:val="Obsah4"/>
        <w:rPr>
          <w:rFonts w:ascii="Cambria" w:hAnsi="Cambria"/>
          <w:noProof/>
        </w:rPr>
      </w:pPr>
      <w:hyperlink w:anchor="_Toc392151043" w:history="1">
        <w:r w:rsidR="000405B4" w:rsidRPr="00932A8A">
          <w:rPr>
            <w:rStyle w:val="Hypertextovodkaz"/>
            <w:rFonts w:ascii="Cambria" w:hAnsi="Cambria"/>
            <w:noProof/>
          </w:rPr>
          <w:t>2.4.3.2</w:t>
        </w:r>
        <w:r w:rsidR="000405B4" w:rsidRPr="00932A8A">
          <w:rPr>
            <w:rFonts w:ascii="Cambria" w:hAnsi="Cambria"/>
            <w:noProof/>
          </w:rPr>
          <w:tab/>
        </w:r>
        <w:r w:rsidR="000405B4" w:rsidRPr="00932A8A">
          <w:rPr>
            <w:rStyle w:val="Hypertextovodkaz"/>
            <w:rFonts w:ascii="Cambria" w:hAnsi="Cambria"/>
            <w:noProof/>
          </w:rPr>
          <w:t>Opatření, jež má být podpořeno v rámci investiční priority</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_Toc392151043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107</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44" w:history="1">
        <w:r w:rsidR="000405B4" w:rsidRPr="00932A8A">
          <w:rPr>
            <w:rStyle w:val="Hypertextovodkaz"/>
            <w:rFonts w:ascii="Cambria" w:hAnsi="Cambria"/>
            <w:noProof/>
          </w:rPr>
          <w:t>2.4.3.2.1</w:t>
        </w:r>
        <w:r w:rsidR="000405B4" w:rsidRPr="00932A8A">
          <w:rPr>
            <w:rFonts w:ascii="Cambria" w:hAnsi="Cambria"/>
            <w:noProof/>
          </w:rPr>
          <w:tab/>
        </w:r>
        <w:r w:rsidR="000405B4" w:rsidRPr="00932A8A">
          <w:rPr>
            <w:rStyle w:val="Hypertextovodkaz"/>
            <w:rFonts w:ascii="Cambria" w:hAnsi="Cambria"/>
            <w:noProof/>
          </w:rPr>
          <w:t>Popis typů a příkladů opatření, která mají být podporována, a jejich očekávaný přínos k plnění specifických cílů, případně včetně určení hlavních cílových skupin, konkrétních cílových území a druhů příjemců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_Toc392151044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107</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45" w:history="1">
        <w:r w:rsidR="000405B4" w:rsidRPr="00932A8A">
          <w:rPr>
            <w:rStyle w:val="Hypertextovodkaz"/>
            <w:rFonts w:ascii="Cambria" w:hAnsi="Cambria"/>
            <w:noProof/>
          </w:rPr>
          <w:t>2.4.3.2.2</w:t>
        </w:r>
        <w:r w:rsidR="000405B4" w:rsidRPr="00932A8A">
          <w:rPr>
            <w:rFonts w:ascii="Cambria" w:hAnsi="Cambria"/>
            <w:noProof/>
          </w:rPr>
          <w:tab/>
        </w:r>
        <w:r w:rsidR="000405B4" w:rsidRPr="00932A8A">
          <w:rPr>
            <w:rStyle w:val="Hypertextovodkaz"/>
            <w:rFonts w:ascii="Cambria" w:hAnsi="Cambria"/>
            <w:noProof/>
          </w:rPr>
          <w:t>Hlavní zásady pro výběr operací</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_Toc392151045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111</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46" w:history="1">
        <w:r w:rsidR="000405B4" w:rsidRPr="00932A8A">
          <w:rPr>
            <w:rStyle w:val="Hypertextovodkaz"/>
            <w:rFonts w:ascii="Cambria" w:hAnsi="Cambria"/>
            <w:noProof/>
          </w:rPr>
          <w:t>2.4.3.2.3</w:t>
        </w:r>
        <w:r w:rsidR="000405B4" w:rsidRPr="00932A8A">
          <w:rPr>
            <w:rFonts w:ascii="Cambria" w:hAnsi="Cambria"/>
            <w:noProof/>
          </w:rPr>
          <w:tab/>
        </w:r>
        <w:r w:rsidR="000405B4" w:rsidRPr="00932A8A">
          <w:rPr>
            <w:rStyle w:val="Hypertextovodkaz"/>
            <w:rFonts w:ascii="Cambria" w:hAnsi="Cambria"/>
            <w:noProof/>
          </w:rPr>
          <w:t>Plánované využití finančních nástrojů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_Toc392151046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112</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47" w:history="1">
        <w:r w:rsidR="000405B4" w:rsidRPr="00932A8A">
          <w:rPr>
            <w:rStyle w:val="Hypertextovodkaz"/>
            <w:rFonts w:ascii="Cambria" w:hAnsi="Cambria"/>
            <w:noProof/>
          </w:rPr>
          <w:t>2.4.3.2.4</w:t>
        </w:r>
        <w:r w:rsidR="000405B4" w:rsidRPr="00932A8A">
          <w:rPr>
            <w:rFonts w:ascii="Cambria" w:hAnsi="Cambria"/>
            <w:noProof/>
          </w:rPr>
          <w:tab/>
        </w:r>
        <w:r w:rsidR="000405B4" w:rsidRPr="00932A8A">
          <w:rPr>
            <w:rStyle w:val="Hypertextovodkaz"/>
            <w:rFonts w:ascii="Cambria" w:hAnsi="Cambria"/>
            <w:noProof/>
          </w:rPr>
          <w:t>Plánované využití velkých projektů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_Toc392151047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112</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48" w:history="1">
        <w:r w:rsidR="000405B4" w:rsidRPr="00932A8A">
          <w:rPr>
            <w:rStyle w:val="Hypertextovodkaz"/>
            <w:rFonts w:ascii="Cambria" w:hAnsi="Cambria"/>
            <w:noProof/>
          </w:rPr>
          <w:t>2.4.3.2.5</w:t>
        </w:r>
        <w:r w:rsidR="000405B4" w:rsidRPr="00932A8A">
          <w:rPr>
            <w:rFonts w:ascii="Cambria" w:hAnsi="Cambria"/>
            <w:noProof/>
          </w:rPr>
          <w:tab/>
        </w:r>
        <w:r w:rsidR="000405B4" w:rsidRPr="00932A8A">
          <w:rPr>
            <w:rStyle w:val="Hypertextovodkaz"/>
            <w:rFonts w:ascii="Cambria" w:hAnsi="Cambria"/>
            <w:noProof/>
          </w:rPr>
          <w:t>Ukazatele výstupů podle investiční priority a případně podle kategorie regionů</w:t>
        </w:r>
        <w:r w:rsidR="00932A8A">
          <w:rPr>
            <w:rStyle w:val="Hypertextovodkaz"/>
            <w:rFonts w:ascii="Cambria" w:hAnsi="Cambria"/>
            <w:noProof/>
          </w:rPr>
          <w:t>……</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_Toc392151048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112</w:t>
        </w:r>
        <w:r w:rsidR="000E07F9" w:rsidRPr="00932A8A">
          <w:rPr>
            <w:rFonts w:ascii="Cambria" w:hAnsi="Cambria"/>
            <w:noProof/>
            <w:webHidden/>
          </w:rPr>
          <w:fldChar w:fldCharType="end"/>
        </w:r>
      </w:hyperlink>
    </w:p>
    <w:p w:rsidR="000405B4" w:rsidRPr="00932A8A" w:rsidRDefault="00332B77">
      <w:pPr>
        <w:pStyle w:val="Obsah3"/>
        <w:rPr>
          <w:noProof/>
        </w:rPr>
      </w:pPr>
      <w:hyperlink w:anchor="_Toc392151049" w:history="1">
        <w:r w:rsidR="000405B4" w:rsidRPr="00932A8A">
          <w:rPr>
            <w:rStyle w:val="Hypertextovodkaz"/>
            <w:noProof/>
          </w:rPr>
          <w:t>2.4.4</w:t>
        </w:r>
        <w:r w:rsidR="000405B4" w:rsidRPr="00932A8A">
          <w:rPr>
            <w:noProof/>
          </w:rPr>
          <w:tab/>
        </w:r>
        <w:r w:rsidR="000405B4" w:rsidRPr="00932A8A">
          <w:rPr>
            <w:rStyle w:val="Hypertextovodkaz"/>
            <w:noProof/>
          </w:rPr>
          <w:t>Výkonnostní rámec</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_Toc392151049 \h </w:instrText>
        </w:r>
        <w:r w:rsidR="000E07F9" w:rsidRPr="00932A8A">
          <w:rPr>
            <w:noProof/>
            <w:webHidden/>
          </w:rPr>
        </w:r>
        <w:r w:rsidR="000E07F9" w:rsidRPr="00932A8A">
          <w:rPr>
            <w:noProof/>
            <w:webHidden/>
          </w:rPr>
          <w:fldChar w:fldCharType="separate"/>
        </w:r>
        <w:r w:rsidR="000405B4" w:rsidRPr="00932A8A">
          <w:rPr>
            <w:noProof/>
            <w:webHidden/>
          </w:rPr>
          <w:t>114</w:t>
        </w:r>
        <w:r w:rsidR="000E07F9" w:rsidRPr="00932A8A">
          <w:rPr>
            <w:noProof/>
            <w:webHidden/>
          </w:rPr>
          <w:fldChar w:fldCharType="end"/>
        </w:r>
      </w:hyperlink>
    </w:p>
    <w:p w:rsidR="000405B4" w:rsidRPr="00932A8A" w:rsidRDefault="00332B77">
      <w:pPr>
        <w:pStyle w:val="Obsah3"/>
        <w:rPr>
          <w:noProof/>
        </w:rPr>
      </w:pPr>
      <w:hyperlink w:anchor="_Toc392151050" w:history="1">
        <w:r w:rsidR="000405B4" w:rsidRPr="00932A8A">
          <w:rPr>
            <w:rStyle w:val="Hypertextovodkaz"/>
            <w:noProof/>
          </w:rPr>
          <w:t>2.4.5</w:t>
        </w:r>
        <w:r w:rsidR="000405B4" w:rsidRPr="00932A8A">
          <w:rPr>
            <w:noProof/>
          </w:rPr>
          <w:tab/>
        </w:r>
        <w:r w:rsidR="000405B4" w:rsidRPr="00932A8A">
          <w:rPr>
            <w:rStyle w:val="Hypertextovodkaz"/>
            <w:noProof/>
          </w:rPr>
          <w:t>Kategorie zásahů</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_Toc392151050 \h </w:instrText>
        </w:r>
        <w:r w:rsidR="000E07F9" w:rsidRPr="00932A8A">
          <w:rPr>
            <w:noProof/>
            <w:webHidden/>
          </w:rPr>
        </w:r>
        <w:r w:rsidR="000E07F9" w:rsidRPr="00932A8A">
          <w:rPr>
            <w:noProof/>
            <w:webHidden/>
          </w:rPr>
          <w:fldChar w:fldCharType="separate"/>
        </w:r>
        <w:r w:rsidR="000405B4" w:rsidRPr="00932A8A">
          <w:rPr>
            <w:noProof/>
            <w:webHidden/>
          </w:rPr>
          <w:t>114</w:t>
        </w:r>
        <w:r w:rsidR="000E07F9" w:rsidRPr="00932A8A">
          <w:rPr>
            <w:noProof/>
            <w:webHidden/>
          </w:rPr>
          <w:fldChar w:fldCharType="end"/>
        </w:r>
      </w:hyperlink>
    </w:p>
    <w:p w:rsidR="000405B4" w:rsidRPr="00932A8A" w:rsidRDefault="00332B77">
      <w:pPr>
        <w:pStyle w:val="Obsah2"/>
        <w:rPr>
          <w:noProof/>
        </w:rPr>
      </w:pPr>
      <w:hyperlink w:anchor="_Toc392151051" w:history="1">
        <w:r w:rsidR="000405B4" w:rsidRPr="00932A8A">
          <w:rPr>
            <w:rStyle w:val="Hypertextovodkaz"/>
            <w:noProof/>
          </w:rPr>
          <w:t>2.5</w:t>
        </w:r>
        <w:r w:rsidR="000405B4" w:rsidRPr="00932A8A">
          <w:rPr>
            <w:noProof/>
          </w:rPr>
          <w:tab/>
        </w:r>
        <w:r w:rsidR="000405B4" w:rsidRPr="00932A8A">
          <w:rPr>
            <w:rStyle w:val="Hypertextovodkaz"/>
            <w:noProof/>
          </w:rPr>
          <w:t>PRIORITNÍ OSA 5: Energetické úspory</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_Toc392151051 \h </w:instrText>
        </w:r>
        <w:r w:rsidR="000E07F9" w:rsidRPr="00932A8A">
          <w:rPr>
            <w:noProof/>
            <w:webHidden/>
          </w:rPr>
        </w:r>
        <w:r w:rsidR="000E07F9" w:rsidRPr="00932A8A">
          <w:rPr>
            <w:noProof/>
            <w:webHidden/>
          </w:rPr>
          <w:fldChar w:fldCharType="separate"/>
        </w:r>
        <w:r w:rsidR="000405B4" w:rsidRPr="00932A8A">
          <w:rPr>
            <w:noProof/>
            <w:webHidden/>
          </w:rPr>
          <w:t>116</w:t>
        </w:r>
        <w:r w:rsidR="000E07F9" w:rsidRPr="00932A8A">
          <w:rPr>
            <w:noProof/>
            <w:webHidden/>
          </w:rPr>
          <w:fldChar w:fldCharType="end"/>
        </w:r>
      </w:hyperlink>
    </w:p>
    <w:p w:rsidR="000405B4" w:rsidRPr="00932A8A" w:rsidRDefault="00332B77">
      <w:pPr>
        <w:pStyle w:val="Obsah3"/>
        <w:rPr>
          <w:noProof/>
        </w:rPr>
      </w:pPr>
      <w:hyperlink w:anchor="_Toc392151052" w:history="1">
        <w:r w:rsidR="000405B4" w:rsidRPr="00932A8A">
          <w:rPr>
            <w:rStyle w:val="Hypertextovodkaz"/>
            <w:noProof/>
          </w:rPr>
          <w:t>2.5.1</w:t>
        </w:r>
        <w:r w:rsidR="000405B4" w:rsidRPr="00932A8A">
          <w:rPr>
            <w:noProof/>
          </w:rPr>
          <w:tab/>
        </w:r>
        <w:r w:rsidR="000405B4" w:rsidRPr="00932A8A">
          <w:rPr>
            <w:rStyle w:val="Hypertextovodkaz"/>
            <w:noProof/>
          </w:rPr>
          <w:t>Odůvodnění pro vytvoření prioritní osy, která zahrnuje více než jednu kategorii regionů nebo více než jeden tematický cíl či fond</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_Toc392151052 \h </w:instrText>
        </w:r>
        <w:r w:rsidR="000E07F9" w:rsidRPr="00932A8A">
          <w:rPr>
            <w:noProof/>
            <w:webHidden/>
          </w:rPr>
        </w:r>
        <w:r w:rsidR="000E07F9" w:rsidRPr="00932A8A">
          <w:rPr>
            <w:noProof/>
            <w:webHidden/>
          </w:rPr>
          <w:fldChar w:fldCharType="separate"/>
        </w:r>
        <w:r w:rsidR="000405B4" w:rsidRPr="00932A8A">
          <w:rPr>
            <w:noProof/>
            <w:webHidden/>
          </w:rPr>
          <w:t>116</w:t>
        </w:r>
        <w:r w:rsidR="000E07F9" w:rsidRPr="00932A8A">
          <w:rPr>
            <w:noProof/>
            <w:webHidden/>
          </w:rPr>
          <w:fldChar w:fldCharType="end"/>
        </w:r>
      </w:hyperlink>
    </w:p>
    <w:p w:rsidR="000405B4" w:rsidRPr="00932A8A" w:rsidRDefault="00332B77">
      <w:pPr>
        <w:pStyle w:val="Obsah3"/>
        <w:rPr>
          <w:noProof/>
        </w:rPr>
      </w:pPr>
      <w:hyperlink w:anchor="_Toc392151053" w:history="1">
        <w:r w:rsidR="000405B4" w:rsidRPr="00932A8A">
          <w:rPr>
            <w:rStyle w:val="Hypertextovodkaz"/>
            <w:noProof/>
          </w:rPr>
          <w:t>2.5.2</w:t>
        </w:r>
        <w:r w:rsidR="000405B4" w:rsidRPr="00932A8A">
          <w:rPr>
            <w:noProof/>
          </w:rPr>
          <w:tab/>
        </w:r>
        <w:r w:rsidR="000405B4" w:rsidRPr="00932A8A">
          <w:rPr>
            <w:rStyle w:val="Hypertextovodkaz"/>
            <w:noProof/>
          </w:rPr>
          <w:t>Fond kategorie regionů a základ pro výpočet podpory Unie</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_Toc392151053 \h </w:instrText>
        </w:r>
        <w:r w:rsidR="000E07F9" w:rsidRPr="00932A8A">
          <w:rPr>
            <w:noProof/>
            <w:webHidden/>
          </w:rPr>
        </w:r>
        <w:r w:rsidR="000E07F9" w:rsidRPr="00932A8A">
          <w:rPr>
            <w:noProof/>
            <w:webHidden/>
          </w:rPr>
          <w:fldChar w:fldCharType="separate"/>
        </w:r>
        <w:r w:rsidR="000405B4" w:rsidRPr="00932A8A">
          <w:rPr>
            <w:noProof/>
            <w:webHidden/>
          </w:rPr>
          <w:t>116</w:t>
        </w:r>
        <w:r w:rsidR="000E07F9" w:rsidRPr="00932A8A">
          <w:rPr>
            <w:noProof/>
            <w:webHidden/>
          </w:rPr>
          <w:fldChar w:fldCharType="end"/>
        </w:r>
      </w:hyperlink>
    </w:p>
    <w:p w:rsidR="000405B4" w:rsidRPr="00932A8A" w:rsidRDefault="00332B77">
      <w:pPr>
        <w:pStyle w:val="Obsah3"/>
        <w:rPr>
          <w:noProof/>
        </w:rPr>
      </w:pPr>
      <w:hyperlink w:anchor="_Toc392151054" w:history="1">
        <w:r w:rsidR="000405B4" w:rsidRPr="00932A8A">
          <w:rPr>
            <w:rStyle w:val="Hypertextovodkaz"/>
            <w:noProof/>
          </w:rPr>
          <w:t>2.5.3</w:t>
        </w:r>
        <w:r w:rsidR="000405B4" w:rsidRPr="00932A8A">
          <w:rPr>
            <w:noProof/>
          </w:rPr>
          <w:tab/>
        </w:r>
        <w:r w:rsidR="000405B4" w:rsidRPr="00932A8A">
          <w:rPr>
            <w:rStyle w:val="Hypertextovodkaz"/>
            <w:noProof/>
          </w:rPr>
          <w:t>INVESTIČNÍ PRIORITA 1 prioritní osy 5: Podporování přechodu na nízkouhlíkové hospodářství ve všech odvětvích podporou energetické účinnosti, inteligentních systémů hospodaření s energií a využívání energie z obnovitelných zdrojů ve veřejných infrastrukturách, mimo jiné ve veřejných budovách a v oblasti bydlení (Dle Nařízení Evropského parlamentu a Rady (EU) č. 1300/2013 čl. 4 odst. a) písm. iii))</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_Toc392151054 \h </w:instrText>
        </w:r>
        <w:r w:rsidR="000E07F9" w:rsidRPr="00932A8A">
          <w:rPr>
            <w:noProof/>
            <w:webHidden/>
          </w:rPr>
        </w:r>
        <w:r w:rsidR="000E07F9" w:rsidRPr="00932A8A">
          <w:rPr>
            <w:noProof/>
            <w:webHidden/>
          </w:rPr>
          <w:fldChar w:fldCharType="separate"/>
        </w:r>
        <w:r w:rsidR="000405B4" w:rsidRPr="00932A8A">
          <w:rPr>
            <w:noProof/>
            <w:webHidden/>
          </w:rPr>
          <w:t>116</w:t>
        </w:r>
        <w:r w:rsidR="000E07F9" w:rsidRPr="00932A8A">
          <w:rPr>
            <w:noProof/>
            <w:webHidden/>
          </w:rPr>
          <w:fldChar w:fldCharType="end"/>
        </w:r>
      </w:hyperlink>
    </w:p>
    <w:p w:rsidR="000405B4" w:rsidRPr="00932A8A" w:rsidRDefault="00332B77">
      <w:pPr>
        <w:pStyle w:val="Obsah4"/>
        <w:rPr>
          <w:rFonts w:ascii="Cambria" w:hAnsi="Cambria"/>
          <w:noProof/>
        </w:rPr>
      </w:pPr>
      <w:hyperlink w:anchor="_Toc392151055" w:history="1">
        <w:r w:rsidR="000405B4" w:rsidRPr="00932A8A">
          <w:rPr>
            <w:rStyle w:val="Hypertextovodkaz"/>
            <w:rFonts w:ascii="Cambria" w:hAnsi="Cambria"/>
            <w:noProof/>
          </w:rPr>
          <w:t>2.5.3.1</w:t>
        </w:r>
        <w:r w:rsidR="000405B4" w:rsidRPr="00932A8A">
          <w:rPr>
            <w:rFonts w:ascii="Cambria" w:hAnsi="Cambria"/>
            <w:noProof/>
          </w:rPr>
          <w:tab/>
        </w:r>
        <w:r w:rsidR="000405B4" w:rsidRPr="00932A8A">
          <w:rPr>
            <w:rStyle w:val="Hypertextovodkaz"/>
            <w:rFonts w:ascii="Cambria" w:hAnsi="Cambria"/>
            <w:noProof/>
          </w:rPr>
          <w:t>Specifické cíle odpovídající dané investiční prioritě a očekávané výsledky</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_Toc392151055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116</w:t>
        </w:r>
        <w:r w:rsidR="000E07F9" w:rsidRPr="00932A8A">
          <w:rPr>
            <w:rFonts w:ascii="Cambria" w:hAnsi="Cambria"/>
            <w:noProof/>
            <w:webHidden/>
          </w:rPr>
          <w:fldChar w:fldCharType="end"/>
        </w:r>
      </w:hyperlink>
    </w:p>
    <w:p w:rsidR="000405B4" w:rsidRPr="00932A8A" w:rsidRDefault="00332B77">
      <w:pPr>
        <w:pStyle w:val="Obsah4"/>
        <w:rPr>
          <w:rFonts w:ascii="Cambria" w:hAnsi="Cambria"/>
          <w:noProof/>
        </w:rPr>
      </w:pPr>
      <w:hyperlink w:anchor="_Toc392151056" w:history="1">
        <w:r w:rsidR="000405B4" w:rsidRPr="00932A8A">
          <w:rPr>
            <w:rStyle w:val="Hypertextovodkaz"/>
            <w:rFonts w:ascii="Cambria" w:hAnsi="Cambria"/>
            <w:noProof/>
          </w:rPr>
          <w:t>2.5.3.2</w:t>
        </w:r>
        <w:r w:rsidR="000405B4" w:rsidRPr="00932A8A">
          <w:rPr>
            <w:rFonts w:ascii="Cambria" w:hAnsi="Cambria"/>
            <w:noProof/>
          </w:rPr>
          <w:tab/>
        </w:r>
        <w:r w:rsidR="000405B4" w:rsidRPr="00932A8A">
          <w:rPr>
            <w:rStyle w:val="Hypertextovodkaz"/>
            <w:rFonts w:ascii="Cambria" w:hAnsi="Cambria"/>
            <w:noProof/>
          </w:rPr>
          <w:t>Opatření, jež má být podpořeno v rámci investiční priority</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_Toc392151056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118</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57" w:history="1">
        <w:r w:rsidR="000405B4" w:rsidRPr="00932A8A">
          <w:rPr>
            <w:rStyle w:val="Hypertextovodkaz"/>
            <w:rFonts w:ascii="Cambria" w:hAnsi="Cambria"/>
            <w:noProof/>
          </w:rPr>
          <w:t>2.5.3.2.1</w:t>
        </w:r>
        <w:r w:rsidR="000405B4" w:rsidRPr="00932A8A">
          <w:rPr>
            <w:rFonts w:ascii="Cambria" w:hAnsi="Cambria"/>
            <w:noProof/>
          </w:rPr>
          <w:tab/>
        </w:r>
        <w:r w:rsidR="000405B4" w:rsidRPr="00932A8A">
          <w:rPr>
            <w:rStyle w:val="Hypertextovodkaz"/>
            <w:rFonts w:ascii="Cambria" w:hAnsi="Cambria"/>
            <w:noProof/>
          </w:rPr>
          <w:t>Popis typů a příkladů opatření, která mají být podporována, a jejich očekávaný přínos k plnění specifických cílů, případně včetně určení hlavních cílových skupin, konkrétních cílových území a druhů příjemců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_Toc392151057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118</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58" w:history="1">
        <w:r w:rsidR="000405B4" w:rsidRPr="00932A8A">
          <w:rPr>
            <w:rStyle w:val="Hypertextovodkaz"/>
            <w:rFonts w:ascii="Cambria" w:hAnsi="Cambria"/>
            <w:noProof/>
          </w:rPr>
          <w:t>2.5.3.2.2</w:t>
        </w:r>
        <w:r w:rsidR="000405B4" w:rsidRPr="00932A8A">
          <w:rPr>
            <w:rFonts w:ascii="Cambria" w:hAnsi="Cambria"/>
            <w:noProof/>
          </w:rPr>
          <w:tab/>
        </w:r>
        <w:r w:rsidR="000405B4" w:rsidRPr="00932A8A">
          <w:rPr>
            <w:rStyle w:val="Hypertextovodkaz"/>
            <w:rFonts w:ascii="Cambria" w:hAnsi="Cambria"/>
            <w:noProof/>
          </w:rPr>
          <w:t>Hlavní zásady pro výběr operací</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_Toc392151058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120</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59" w:history="1">
        <w:r w:rsidR="000405B4" w:rsidRPr="00932A8A">
          <w:rPr>
            <w:rStyle w:val="Hypertextovodkaz"/>
            <w:rFonts w:ascii="Cambria" w:hAnsi="Cambria"/>
            <w:noProof/>
          </w:rPr>
          <w:t>2.5.3.2.3</w:t>
        </w:r>
        <w:r w:rsidR="000405B4" w:rsidRPr="00932A8A">
          <w:rPr>
            <w:rFonts w:ascii="Cambria" w:hAnsi="Cambria"/>
            <w:noProof/>
          </w:rPr>
          <w:tab/>
        </w:r>
        <w:r w:rsidR="000405B4" w:rsidRPr="00932A8A">
          <w:rPr>
            <w:rStyle w:val="Hypertextovodkaz"/>
            <w:rFonts w:ascii="Cambria" w:hAnsi="Cambria"/>
            <w:noProof/>
          </w:rPr>
          <w:t>Plánované využití finančních nástrojů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_Toc392151059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120</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60" w:history="1">
        <w:r w:rsidR="000405B4" w:rsidRPr="00932A8A">
          <w:rPr>
            <w:rStyle w:val="Hypertextovodkaz"/>
            <w:rFonts w:ascii="Cambria" w:hAnsi="Cambria"/>
            <w:noProof/>
          </w:rPr>
          <w:t>2.5.3.2.4</w:t>
        </w:r>
        <w:r w:rsidR="000405B4" w:rsidRPr="00932A8A">
          <w:rPr>
            <w:rFonts w:ascii="Cambria" w:hAnsi="Cambria"/>
            <w:noProof/>
          </w:rPr>
          <w:tab/>
        </w:r>
        <w:r w:rsidR="000405B4" w:rsidRPr="00932A8A">
          <w:rPr>
            <w:rStyle w:val="Hypertextovodkaz"/>
            <w:rFonts w:ascii="Cambria" w:hAnsi="Cambria"/>
            <w:noProof/>
          </w:rPr>
          <w:t>Plánované využití velkých projektů</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_Toc392151060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120</w:t>
        </w:r>
        <w:r w:rsidR="000E07F9" w:rsidRPr="00932A8A">
          <w:rPr>
            <w:rFonts w:ascii="Cambria" w:hAnsi="Cambria"/>
            <w:noProof/>
            <w:webHidden/>
          </w:rPr>
          <w:fldChar w:fldCharType="end"/>
        </w:r>
      </w:hyperlink>
    </w:p>
    <w:p w:rsidR="000405B4" w:rsidRPr="00932A8A" w:rsidRDefault="00332B77">
      <w:pPr>
        <w:pStyle w:val="Obsah5"/>
        <w:rPr>
          <w:rFonts w:ascii="Cambria" w:hAnsi="Cambria"/>
          <w:noProof/>
        </w:rPr>
      </w:pPr>
      <w:hyperlink w:anchor="_Toc392151061" w:history="1">
        <w:r w:rsidR="000405B4" w:rsidRPr="00932A8A">
          <w:rPr>
            <w:rStyle w:val="Hypertextovodkaz"/>
            <w:rFonts w:ascii="Cambria" w:hAnsi="Cambria"/>
            <w:noProof/>
          </w:rPr>
          <w:t>2.5.3.2.5</w:t>
        </w:r>
        <w:r w:rsidR="000405B4" w:rsidRPr="00932A8A">
          <w:rPr>
            <w:rFonts w:ascii="Cambria" w:hAnsi="Cambria"/>
            <w:noProof/>
          </w:rPr>
          <w:tab/>
        </w:r>
        <w:r w:rsidR="000405B4" w:rsidRPr="00932A8A">
          <w:rPr>
            <w:rStyle w:val="Hypertextovodkaz"/>
            <w:rFonts w:ascii="Cambria" w:hAnsi="Cambria"/>
            <w:noProof/>
          </w:rPr>
          <w:t>Ukazatele výstupů podle investiční priority a případně podle kategorie regionů</w:t>
        </w:r>
        <w:r w:rsidR="00932A8A">
          <w:rPr>
            <w:rStyle w:val="Hypertextovodkaz"/>
            <w:rFonts w:ascii="Cambria" w:hAnsi="Cambria"/>
            <w:noProof/>
          </w:rPr>
          <w:t>……</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_Toc392151061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121</w:t>
        </w:r>
        <w:r w:rsidR="000E07F9" w:rsidRPr="00932A8A">
          <w:rPr>
            <w:rFonts w:ascii="Cambria" w:hAnsi="Cambria"/>
            <w:noProof/>
            <w:webHidden/>
          </w:rPr>
          <w:fldChar w:fldCharType="end"/>
        </w:r>
      </w:hyperlink>
    </w:p>
    <w:p w:rsidR="000405B4" w:rsidRPr="00932A8A" w:rsidRDefault="00332B77">
      <w:pPr>
        <w:pStyle w:val="Obsah4"/>
        <w:rPr>
          <w:rFonts w:ascii="Cambria" w:hAnsi="Cambria"/>
          <w:noProof/>
        </w:rPr>
      </w:pPr>
      <w:hyperlink w:anchor="_Toc392151062" w:history="1">
        <w:r w:rsidR="000405B4" w:rsidRPr="00932A8A">
          <w:rPr>
            <w:rStyle w:val="Hypertextovodkaz"/>
            <w:rFonts w:ascii="Cambria" w:hAnsi="Cambria"/>
            <w:noProof/>
          </w:rPr>
          <w:t>2.5.3.3</w:t>
        </w:r>
        <w:r w:rsidR="000405B4" w:rsidRPr="00932A8A">
          <w:rPr>
            <w:rFonts w:ascii="Cambria" w:hAnsi="Cambria"/>
            <w:noProof/>
          </w:rPr>
          <w:tab/>
        </w:r>
        <w:r w:rsidR="000405B4" w:rsidRPr="00932A8A">
          <w:rPr>
            <w:rStyle w:val="Hypertextovodkaz"/>
            <w:rFonts w:ascii="Cambria" w:hAnsi="Cambria"/>
            <w:noProof/>
          </w:rPr>
          <w:t>Výkonnostní rámec</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_Toc392151062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121</w:t>
        </w:r>
        <w:r w:rsidR="000E07F9" w:rsidRPr="00932A8A">
          <w:rPr>
            <w:rFonts w:ascii="Cambria" w:hAnsi="Cambria"/>
            <w:noProof/>
            <w:webHidden/>
          </w:rPr>
          <w:fldChar w:fldCharType="end"/>
        </w:r>
      </w:hyperlink>
    </w:p>
    <w:p w:rsidR="000405B4" w:rsidRPr="00932A8A" w:rsidRDefault="00332B77">
      <w:pPr>
        <w:pStyle w:val="Obsah3"/>
        <w:rPr>
          <w:noProof/>
        </w:rPr>
      </w:pPr>
      <w:hyperlink w:anchor="_Toc392151063" w:history="1">
        <w:r w:rsidR="000405B4" w:rsidRPr="00932A8A">
          <w:rPr>
            <w:rStyle w:val="Hypertextovodkaz"/>
            <w:noProof/>
          </w:rPr>
          <w:t>2.5.4</w:t>
        </w:r>
        <w:r w:rsidR="000405B4" w:rsidRPr="00932A8A">
          <w:rPr>
            <w:noProof/>
          </w:rPr>
          <w:tab/>
        </w:r>
        <w:r w:rsidR="000405B4" w:rsidRPr="00932A8A">
          <w:rPr>
            <w:rStyle w:val="Hypertextovodkaz"/>
            <w:noProof/>
          </w:rPr>
          <w:t>Kategorie zásahů</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_Toc392151063 \h </w:instrText>
        </w:r>
        <w:r w:rsidR="000E07F9" w:rsidRPr="00932A8A">
          <w:rPr>
            <w:noProof/>
            <w:webHidden/>
          </w:rPr>
        </w:r>
        <w:r w:rsidR="000E07F9" w:rsidRPr="00932A8A">
          <w:rPr>
            <w:noProof/>
            <w:webHidden/>
          </w:rPr>
          <w:fldChar w:fldCharType="separate"/>
        </w:r>
        <w:r w:rsidR="000405B4" w:rsidRPr="00932A8A">
          <w:rPr>
            <w:noProof/>
            <w:webHidden/>
          </w:rPr>
          <w:t>122</w:t>
        </w:r>
        <w:r w:rsidR="000E07F9" w:rsidRPr="00932A8A">
          <w:rPr>
            <w:noProof/>
            <w:webHidden/>
          </w:rPr>
          <w:fldChar w:fldCharType="end"/>
        </w:r>
      </w:hyperlink>
    </w:p>
    <w:p w:rsidR="000405B4" w:rsidRPr="00932A8A" w:rsidRDefault="00332B77">
      <w:pPr>
        <w:pStyle w:val="Obsah2"/>
        <w:rPr>
          <w:noProof/>
        </w:rPr>
      </w:pPr>
      <w:hyperlink w:anchor="_Toc392151064" w:history="1">
        <w:r w:rsidR="000405B4" w:rsidRPr="00932A8A">
          <w:rPr>
            <w:rStyle w:val="Hypertextovodkaz"/>
            <w:noProof/>
          </w:rPr>
          <w:t>2.6</w:t>
        </w:r>
        <w:r w:rsidR="000405B4" w:rsidRPr="00932A8A">
          <w:rPr>
            <w:noProof/>
          </w:rPr>
          <w:tab/>
        </w:r>
        <w:r w:rsidR="000405B4" w:rsidRPr="00932A8A">
          <w:rPr>
            <w:rStyle w:val="Hypertextovodkaz"/>
            <w:noProof/>
          </w:rPr>
          <w:t>PRIORITNÍ OSA 6: Technická pomoc</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_Toc392151064 \h </w:instrText>
        </w:r>
        <w:r w:rsidR="000E07F9" w:rsidRPr="00932A8A">
          <w:rPr>
            <w:noProof/>
            <w:webHidden/>
          </w:rPr>
        </w:r>
        <w:r w:rsidR="000E07F9" w:rsidRPr="00932A8A">
          <w:rPr>
            <w:noProof/>
            <w:webHidden/>
          </w:rPr>
          <w:fldChar w:fldCharType="separate"/>
        </w:r>
        <w:r w:rsidR="000405B4" w:rsidRPr="00932A8A">
          <w:rPr>
            <w:noProof/>
            <w:webHidden/>
          </w:rPr>
          <w:t>123</w:t>
        </w:r>
        <w:r w:rsidR="000E07F9" w:rsidRPr="00932A8A">
          <w:rPr>
            <w:noProof/>
            <w:webHidden/>
          </w:rPr>
          <w:fldChar w:fldCharType="end"/>
        </w:r>
      </w:hyperlink>
    </w:p>
    <w:p w:rsidR="000405B4" w:rsidRPr="00932A8A" w:rsidRDefault="00332B77">
      <w:pPr>
        <w:pStyle w:val="Obsah3"/>
        <w:rPr>
          <w:noProof/>
        </w:rPr>
      </w:pPr>
      <w:hyperlink w:anchor="_Toc392151065" w:history="1">
        <w:r w:rsidR="000405B4" w:rsidRPr="00932A8A">
          <w:rPr>
            <w:rStyle w:val="Hypertextovodkaz"/>
            <w:noProof/>
          </w:rPr>
          <w:t>2.6.1</w:t>
        </w:r>
        <w:r w:rsidR="000405B4" w:rsidRPr="00932A8A">
          <w:rPr>
            <w:noProof/>
          </w:rPr>
          <w:tab/>
        </w:r>
        <w:r w:rsidR="000405B4" w:rsidRPr="00932A8A">
          <w:rPr>
            <w:rStyle w:val="Hypertextovodkaz"/>
            <w:noProof/>
          </w:rPr>
          <w:t>Odůvodnění stanovení prioritní osy, jež zahrnuje více než jednu kategorii regionů</w:t>
        </w:r>
        <w:r w:rsidR="00932A8A">
          <w:rPr>
            <w:rStyle w:val="Hypertextovodkaz"/>
            <w:noProof/>
          </w:rPr>
          <w:t>…</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_Toc392151065 \h </w:instrText>
        </w:r>
        <w:r w:rsidR="000E07F9" w:rsidRPr="00932A8A">
          <w:rPr>
            <w:noProof/>
            <w:webHidden/>
          </w:rPr>
        </w:r>
        <w:r w:rsidR="000E07F9" w:rsidRPr="00932A8A">
          <w:rPr>
            <w:noProof/>
            <w:webHidden/>
          </w:rPr>
          <w:fldChar w:fldCharType="separate"/>
        </w:r>
        <w:r w:rsidR="000405B4" w:rsidRPr="00932A8A">
          <w:rPr>
            <w:noProof/>
            <w:webHidden/>
          </w:rPr>
          <w:t>123</w:t>
        </w:r>
        <w:r w:rsidR="000E07F9" w:rsidRPr="00932A8A">
          <w:rPr>
            <w:noProof/>
            <w:webHidden/>
          </w:rPr>
          <w:fldChar w:fldCharType="end"/>
        </w:r>
      </w:hyperlink>
    </w:p>
    <w:p w:rsidR="000405B4" w:rsidRPr="00932A8A" w:rsidRDefault="00332B77">
      <w:pPr>
        <w:pStyle w:val="Obsah3"/>
        <w:rPr>
          <w:noProof/>
        </w:rPr>
      </w:pPr>
      <w:hyperlink w:anchor="_Toc392151066" w:history="1">
        <w:r w:rsidR="000405B4" w:rsidRPr="00932A8A">
          <w:rPr>
            <w:rStyle w:val="Hypertextovodkaz"/>
            <w:noProof/>
          </w:rPr>
          <w:t>2.6.2</w:t>
        </w:r>
        <w:r w:rsidR="000405B4" w:rsidRPr="00932A8A">
          <w:rPr>
            <w:noProof/>
          </w:rPr>
          <w:tab/>
        </w:r>
        <w:r w:rsidR="000405B4" w:rsidRPr="00932A8A">
          <w:rPr>
            <w:rStyle w:val="Hypertextovodkaz"/>
            <w:noProof/>
          </w:rPr>
          <w:t>Fond a kategorie regionů</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_Toc392151066 \h </w:instrText>
        </w:r>
        <w:r w:rsidR="000E07F9" w:rsidRPr="00932A8A">
          <w:rPr>
            <w:noProof/>
            <w:webHidden/>
          </w:rPr>
        </w:r>
        <w:r w:rsidR="000E07F9" w:rsidRPr="00932A8A">
          <w:rPr>
            <w:noProof/>
            <w:webHidden/>
          </w:rPr>
          <w:fldChar w:fldCharType="separate"/>
        </w:r>
        <w:r w:rsidR="000405B4" w:rsidRPr="00932A8A">
          <w:rPr>
            <w:noProof/>
            <w:webHidden/>
          </w:rPr>
          <w:t>123</w:t>
        </w:r>
        <w:r w:rsidR="000E07F9" w:rsidRPr="00932A8A">
          <w:rPr>
            <w:noProof/>
            <w:webHidden/>
          </w:rPr>
          <w:fldChar w:fldCharType="end"/>
        </w:r>
      </w:hyperlink>
    </w:p>
    <w:p w:rsidR="000405B4" w:rsidRPr="00932A8A" w:rsidRDefault="00332B77">
      <w:pPr>
        <w:pStyle w:val="Obsah3"/>
        <w:rPr>
          <w:noProof/>
        </w:rPr>
      </w:pPr>
      <w:hyperlink w:anchor="_Toc392151067" w:history="1">
        <w:r w:rsidR="000405B4" w:rsidRPr="00932A8A">
          <w:rPr>
            <w:rStyle w:val="Hypertextovodkaz"/>
            <w:noProof/>
          </w:rPr>
          <w:t>2.6.3</w:t>
        </w:r>
        <w:r w:rsidR="000405B4" w:rsidRPr="00932A8A">
          <w:rPr>
            <w:noProof/>
          </w:rPr>
          <w:tab/>
        </w:r>
        <w:r w:rsidR="000405B4" w:rsidRPr="00932A8A">
          <w:rPr>
            <w:rStyle w:val="Hypertextovodkaz"/>
            <w:noProof/>
          </w:rPr>
          <w:t>Specifické cíle a očekávané výsledky</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_Toc392151067 \h </w:instrText>
        </w:r>
        <w:r w:rsidR="000E07F9" w:rsidRPr="00932A8A">
          <w:rPr>
            <w:noProof/>
            <w:webHidden/>
          </w:rPr>
        </w:r>
        <w:r w:rsidR="000E07F9" w:rsidRPr="00932A8A">
          <w:rPr>
            <w:noProof/>
            <w:webHidden/>
          </w:rPr>
          <w:fldChar w:fldCharType="separate"/>
        </w:r>
        <w:r w:rsidR="000405B4" w:rsidRPr="00932A8A">
          <w:rPr>
            <w:noProof/>
            <w:webHidden/>
          </w:rPr>
          <w:t>123</w:t>
        </w:r>
        <w:r w:rsidR="000E07F9" w:rsidRPr="00932A8A">
          <w:rPr>
            <w:noProof/>
            <w:webHidden/>
          </w:rPr>
          <w:fldChar w:fldCharType="end"/>
        </w:r>
      </w:hyperlink>
    </w:p>
    <w:p w:rsidR="000405B4" w:rsidRPr="00932A8A" w:rsidRDefault="00332B77">
      <w:pPr>
        <w:pStyle w:val="Obsah3"/>
        <w:rPr>
          <w:noProof/>
        </w:rPr>
      </w:pPr>
      <w:hyperlink w:anchor="_Toc392151068" w:history="1">
        <w:r w:rsidR="000405B4" w:rsidRPr="00932A8A">
          <w:rPr>
            <w:rStyle w:val="Hypertextovodkaz"/>
            <w:noProof/>
          </w:rPr>
          <w:t>2.6.4</w:t>
        </w:r>
        <w:r w:rsidR="000405B4" w:rsidRPr="00932A8A">
          <w:rPr>
            <w:noProof/>
          </w:rPr>
          <w:tab/>
        </w:r>
        <w:r w:rsidR="000405B4" w:rsidRPr="00932A8A">
          <w:rPr>
            <w:rStyle w:val="Hypertextovodkaz"/>
            <w:noProof/>
          </w:rPr>
          <w:t>Ukazatele výsledků</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_Toc392151068 \h </w:instrText>
        </w:r>
        <w:r w:rsidR="000E07F9" w:rsidRPr="00932A8A">
          <w:rPr>
            <w:noProof/>
            <w:webHidden/>
          </w:rPr>
        </w:r>
        <w:r w:rsidR="000E07F9" w:rsidRPr="00932A8A">
          <w:rPr>
            <w:noProof/>
            <w:webHidden/>
          </w:rPr>
          <w:fldChar w:fldCharType="separate"/>
        </w:r>
        <w:r w:rsidR="000405B4" w:rsidRPr="00932A8A">
          <w:rPr>
            <w:noProof/>
            <w:webHidden/>
          </w:rPr>
          <w:t>125</w:t>
        </w:r>
        <w:r w:rsidR="000E07F9" w:rsidRPr="00932A8A">
          <w:rPr>
            <w:noProof/>
            <w:webHidden/>
          </w:rPr>
          <w:fldChar w:fldCharType="end"/>
        </w:r>
      </w:hyperlink>
    </w:p>
    <w:p w:rsidR="000405B4" w:rsidRPr="00932A8A" w:rsidRDefault="00332B77">
      <w:pPr>
        <w:pStyle w:val="Obsah3"/>
        <w:rPr>
          <w:noProof/>
        </w:rPr>
      </w:pPr>
      <w:hyperlink w:anchor="_Toc392151069" w:history="1">
        <w:r w:rsidR="000405B4" w:rsidRPr="00932A8A">
          <w:rPr>
            <w:rStyle w:val="Hypertextovodkaz"/>
            <w:noProof/>
          </w:rPr>
          <w:t>2.6.5</w:t>
        </w:r>
        <w:r w:rsidR="000405B4" w:rsidRPr="00932A8A">
          <w:rPr>
            <w:noProof/>
          </w:rPr>
          <w:tab/>
        </w:r>
        <w:r w:rsidR="000405B4" w:rsidRPr="00932A8A">
          <w:rPr>
            <w:rStyle w:val="Hypertextovodkaz"/>
            <w:noProof/>
          </w:rPr>
          <w:t>Opatření, která mají být podpořena, a jejich očekávaný přínos ke specifickým cílům</w:t>
        </w:r>
        <w:r w:rsidR="00932A8A">
          <w:rPr>
            <w:rStyle w:val="Hypertextovodkaz"/>
            <w:noProof/>
          </w:rPr>
          <w:t>…….</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_Toc392151069 \h </w:instrText>
        </w:r>
        <w:r w:rsidR="000E07F9" w:rsidRPr="00932A8A">
          <w:rPr>
            <w:noProof/>
            <w:webHidden/>
          </w:rPr>
        </w:r>
        <w:r w:rsidR="000E07F9" w:rsidRPr="00932A8A">
          <w:rPr>
            <w:noProof/>
            <w:webHidden/>
          </w:rPr>
          <w:fldChar w:fldCharType="separate"/>
        </w:r>
        <w:r w:rsidR="000405B4" w:rsidRPr="00932A8A">
          <w:rPr>
            <w:noProof/>
            <w:webHidden/>
          </w:rPr>
          <w:t>126</w:t>
        </w:r>
        <w:r w:rsidR="000E07F9" w:rsidRPr="00932A8A">
          <w:rPr>
            <w:noProof/>
            <w:webHidden/>
          </w:rPr>
          <w:fldChar w:fldCharType="end"/>
        </w:r>
      </w:hyperlink>
    </w:p>
    <w:p w:rsidR="000405B4" w:rsidRPr="00932A8A" w:rsidRDefault="00332B77">
      <w:pPr>
        <w:pStyle w:val="Obsah4"/>
        <w:rPr>
          <w:rFonts w:ascii="Cambria" w:hAnsi="Cambria"/>
          <w:noProof/>
        </w:rPr>
      </w:pPr>
      <w:hyperlink w:anchor="_Toc392151070" w:history="1">
        <w:r w:rsidR="000405B4" w:rsidRPr="00932A8A">
          <w:rPr>
            <w:rStyle w:val="Hypertextovodkaz"/>
            <w:rFonts w:ascii="Cambria" w:hAnsi="Cambria"/>
            <w:noProof/>
          </w:rPr>
          <w:t>2.6.5.1</w:t>
        </w:r>
        <w:r w:rsidR="000405B4" w:rsidRPr="00932A8A">
          <w:rPr>
            <w:rFonts w:ascii="Cambria" w:hAnsi="Cambria"/>
            <w:noProof/>
          </w:rPr>
          <w:tab/>
        </w:r>
        <w:r w:rsidR="000405B4" w:rsidRPr="00932A8A">
          <w:rPr>
            <w:rStyle w:val="Hypertextovodkaz"/>
            <w:rFonts w:ascii="Cambria" w:hAnsi="Cambria"/>
            <w:noProof/>
          </w:rPr>
          <w:t>Popis opatření, která mají být podpořena, a jejich očekávaný přínos ke specifickým cílům</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_Toc392151070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126</w:t>
        </w:r>
        <w:r w:rsidR="000E07F9" w:rsidRPr="00932A8A">
          <w:rPr>
            <w:rFonts w:ascii="Cambria" w:hAnsi="Cambria"/>
            <w:noProof/>
            <w:webHidden/>
          </w:rPr>
          <w:fldChar w:fldCharType="end"/>
        </w:r>
      </w:hyperlink>
    </w:p>
    <w:p w:rsidR="000405B4" w:rsidRPr="00932A8A" w:rsidRDefault="00332B77">
      <w:pPr>
        <w:pStyle w:val="Obsah4"/>
        <w:rPr>
          <w:rFonts w:ascii="Cambria" w:hAnsi="Cambria"/>
          <w:noProof/>
        </w:rPr>
      </w:pPr>
      <w:hyperlink w:anchor="_Toc392151071" w:history="1">
        <w:r w:rsidR="000405B4" w:rsidRPr="00932A8A">
          <w:rPr>
            <w:rStyle w:val="Hypertextovodkaz"/>
            <w:rFonts w:ascii="Cambria" w:hAnsi="Cambria"/>
            <w:noProof/>
          </w:rPr>
          <w:t>2.6.5.2</w:t>
        </w:r>
        <w:r w:rsidR="000405B4" w:rsidRPr="00932A8A">
          <w:rPr>
            <w:rFonts w:ascii="Cambria" w:hAnsi="Cambria"/>
            <w:noProof/>
          </w:rPr>
          <w:tab/>
        </w:r>
        <w:r w:rsidR="000405B4" w:rsidRPr="00932A8A">
          <w:rPr>
            <w:rStyle w:val="Hypertextovodkaz"/>
            <w:rFonts w:ascii="Cambria" w:hAnsi="Cambria"/>
            <w:noProof/>
          </w:rPr>
          <w:t>Ukazatele výstupů, které by podle očekávání měly přispět k dosažení výsledků</w:t>
        </w:r>
        <w:r w:rsidR="00932A8A">
          <w:rPr>
            <w:rStyle w:val="Hypertextovodkaz"/>
            <w:rFonts w:ascii="Cambria" w:hAnsi="Cambria"/>
            <w:noProof/>
          </w:rPr>
          <w:t>….</w:t>
        </w:r>
        <w:r w:rsidR="000405B4" w:rsidRPr="00932A8A">
          <w:rPr>
            <w:rFonts w:ascii="Cambria" w:hAnsi="Cambria"/>
            <w:noProof/>
            <w:webHidden/>
          </w:rPr>
          <w:tab/>
        </w:r>
        <w:r w:rsidR="000E07F9" w:rsidRPr="00932A8A">
          <w:rPr>
            <w:rFonts w:ascii="Cambria" w:hAnsi="Cambria"/>
            <w:noProof/>
            <w:webHidden/>
          </w:rPr>
          <w:fldChar w:fldCharType="begin"/>
        </w:r>
        <w:r w:rsidR="000405B4" w:rsidRPr="00932A8A">
          <w:rPr>
            <w:rFonts w:ascii="Cambria" w:hAnsi="Cambria"/>
            <w:noProof/>
            <w:webHidden/>
          </w:rPr>
          <w:instrText xml:space="preserve"> PAGEREF _Toc392151071 \h </w:instrText>
        </w:r>
        <w:r w:rsidR="000E07F9" w:rsidRPr="00932A8A">
          <w:rPr>
            <w:rFonts w:ascii="Cambria" w:hAnsi="Cambria"/>
            <w:noProof/>
            <w:webHidden/>
          </w:rPr>
        </w:r>
        <w:r w:rsidR="000E07F9" w:rsidRPr="00932A8A">
          <w:rPr>
            <w:rFonts w:ascii="Cambria" w:hAnsi="Cambria"/>
            <w:noProof/>
            <w:webHidden/>
          </w:rPr>
          <w:fldChar w:fldCharType="separate"/>
        </w:r>
        <w:r w:rsidR="000405B4" w:rsidRPr="00932A8A">
          <w:rPr>
            <w:rFonts w:ascii="Cambria" w:hAnsi="Cambria"/>
            <w:noProof/>
            <w:webHidden/>
          </w:rPr>
          <w:t>128</w:t>
        </w:r>
        <w:r w:rsidR="000E07F9" w:rsidRPr="00932A8A">
          <w:rPr>
            <w:rFonts w:ascii="Cambria" w:hAnsi="Cambria"/>
            <w:noProof/>
            <w:webHidden/>
          </w:rPr>
          <w:fldChar w:fldCharType="end"/>
        </w:r>
      </w:hyperlink>
    </w:p>
    <w:p w:rsidR="000405B4" w:rsidRPr="00932A8A" w:rsidRDefault="00332B77">
      <w:pPr>
        <w:pStyle w:val="Obsah3"/>
        <w:rPr>
          <w:noProof/>
        </w:rPr>
      </w:pPr>
      <w:hyperlink w:anchor="_Toc392151072" w:history="1">
        <w:r w:rsidR="000405B4" w:rsidRPr="00932A8A">
          <w:rPr>
            <w:rStyle w:val="Hypertextovodkaz"/>
            <w:noProof/>
          </w:rPr>
          <w:t>2.6.6</w:t>
        </w:r>
        <w:r w:rsidR="000405B4" w:rsidRPr="00932A8A">
          <w:rPr>
            <w:noProof/>
          </w:rPr>
          <w:tab/>
        </w:r>
        <w:r w:rsidR="000405B4" w:rsidRPr="00932A8A">
          <w:rPr>
            <w:rStyle w:val="Hypertextovodkaz"/>
            <w:noProof/>
          </w:rPr>
          <w:t>Kategorie zásahů</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_Toc392151072 \h </w:instrText>
        </w:r>
        <w:r w:rsidR="000E07F9" w:rsidRPr="00932A8A">
          <w:rPr>
            <w:noProof/>
            <w:webHidden/>
          </w:rPr>
        </w:r>
        <w:r w:rsidR="000E07F9" w:rsidRPr="00932A8A">
          <w:rPr>
            <w:noProof/>
            <w:webHidden/>
          </w:rPr>
          <w:fldChar w:fldCharType="separate"/>
        </w:r>
        <w:r w:rsidR="000405B4" w:rsidRPr="00932A8A">
          <w:rPr>
            <w:noProof/>
            <w:webHidden/>
          </w:rPr>
          <w:t>129</w:t>
        </w:r>
        <w:r w:rsidR="000E07F9" w:rsidRPr="00932A8A">
          <w:rPr>
            <w:noProof/>
            <w:webHidden/>
          </w:rPr>
          <w:fldChar w:fldCharType="end"/>
        </w:r>
      </w:hyperlink>
    </w:p>
    <w:p w:rsidR="000405B4" w:rsidRPr="00932A8A" w:rsidRDefault="00332B77">
      <w:pPr>
        <w:pStyle w:val="Obsah1"/>
        <w:rPr>
          <w:noProof/>
        </w:rPr>
      </w:pPr>
      <w:hyperlink w:anchor="_Toc392151073" w:history="1">
        <w:r w:rsidR="000405B4" w:rsidRPr="00932A8A">
          <w:rPr>
            <w:rStyle w:val="Hypertextovodkaz"/>
            <w:noProof/>
          </w:rPr>
          <w:t>3</w:t>
        </w:r>
        <w:r w:rsidR="000405B4" w:rsidRPr="00932A8A">
          <w:rPr>
            <w:noProof/>
          </w:rPr>
          <w:tab/>
        </w:r>
        <w:r w:rsidR="000405B4" w:rsidRPr="00932A8A">
          <w:rPr>
            <w:rStyle w:val="Hypertextovodkaz"/>
            <w:noProof/>
          </w:rPr>
          <w:t>Plán financování</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_Toc392151073 \h </w:instrText>
        </w:r>
        <w:r w:rsidR="000E07F9" w:rsidRPr="00932A8A">
          <w:rPr>
            <w:noProof/>
            <w:webHidden/>
          </w:rPr>
        </w:r>
        <w:r w:rsidR="000E07F9" w:rsidRPr="00932A8A">
          <w:rPr>
            <w:noProof/>
            <w:webHidden/>
          </w:rPr>
          <w:fldChar w:fldCharType="separate"/>
        </w:r>
        <w:r w:rsidR="000405B4" w:rsidRPr="00932A8A">
          <w:rPr>
            <w:noProof/>
            <w:webHidden/>
          </w:rPr>
          <w:t>130</w:t>
        </w:r>
        <w:r w:rsidR="000E07F9" w:rsidRPr="00932A8A">
          <w:rPr>
            <w:noProof/>
            <w:webHidden/>
          </w:rPr>
          <w:fldChar w:fldCharType="end"/>
        </w:r>
      </w:hyperlink>
    </w:p>
    <w:p w:rsidR="000405B4" w:rsidRPr="00932A8A" w:rsidRDefault="00332B77">
      <w:pPr>
        <w:pStyle w:val="Obsah2"/>
        <w:rPr>
          <w:noProof/>
        </w:rPr>
      </w:pPr>
      <w:hyperlink w:anchor="_Toc392151074" w:history="1">
        <w:r w:rsidR="000405B4" w:rsidRPr="00932A8A">
          <w:rPr>
            <w:rStyle w:val="Hypertextovodkaz"/>
            <w:noProof/>
          </w:rPr>
          <w:t>3.1</w:t>
        </w:r>
        <w:r w:rsidR="000405B4" w:rsidRPr="00932A8A">
          <w:rPr>
            <w:noProof/>
          </w:rPr>
          <w:tab/>
        </w:r>
        <w:r w:rsidR="000405B4" w:rsidRPr="00932A8A">
          <w:rPr>
            <w:rStyle w:val="Hypertextovodkaz"/>
            <w:noProof/>
          </w:rPr>
          <w:t>Finanční podpora z každého fondu a částky týkající se výkonnostní rezervy</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_Toc392151074 \h </w:instrText>
        </w:r>
        <w:r w:rsidR="000E07F9" w:rsidRPr="00932A8A">
          <w:rPr>
            <w:noProof/>
            <w:webHidden/>
          </w:rPr>
        </w:r>
        <w:r w:rsidR="000E07F9" w:rsidRPr="00932A8A">
          <w:rPr>
            <w:noProof/>
            <w:webHidden/>
          </w:rPr>
          <w:fldChar w:fldCharType="separate"/>
        </w:r>
        <w:r w:rsidR="000405B4" w:rsidRPr="00932A8A">
          <w:rPr>
            <w:noProof/>
            <w:webHidden/>
          </w:rPr>
          <w:t>130</w:t>
        </w:r>
        <w:r w:rsidR="000E07F9" w:rsidRPr="00932A8A">
          <w:rPr>
            <w:noProof/>
            <w:webHidden/>
          </w:rPr>
          <w:fldChar w:fldCharType="end"/>
        </w:r>
      </w:hyperlink>
    </w:p>
    <w:p w:rsidR="000405B4" w:rsidRPr="00932A8A" w:rsidRDefault="00332B77">
      <w:pPr>
        <w:pStyle w:val="Obsah2"/>
        <w:rPr>
          <w:noProof/>
        </w:rPr>
      </w:pPr>
      <w:hyperlink w:anchor="_Toc392151075" w:history="1">
        <w:r w:rsidR="000405B4" w:rsidRPr="00932A8A">
          <w:rPr>
            <w:rStyle w:val="Hypertextovodkaz"/>
            <w:rFonts w:eastAsia="Arial Unicode MS"/>
            <w:noProof/>
          </w:rPr>
          <w:t>3.2</w:t>
        </w:r>
        <w:r w:rsidR="000405B4" w:rsidRPr="00932A8A">
          <w:rPr>
            <w:noProof/>
          </w:rPr>
          <w:tab/>
        </w:r>
        <w:r w:rsidR="000405B4" w:rsidRPr="00932A8A">
          <w:rPr>
            <w:rStyle w:val="Hypertextovodkaz"/>
            <w:rFonts w:eastAsia="Arial Unicode MS"/>
            <w:noProof/>
          </w:rPr>
          <w:t>Celková výše finanční podpory z každého fondu a vnitrostátního spolufinancování (v EUR)</w:t>
        </w:r>
        <w:r w:rsidR="00932A8A">
          <w:rPr>
            <w:rStyle w:val="Hypertextovodkaz"/>
            <w:rFonts w:eastAsia="Arial Unicode MS"/>
            <w:noProof/>
          </w:rPr>
          <w:t>….</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_Toc392151075 \h </w:instrText>
        </w:r>
        <w:r w:rsidR="000E07F9" w:rsidRPr="00932A8A">
          <w:rPr>
            <w:noProof/>
            <w:webHidden/>
          </w:rPr>
        </w:r>
        <w:r w:rsidR="000E07F9" w:rsidRPr="00932A8A">
          <w:rPr>
            <w:noProof/>
            <w:webHidden/>
          </w:rPr>
          <w:fldChar w:fldCharType="separate"/>
        </w:r>
        <w:r w:rsidR="000405B4" w:rsidRPr="00932A8A">
          <w:rPr>
            <w:noProof/>
            <w:webHidden/>
          </w:rPr>
          <w:t>131</w:t>
        </w:r>
        <w:r w:rsidR="000E07F9" w:rsidRPr="00932A8A">
          <w:rPr>
            <w:noProof/>
            <w:webHidden/>
          </w:rPr>
          <w:fldChar w:fldCharType="end"/>
        </w:r>
      </w:hyperlink>
    </w:p>
    <w:p w:rsidR="000405B4" w:rsidRPr="00932A8A" w:rsidRDefault="00332B77">
      <w:pPr>
        <w:pStyle w:val="Obsah2"/>
        <w:rPr>
          <w:noProof/>
        </w:rPr>
      </w:pPr>
      <w:hyperlink w:anchor="_Toc392151076" w:history="1">
        <w:r w:rsidR="000405B4" w:rsidRPr="00932A8A">
          <w:rPr>
            <w:rStyle w:val="Hypertextovodkaz"/>
            <w:rFonts w:eastAsia="Arial Unicode MS"/>
            <w:noProof/>
          </w:rPr>
          <w:t>3.3</w:t>
        </w:r>
        <w:r w:rsidR="000405B4" w:rsidRPr="00932A8A">
          <w:rPr>
            <w:noProof/>
          </w:rPr>
          <w:tab/>
        </w:r>
        <w:r w:rsidR="000405B4" w:rsidRPr="00932A8A">
          <w:rPr>
            <w:rStyle w:val="Hypertextovodkaz"/>
            <w:rFonts w:eastAsia="Arial Unicode MS"/>
            <w:noProof/>
          </w:rPr>
          <w:t>Rozdělení plánu financování podle prioritní osy, fondu, kategorie regionů a tematického cíle</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_Toc392151076 \h </w:instrText>
        </w:r>
        <w:r w:rsidR="000E07F9" w:rsidRPr="00932A8A">
          <w:rPr>
            <w:noProof/>
            <w:webHidden/>
          </w:rPr>
        </w:r>
        <w:r w:rsidR="000E07F9" w:rsidRPr="00932A8A">
          <w:rPr>
            <w:noProof/>
            <w:webHidden/>
          </w:rPr>
          <w:fldChar w:fldCharType="separate"/>
        </w:r>
        <w:r w:rsidR="000405B4" w:rsidRPr="00932A8A">
          <w:rPr>
            <w:noProof/>
            <w:webHidden/>
          </w:rPr>
          <w:t>133</w:t>
        </w:r>
        <w:r w:rsidR="000E07F9" w:rsidRPr="00932A8A">
          <w:rPr>
            <w:noProof/>
            <w:webHidden/>
          </w:rPr>
          <w:fldChar w:fldCharType="end"/>
        </w:r>
      </w:hyperlink>
    </w:p>
    <w:p w:rsidR="000405B4" w:rsidRPr="00932A8A" w:rsidRDefault="00332B77">
      <w:pPr>
        <w:pStyle w:val="Obsah1"/>
        <w:rPr>
          <w:noProof/>
        </w:rPr>
      </w:pPr>
      <w:hyperlink w:anchor="_Toc392151077" w:history="1">
        <w:r w:rsidR="000405B4" w:rsidRPr="00932A8A">
          <w:rPr>
            <w:rStyle w:val="Hypertextovodkaz"/>
            <w:noProof/>
          </w:rPr>
          <w:t>4</w:t>
        </w:r>
        <w:r w:rsidR="000405B4" w:rsidRPr="00932A8A">
          <w:rPr>
            <w:noProof/>
          </w:rPr>
          <w:tab/>
        </w:r>
        <w:r w:rsidR="000405B4" w:rsidRPr="00932A8A">
          <w:rPr>
            <w:rStyle w:val="Hypertextovodkaz"/>
            <w:noProof/>
          </w:rPr>
          <w:t>Integrovaný přístup k územnímu rozvoji</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_Toc392151077 \h </w:instrText>
        </w:r>
        <w:r w:rsidR="000E07F9" w:rsidRPr="00932A8A">
          <w:rPr>
            <w:noProof/>
            <w:webHidden/>
          </w:rPr>
        </w:r>
        <w:r w:rsidR="000E07F9" w:rsidRPr="00932A8A">
          <w:rPr>
            <w:noProof/>
            <w:webHidden/>
          </w:rPr>
          <w:fldChar w:fldCharType="separate"/>
        </w:r>
        <w:r w:rsidR="000405B4" w:rsidRPr="00932A8A">
          <w:rPr>
            <w:noProof/>
            <w:webHidden/>
          </w:rPr>
          <w:t>134</w:t>
        </w:r>
        <w:r w:rsidR="000E07F9" w:rsidRPr="00932A8A">
          <w:rPr>
            <w:noProof/>
            <w:webHidden/>
          </w:rPr>
          <w:fldChar w:fldCharType="end"/>
        </w:r>
      </w:hyperlink>
    </w:p>
    <w:p w:rsidR="000405B4" w:rsidRPr="00932A8A" w:rsidRDefault="00332B77">
      <w:pPr>
        <w:pStyle w:val="Obsah2"/>
        <w:rPr>
          <w:noProof/>
        </w:rPr>
      </w:pPr>
      <w:hyperlink w:anchor="_Toc392151078" w:history="1">
        <w:r w:rsidR="000405B4" w:rsidRPr="00932A8A">
          <w:rPr>
            <w:rStyle w:val="Hypertextovodkaz"/>
            <w:noProof/>
          </w:rPr>
          <w:t>4.1</w:t>
        </w:r>
        <w:r w:rsidR="000405B4" w:rsidRPr="00932A8A">
          <w:rPr>
            <w:noProof/>
          </w:rPr>
          <w:tab/>
        </w:r>
        <w:r w:rsidR="000405B4" w:rsidRPr="00932A8A">
          <w:rPr>
            <w:rStyle w:val="Hypertextovodkaz"/>
            <w:noProof/>
          </w:rPr>
          <w:t>Nástroje k zajištění komunitně vedeného místního rozvoje</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_Toc392151078 \h </w:instrText>
        </w:r>
        <w:r w:rsidR="000E07F9" w:rsidRPr="00932A8A">
          <w:rPr>
            <w:noProof/>
            <w:webHidden/>
          </w:rPr>
        </w:r>
        <w:r w:rsidR="000E07F9" w:rsidRPr="00932A8A">
          <w:rPr>
            <w:noProof/>
            <w:webHidden/>
          </w:rPr>
          <w:fldChar w:fldCharType="separate"/>
        </w:r>
        <w:r w:rsidR="000405B4" w:rsidRPr="00932A8A">
          <w:rPr>
            <w:noProof/>
            <w:webHidden/>
          </w:rPr>
          <w:t>135</w:t>
        </w:r>
        <w:r w:rsidR="000E07F9" w:rsidRPr="00932A8A">
          <w:rPr>
            <w:noProof/>
            <w:webHidden/>
          </w:rPr>
          <w:fldChar w:fldCharType="end"/>
        </w:r>
      </w:hyperlink>
    </w:p>
    <w:p w:rsidR="000405B4" w:rsidRPr="00932A8A" w:rsidRDefault="00332B77">
      <w:pPr>
        <w:pStyle w:val="Obsah2"/>
        <w:rPr>
          <w:noProof/>
        </w:rPr>
      </w:pPr>
      <w:hyperlink w:anchor="_Toc392151079" w:history="1">
        <w:r w:rsidR="000405B4" w:rsidRPr="00932A8A">
          <w:rPr>
            <w:rStyle w:val="Hypertextovodkaz"/>
            <w:noProof/>
          </w:rPr>
          <w:t>4.2</w:t>
        </w:r>
        <w:r w:rsidR="000405B4" w:rsidRPr="00932A8A">
          <w:rPr>
            <w:noProof/>
          </w:rPr>
          <w:tab/>
        </w:r>
        <w:r w:rsidR="000405B4" w:rsidRPr="00932A8A">
          <w:rPr>
            <w:rStyle w:val="Hypertextovodkaz"/>
            <w:noProof/>
          </w:rPr>
          <w:t>Integrovaná opatření pro udržitelný rozvoj měst</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_Toc392151079 \h </w:instrText>
        </w:r>
        <w:r w:rsidR="000E07F9" w:rsidRPr="00932A8A">
          <w:rPr>
            <w:noProof/>
            <w:webHidden/>
          </w:rPr>
        </w:r>
        <w:r w:rsidR="000E07F9" w:rsidRPr="00932A8A">
          <w:rPr>
            <w:noProof/>
            <w:webHidden/>
          </w:rPr>
          <w:fldChar w:fldCharType="separate"/>
        </w:r>
        <w:r w:rsidR="000405B4" w:rsidRPr="00932A8A">
          <w:rPr>
            <w:noProof/>
            <w:webHidden/>
          </w:rPr>
          <w:t>135</w:t>
        </w:r>
        <w:r w:rsidR="000E07F9" w:rsidRPr="00932A8A">
          <w:rPr>
            <w:noProof/>
            <w:webHidden/>
          </w:rPr>
          <w:fldChar w:fldCharType="end"/>
        </w:r>
      </w:hyperlink>
    </w:p>
    <w:p w:rsidR="000405B4" w:rsidRPr="00932A8A" w:rsidRDefault="00332B77">
      <w:pPr>
        <w:pStyle w:val="Obsah2"/>
        <w:rPr>
          <w:noProof/>
        </w:rPr>
      </w:pPr>
      <w:hyperlink w:anchor="_Toc392151080" w:history="1">
        <w:r w:rsidR="000405B4" w:rsidRPr="00932A8A">
          <w:rPr>
            <w:rStyle w:val="Hypertextovodkaz"/>
            <w:noProof/>
          </w:rPr>
          <w:t>4.3</w:t>
        </w:r>
        <w:r w:rsidR="000405B4" w:rsidRPr="00932A8A">
          <w:rPr>
            <w:noProof/>
          </w:rPr>
          <w:tab/>
        </w:r>
        <w:r w:rsidR="000405B4" w:rsidRPr="00932A8A">
          <w:rPr>
            <w:rStyle w:val="Hypertextovodkaz"/>
            <w:noProof/>
          </w:rPr>
          <w:t>Integrované územní investice (ITI)</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_Toc392151080 \h </w:instrText>
        </w:r>
        <w:r w:rsidR="000E07F9" w:rsidRPr="00932A8A">
          <w:rPr>
            <w:noProof/>
            <w:webHidden/>
          </w:rPr>
        </w:r>
        <w:r w:rsidR="000E07F9" w:rsidRPr="00932A8A">
          <w:rPr>
            <w:noProof/>
            <w:webHidden/>
          </w:rPr>
          <w:fldChar w:fldCharType="separate"/>
        </w:r>
        <w:r w:rsidR="000405B4" w:rsidRPr="00932A8A">
          <w:rPr>
            <w:noProof/>
            <w:webHidden/>
          </w:rPr>
          <w:t>135</w:t>
        </w:r>
        <w:r w:rsidR="000E07F9" w:rsidRPr="00932A8A">
          <w:rPr>
            <w:noProof/>
            <w:webHidden/>
          </w:rPr>
          <w:fldChar w:fldCharType="end"/>
        </w:r>
      </w:hyperlink>
    </w:p>
    <w:p w:rsidR="000405B4" w:rsidRPr="00932A8A" w:rsidRDefault="00332B77">
      <w:pPr>
        <w:pStyle w:val="Obsah2"/>
        <w:rPr>
          <w:noProof/>
        </w:rPr>
      </w:pPr>
      <w:hyperlink w:anchor="_Toc392151081" w:history="1">
        <w:r w:rsidR="000405B4" w:rsidRPr="00932A8A">
          <w:rPr>
            <w:rStyle w:val="Hypertextovodkaz"/>
            <w:noProof/>
          </w:rPr>
          <w:t>4.4</w:t>
        </w:r>
        <w:r w:rsidR="000405B4" w:rsidRPr="00932A8A">
          <w:rPr>
            <w:noProof/>
          </w:rPr>
          <w:tab/>
        </w:r>
        <w:r w:rsidR="000405B4" w:rsidRPr="00932A8A">
          <w:rPr>
            <w:rStyle w:val="Hypertextovodkaz"/>
            <w:noProof/>
          </w:rPr>
          <w:t>Ujednání pro meziregionální a nadnárodní opatření v rámci operačního programu s příjemci, kteří se nacházejí alespoň v jednom dalším členském státu</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_Toc392151081 \h </w:instrText>
        </w:r>
        <w:r w:rsidR="000E07F9" w:rsidRPr="00932A8A">
          <w:rPr>
            <w:noProof/>
            <w:webHidden/>
          </w:rPr>
        </w:r>
        <w:r w:rsidR="000E07F9" w:rsidRPr="00932A8A">
          <w:rPr>
            <w:noProof/>
            <w:webHidden/>
          </w:rPr>
          <w:fldChar w:fldCharType="separate"/>
        </w:r>
        <w:r w:rsidR="000405B4" w:rsidRPr="00932A8A">
          <w:rPr>
            <w:noProof/>
            <w:webHidden/>
          </w:rPr>
          <w:t>135</w:t>
        </w:r>
        <w:r w:rsidR="000E07F9" w:rsidRPr="00932A8A">
          <w:rPr>
            <w:noProof/>
            <w:webHidden/>
          </w:rPr>
          <w:fldChar w:fldCharType="end"/>
        </w:r>
      </w:hyperlink>
    </w:p>
    <w:p w:rsidR="000405B4" w:rsidRPr="00932A8A" w:rsidRDefault="00332B77">
      <w:pPr>
        <w:pStyle w:val="Obsah2"/>
        <w:rPr>
          <w:noProof/>
        </w:rPr>
      </w:pPr>
      <w:hyperlink w:anchor="_Toc392151082" w:history="1">
        <w:r w:rsidR="000405B4" w:rsidRPr="00932A8A">
          <w:rPr>
            <w:rStyle w:val="Hypertextovodkaz"/>
            <w:noProof/>
          </w:rPr>
          <w:t>4.5</w:t>
        </w:r>
        <w:r w:rsidR="000405B4" w:rsidRPr="00932A8A">
          <w:rPr>
            <w:noProof/>
          </w:rPr>
          <w:tab/>
        </w:r>
        <w:r w:rsidR="000405B4" w:rsidRPr="00932A8A">
          <w:rPr>
            <w:rStyle w:val="Hypertextovodkaz"/>
            <w:noProof/>
          </w:rPr>
          <w:t>Přínos plánovaných opatření programu k realizaci makroregionálních strategií a strategií pro přímořské oblasti v závislosti na potřebách programové oblasti určených příslušným členským státům</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_Toc392151082 \h </w:instrText>
        </w:r>
        <w:r w:rsidR="000E07F9" w:rsidRPr="00932A8A">
          <w:rPr>
            <w:noProof/>
            <w:webHidden/>
          </w:rPr>
        </w:r>
        <w:r w:rsidR="000E07F9" w:rsidRPr="00932A8A">
          <w:rPr>
            <w:noProof/>
            <w:webHidden/>
          </w:rPr>
          <w:fldChar w:fldCharType="separate"/>
        </w:r>
        <w:r w:rsidR="000405B4" w:rsidRPr="00932A8A">
          <w:rPr>
            <w:noProof/>
            <w:webHidden/>
          </w:rPr>
          <w:t>135</w:t>
        </w:r>
        <w:r w:rsidR="000E07F9" w:rsidRPr="00932A8A">
          <w:rPr>
            <w:noProof/>
            <w:webHidden/>
          </w:rPr>
          <w:fldChar w:fldCharType="end"/>
        </w:r>
      </w:hyperlink>
    </w:p>
    <w:p w:rsidR="000405B4" w:rsidRPr="00932A8A" w:rsidRDefault="00332B77">
      <w:pPr>
        <w:pStyle w:val="Obsah3"/>
        <w:rPr>
          <w:noProof/>
        </w:rPr>
      </w:pPr>
      <w:hyperlink w:anchor="_Toc392151083" w:history="1">
        <w:r w:rsidR="000405B4" w:rsidRPr="00932A8A">
          <w:rPr>
            <w:rStyle w:val="Hypertextovodkaz"/>
            <w:noProof/>
          </w:rPr>
          <w:t>4.5.1</w:t>
        </w:r>
        <w:r w:rsidR="000405B4" w:rsidRPr="00932A8A">
          <w:rPr>
            <w:noProof/>
          </w:rPr>
          <w:tab/>
        </w:r>
        <w:r w:rsidR="000405B4" w:rsidRPr="00932A8A">
          <w:rPr>
            <w:rStyle w:val="Hypertextovodkaz"/>
            <w:noProof/>
          </w:rPr>
          <w:t>Koordinace s makroregionální strategií Podunajská strategie</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_Toc392151083 \h </w:instrText>
        </w:r>
        <w:r w:rsidR="000E07F9" w:rsidRPr="00932A8A">
          <w:rPr>
            <w:noProof/>
            <w:webHidden/>
          </w:rPr>
        </w:r>
        <w:r w:rsidR="000E07F9" w:rsidRPr="00932A8A">
          <w:rPr>
            <w:noProof/>
            <w:webHidden/>
          </w:rPr>
          <w:fldChar w:fldCharType="separate"/>
        </w:r>
        <w:r w:rsidR="000405B4" w:rsidRPr="00932A8A">
          <w:rPr>
            <w:noProof/>
            <w:webHidden/>
          </w:rPr>
          <w:t>135</w:t>
        </w:r>
        <w:r w:rsidR="000E07F9" w:rsidRPr="00932A8A">
          <w:rPr>
            <w:noProof/>
            <w:webHidden/>
          </w:rPr>
          <w:fldChar w:fldCharType="end"/>
        </w:r>
      </w:hyperlink>
    </w:p>
    <w:p w:rsidR="000405B4" w:rsidRPr="00932A8A" w:rsidRDefault="00332B77">
      <w:pPr>
        <w:pStyle w:val="Obsah1"/>
        <w:rPr>
          <w:noProof/>
        </w:rPr>
      </w:pPr>
      <w:hyperlink w:anchor="_Toc392151084" w:history="1">
        <w:r w:rsidR="000405B4" w:rsidRPr="00932A8A">
          <w:rPr>
            <w:rStyle w:val="Hypertextovodkaz"/>
            <w:noProof/>
          </w:rPr>
          <w:t>5</w:t>
        </w:r>
        <w:r w:rsidR="000405B4" w:rsidRPr="00932A8A">
          <w:rPr>
            <w:noProof/>
          </w:rPr>
          <w:tab/>
        </w:r>
        <w:r w:rsidR="000405B4" w:rsidRPr="00932A8A">
          <w:rPr>
            <w:rStyle w:val="Hypertextovodkaz"/>
            <w:noProof/>
          </w:rPr>
          <w:t>Specifické potřeby zeměpisných oblastí nejvíce postižených chudobou nebo cílových skupin, jimž nejvíce hrozí diskriminace nebo sociální vyloučení</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_Toc392151084 \h </w:instrText>
        </w:r>
        <w:r w:rsidR="000E07F9" w:rsidRPr="00932A8A">
          <w:rPr>
            <w:noProof/>
            <w:webHidden/>
          </w:rPr>
        </w:r>
        <w:r w:rsidR="000E07F9" w:rsidRPr="00932A8A">
          <w:rPr>
            <w:noProof/>
            <w:webHidden/>
          </w:rPr>
          <w:fldChar w:fldCharType="separate"/>
        </w:r>
        <w:r w:rsidR="000405B4" w:rsidRPr="00932A8A">
          <w:rPr>
            <w:noProof/>
            <w:webHidden/>
          </w:rPr>
          <w:t>138</w:t>
        </w:r>
        <w:r w:rsidR="000E07F9" w:rsidRPr="00932A8A">
          <w:rPr>
            <w:noProof/>
            <w:webHidden/>
          </w:rPr>
          <w:fldChar w:fldCharType="end"/>
        </w:r>
      </w:hyperlink>
    </w:p>
    <w:p w:rsidR="000405B4" w:rsidRPr="00932A8A" w:rsidRDefault="00332B77">
      <w:pPr>
        <w:pStyle w:val="Obsah1"/>
        <w:rPr>
          <w:noProof/>
        </w:rPr>
      </w:pPr>
      <w:hyperlink w:anchor="_Toc392151085" w:history="1">
        <w:r w:rsidR="000405B4" w:rsidRPr="00932A8A">
          <w:rPr>
            <w:rStyle w:val="Hypertextovodkaz"/>
            <w:noProof/>
          </w:rPr>
          <w:t>6</w:t>
        </w:r>
        <w:r w:rsidR="000405B4" w:rsidRPr="00932A8A">
          <w:rPr>
            <w:noProof/>
          </w:rPr>
          <w:tab/>
        </w:r>
        <w:r w:rsidR="000405B4" w:rsidRPr="00932A8A">
          <w:rPr>
            <w:rStyle w:val="Hypertextovodkaz"/>
            <w:noProof/>
          </w:rPr>
          <w:t>Specifické potřeby zeměpisných oblastí, které jsou závažně a trvale znevýhodněny přírodními nebo demografickými podmínkami</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_Toc392151085 \h </w:instrText>
        </w:r>
        <w:r w:rsidR="000E07F9" w:rsidRPr="00932A8A">
          <w:rPr>
            <w:noProof/>
            <w:webHidden/>
          </w:rPr>
        </w:r>
        <w:r w:rsidR="000E07F9" w:rsidRPr="00932A8A">
          <w:rPr>
            <w:noProof/>
            <w:webHidden/>
          </w:rPr>
          <w:fldChar w:fldCharType="separate"/>
        </w:r>
        <w:r w:rsidR="000405B4" w:rsidRPr="00932A8A">
          <w:rPr>
            <w:noProof/>
            <w:webHidden/>
          </w:rPr>
          <w:t>139</w:t>
        </w:r>
        <w:r w:rsidR="000E07F9" w:rsidRPr="00932A8A">
          <w:rPr>
            <w:noProof/>
            <w:webHidden/>
          </w:rPr>
          <w:fldChar w:fldCharType="end"/>
        </w:r>
      </w:hyperlink>
    </w:p>
    <w:p w:rsidR="000405B4" w:rsidRPr="00932A8A" w:rsidRDefault="00332B77">
      <w:pPr>
        <w:pStyle w:val="Obsah1"/>
        <w:rPr>
          <w:noProof/>
        </w:rPr>
      </w:pPr>
      <w:hyperlink w:anchor="_Toc392151086" w:history="1">
        <w:r w:rsidR="000405B4" w:rsidRPr="00932A8A">
          <w:rPr>
            <w:rStyle w:val="Hypertextovodkaz"/>
            <w:noProof/>
          </w:rPr>
          <w:t>7</w:t>
        </w:r>
        <w:r w:rsidR="000405B4" w:rsidRPr="00932A8A">
          <w:rPr>
            <w:noProof/>
          </w:rPr>
          <w:tab/>
        </w:r>
        <w:r w:rsidR="000405B4" w:rsidRPr="00932A8A">
          <w:rPr>
            <w:rStyle w:val="Hypertextovodkaz"/>
            <w:noProof/>
          </w:rPr>
          <w:t>Orgány a subjekty odpovědné za řízení, kontrolu a audit a úloha příslušných partnerů</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_Toc392151086 \h </w:instrText>
        </w:r>
        <w:r w:rsidR="000E07F9" w:rsidRPr="00932A8A">
          <w:rPr>
            <w:noProof/>
            <w:webHidden/>
          </w:rPr>
        </w:r>
        <w:r w:rsidR="000E07F9" w:rsidRPr="00932A8A">
          <w:rPr>
            <w:noProof/>
            <w:webHidden/>
          </w:rPr>
          <w:fldChar w:fldCharType="separate"/>
        </w:r>
        <w:r w:rsidR="000405B4" w:rsidRPr="00932A8A">
          <w:rPr>
            <w:noProof/>
            <w:webHidden/>
          </w:rPr>
          <w:t>140</w:t>
        </w:r>
        <w:r w:rsidR="000E07F9" w:rsidRPr="00932A8A">
          <w:rPr>
            <w:noProof/>
            <w:webHidden/>
          </w:rPr>
          <w:fldChar w:fldCharType="end"/>
        </w:r>
      </w:hyperlink>
    </w:p>
    <w:p w:rsidR="000405B4" w:rsidRPr="00932A8A" w:rsidRDefault="00332B77">
      <w:pPr>
        <w:pStyle w:val="Obsah2"/>
        <w:rPr>
          <w:noProof/>
        </w:rPr>
      </w:pPr>
      <w:hyperlink w:anchor="_Toc392151087" w:history="1">
        <w:r w:rsidR="000405B4" w:rsidRPr="00932A8A">
          <w:rPr>
            <w:rStyle w:val="Hypertextovodkaz"/>
            <w:noProof/>
          </w:rPr>
          <w:t>7.1</w:t>
        </w:r>
        <w:r w:rsidR="000405B4" w:rsidRPr="00932A8A">
          <w:rPr>
            <w:noProof/>
          </w:rPr>
          <w:tab/>
        </w:r>
        <w:r w:rsidR="000405B4" w:rsidRPr="00932A8A">
          <w:rPr>
            <w:rStyle w:val="Hypertextovodkaz"/>
            <w:noProof/>
          </w:rPr>
          <w:t>Příslušné orgány a subjekty</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_Toc392151087 \h </w:instrText>
        </w:r>
        <w:r w:rsidR="000E07F9" w:rsidRPr="00932A8A">
          <w:rPr>
            <w:noProof/>
            <w:webHidden/>
          </w:rPr>
        </w:r>
        <w:r w:rsidR="000E07F9" w:rsidRPr="00932A8A">
          <w:rPr>
            <w:noProof/>
            <w:webHidden/>
          </w:rPr>
          <w:fldChar w:fldCharType="separate"/>
        </w:r>
        <w:r w:rsidR="000405B4" w:rsidRPr="00932A8A">
          <w:rPr>
            <w:noProof/>
            <w:webHidden/>
          </w:rPr>
          <w:t>140</w:t>
        </w:r>
        <w:r w:rsidR="000E07F9" w:rsidRPr="00932A8A">
          <w:rPr>
            <w:noProof/>
            <w:webHidden/>
          </w:rPr>
          <w:fldChar w:fldCharType="end"/>
        </w:r>
      </w:hyperlink>
    </w:p>
    <w:p w:rsidR="000405B4" w:rsidRPr="00932A8A" w:rsidRDefault="00332B77">
      <w:pPr>
        <w:pStyle w:val="Obsah2"/>
        <w:rPr>
          <w:noProof/>
        </w:rPr>
      </w:pPr>
      <w:hyperlink w:anchor="_Toc392151088" w:history="1">
        <w:r w:rsidR="000405B4" w:rsidRPr="00932A8A">
          <w:rPr>
            <w:rStyle w:val="Hypertextovodkaz"/>
            <w:noProof/>
          </w:rPr>
          <w:t>7.2</w:t>
        </w:r>
        <w:r w:rsidR="000405B4" w:rsidRPr="00932A8A">
          <w:rPr>
            <w:noProof/>
          </w:rPr>
          <w:tab/>
        </w:r>
        <w:r w:rsidR="000405B4" w:rsidRPr="00932A8A">
          <w:rPr>
            <w:rStyle w:val="Hypertextovodkaz"/>
            <w:noProof/>
          </w:rPr>
          <w:t>Zapojení příslušných partnerů</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_Toc392151088 \h </w:instrText>
        </w:r>
        <w:r w:rsidR="000E07F9" w:rsidRPr="00932A8A">
          <w:rPr>
            <w:noProof/>
            <w:webHidden/>
          </w:rPr>
        </w:r>
        <w:r w:rsidR="000E07F9" w:rsidRPr="00932A8A">
          <w:rPr>
            <w:noProof/>
            <w:webHidden/>
          </w:rPr>
          <w:fldChar w:fldCharType="separate"/>
        </w:r>
        <w:r w:rsidR="000405B4" w:rsidRPr="00932A8A">
          <w:rPr>
            <w:noProof/>
            <w:webHidden/>
          </w:rPr>
          <w:t>140</w:t>
        </w:r>
        <w:r w:rsidR="000E07F9" w:rsidRPr="00932A8A">
          <w:rPr>
            <w:noProof/>
            <w:webHidden/>
          </w:rPr>
          <w:fldChar w:fldCharType="end"/>
        </w:r>
      </w:hyperlink>
    </w:p>
    <w:p w:rsidR="000405B4" w:rsidRPr="00932A8A" w:rsidRDefault="00332B77">
      <w:pPr>
        <w:pStyle w:val="Obsah3"/>
        <w:rPr>
          <w:noProof/>
        </w:rPr>
      </w:pPr>
      <w:hyperlink w:anchor="_Toc392151089" w:history="1">
        <w:r w:rsidR="000405B4" w:rsidRPr="00932A8A">
          <w:rPr>
            <w:rStyle w:val="Hypertextovodkaz"/>
            <w:noProof/>
          </w:rPr>
          <w:t>7.2.1</w:t>
        </w:r>
        <w:r w:rsidR="000405B4" w:rsidRPr="00932A8A">
          <w:rPr>
            <w:noProof/>
          </w:rPr>
          <w:tab/>
        </w:r>
        <w:r w:rsidR="000405B4" w:rsidRPr="00932A8A">
          <w:rPr>
            <w:rStyle w:val="Hypertextovodkaz"/>
            <w:noProof/>
          </w:rPr>
          <w:t>Opatření přijatá k zapojení příslušných partnerů do přípravy operačního programu a úlohy partnerů při provádění, monitorování a hodnocení operačního programu</w:t>
        </w:r>
        <w:r w:rsidR="00932A8A">
          <w:rPr>
            <w:rStyle w:val="Hypertextovodkaz"/>
            <w:noProof/>
          </w:rPr>
          <w:t>…</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_Toc392151089 \h </w:instrText>
        </w:r>
        <w:r w:rsidR="000E07F9" w:rsidRPr="00932A8A">
          <w:rPr>
            <w:noProof/>
            <w:webHidden/>
          </w:rPr>
        </w:r>
        <w:r w:rsidR="000E07F9" w:rsidRPr="00932A8A">
          <w:rPr>
            <w:noProof/>
            <w:webHidden/>
          </w:rPr>
          <w:fldChar w:fldCharType="separate"/>
        </w:r>
        <w:r w:rsidR="000405B4" w:rsidRPr="00932A8A">
          <w:rPr>
            <w:noProof/>
            <w:webHidden/>
          </w:rPr>
          <w:t>140</w:t>
        </w:r>
        <w:r w:rsidR="000E07F9" w:rsidRPr="00932A8A">
          <w:rPr>
            <w:noProof/>
            <w:webHidden/>
          </w:rPr>
          <w:fldChar w:fldCharType="end"/>
        </w:r>
      </w:hyperlink>
    </w:p>
    <w:p w:rsidR="000405B4" w:rsidRPr="00932A8A" w:rsidRDefault="00332B77">
      <w:pPr>
        <w:pStyle w:val="Obsah2"/>
        <w:rPr>
          <w:noProof/>
        </w:rPr>
      </w:pPr>
      <w:hyperlink w:anchor="_Toc392151090" w:history="1">
        <w:r w:rsidR="000405B4" w:rsidRPr="00932A8A">
          <w:rPr>
            <w:rStyle w:val="Hypertextovodkaz"/>
            <w:noProof/>
          </w:rPr>
          <w:t>7.3</w:t>
        </w:r>
        <w:r w:rsidR="000405B4" w:rsidRPr="00932A8A">
          <w:rPr>
            <w:noProof/>
          </w:rPr>
          <w:tab/>
        </w:r>
        <w:r w:rsidR="000405B4" w:rsidRPr="00932A8A">
          <w:rPr>
            <w:rStyle w:val="Hypertextovodkaz"/>
            <w:noProof/>
          </w:rPr>
          <w:t>Zkušenosti z programového období 2007-2013</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_Toc392151090 \h </w:instrText>
        </w:r>
        <w:r w:rsidR="000E07F9" w:rsidRPr="00932A8A">
          <w:rPr>
            <w:noProof/>
            <w:webHidden/>
          </w:rPr>
        </w:r>
        <w:r w:rsidR="000E07F9" w:rsidRPr="00932A8A">
          <w:rPr>
            <w:noProof/>
            <w:webHidden/>
          </w:rPr>
          <w:fldChar w:fldCharType="separate"/>
        </w:r>
        <w:r w:rsidR="000405B4" w:rsidRPr="00932A8A">
          <w:rPr>
            <w:noProof/>
            <w:webHidden/>
          </w:rPr>
          <w:t>141</w:t>
        </w:r>
        <w:r w:rsidR="000E07F9" w:rsidRPr="00932A8A">
          <w:rPr>
            <w:noProof/>
            <w:webHidden/>
          </w:rPr>
          <w:fldChar w:fldCharType="end"/>
        </w:r>
      </w:hyperlink>
    </w:p>
    <w:p w:rsidR="000405B4" w:rsidRPr="00932A8A" w:rsidRDefault="00332B77">
      <w:pPr>
        <w:pStyle w:val="Obsah1"/>
        <w:rPr>
          <w:noProof/>
        </w:rPr>
      </w:pPr>
      <w:hyperlink w:anchor="_Toc392151091" w:history="1">
        <w:r w:rsidR="000405B4" w:rsidRPr="00932A8A">
          <w:rPr>
            <w:rStyle w:val="Hypertextovodkaz"/>
            <w:noProof/>
          </w:rPr>
          <w:t>8</w:t>
        </w:r>
        <w:r w:rsidR="000405B4" w:rsidRPr="00932A8A">
          <w:rPr>
            <w:noProof/>
          </w:rPr>
          <w:tab/>
        </w:r>
        <w:r w:rsidR="000405B4" w:rsidRPr="00932A8A">
          <w:rPr>
            <w:rStyle w:val="Hypertextovodkaz"/>
            <w:noProof/>
          </w:rPr>
          <w:t>Koordinace mezi fondy, EZFRV, ENRF a dalšími unijními a vnitrostátními finančními nástroji a s EIB</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_Toc392151091 \h </w:instrText>
        </w:r>
        <w:r w:rsidR="000E07F9" w:rsidRPr="00932A8A">
          <w:rPr>
            <w:noProof/>
            <w:webHidden/>
          </w:rPr>
        </w:r>
        <w:r w:rsidR="000E07F9" w:rsidRPr="00932A8A">
          <w:rPr>
            <w:noProof/>
            <w:webHidden/>
          </w:rPr>
          <w:fldChar w:fldCharType="separate"/>
        </w:r>
        <w:r w:rsidR="000405B4" w:rsidRPr="00932A8A">
          <w:rPr>
            <w:noProof/>
            <w:webHidden/>
          </w:rPr>
          <w:t>145</w:t>
        </w:r>
        <w:r w:rsidR="000E07F9" w:rsidRPr="00932A8A">
          <w:rPr>
            <w:noProof/>
            <w:webHidden/>
          </w:rPr>
          <w:fldChar w:fldCharType="end"/>
        </w:r>
      </w:hyperlink>
    </w:p>
    <w:p w:rsidR="000405B4" w:rsidRPr="00932A8A" w:rsidRDefault="00332B77">
      <w:pPr>
        <w:pStyle w:val="Obsah1"/>
        <w:rPr>
          <w:noProof/>
        </w:rPr>
      </w:pPr>
      <w:hyperlink w:anchor="_Toc392151092" w:history="1">
        <w:r w:rsidR="000405B4" w:rsidRPr="00932A8A">
          <w:rPr>
            <w:rStyle w:val="Hypertextovodkaz"/>
            <w:noProof/>
          </w:rPr>
          <w:t>9</w:t>
        </w:r>
        <w:r w:rsidR="000405B4" w:rsidRPr="00932A8A">
          <w:rPr>
            <w:noProof/>
          </w:rPr>
          <w:tab/>
        </w:r>
        <w:r w:rsidR="000405B4" w:rsidRPr="00932A8A">
          <w:rPr>
            <w:rStyle w:val="Hypertextovodkaz"/>
            <w:noProof/>
          </w:rPr>
          <w:t>Předběžné podmínky</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_Toc392151092 \h </w:instrText>
        </w:r>
        <w:r w:rsidR="000E07F9" w:rsidRPr="00932A8A">
          <w:rPr>
            <w:noProof/>
            <w:webHidden/>
          </w:rPr>
        </w:r>
        <w:r w:rsidR="000E07F9" w:rsidRPr="00932A8A">
          <w:rPr>
            <w:noProof/>
            <w:webHidden/>
          </w:rPr>
          <w:fldChar w:fldCharType="separate"/>
        </w:r>
        <w:r w:rsidR="000405B4" w:rsidRPr="00932A8A">
          <w:rPr>
            <w:noProof/>
            <w:webHidden/>
          </w:rPr>
          <w:t>151</w:t>
        </w:r>
        <w:r w:rsidR="000E07F9" w:rsidRPr="00932A8A">
          <w:rPr>
            <w:noProof/>
            <w:webHidden/>
          </w:rPr>
          <w:fldChar w:fldCharType="end"/>
        </w:r>
      </w:hyperlink>
    </w:p>
    <w:p w:rsidR="000405B4" w:rsidRPr="00932A8A" w:rsidRDefault="00332B77">
      <w:pPr>
        <w:pStyle w:val="Obsah2"/>
        <w:rPr>
          <w:noProof/>
        </w:rPr>
      </w:pPr>
      <w:hyperlink w:anchor="_Toc392151093" w:history="1">
        <w:r w:rsidR="000405B4" w:rsidRPr="00932A8A">
          <w:rPr>
            <w:rStyle w:val="Hypertextovodkaz"/>
            <w:noProof/>
          </w:rPr>
          <w:t>9.1</w:t>
        </w:r>
        <w:r w:rsidR="000405B4" w:rsidRPr="00932A8A">
          <w:rPr>
            <w:noProof/>
          </w:rPr>
          <w:tab/>
        </w:r>
        <w:r w:rsidR="000405B4" w:rsidRPr="00932A8A">
          <w:rPr>
            <w:rStyle w:val="Hypertextovodkaz"/>
            <w:noProof/>
          </w:rPr>
          <w:t>Předběžné podmínky</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_Toc392151093 \h </w:instrText>
        </w:r>
        <w:r w:rsidR="000E07F9" w:rsidRPr="00932A8A">
          <w:rPr>
            <w:noProof/>
            <w:webHidden/>
          </w:rPr>
        </w:r>
        <w:r w:rsidR="000E07F9" w:rsidRPr="00932A8A">
          <w:rPr>
            <w:noProof/>
            <w:webHidden/>
          </w:rPr>
          <w:fldChar w:fldCharType="separate"/>
        </w:r>
        <w:r w:rsidR="000405B4" w:rsidRPr="00932A8A">
          <w:rPr>
            <w:noProof/>
            <w:webHidden/>
          </w:rPr>
          <w:t>151</w:t>
        </w:r>
        <w:r w:rsidR="000E07F9" w:rsidRPr="00932A8A">
          <w:rPr>
            <w:noProof/>
            <w:webHidden/>
          </w:rPr>
          <w:fldChar w:fldCharType="end"/>
        </w:r>
      </w:hyperlink>
    </w:p>
    <w:p w:rsidR="000405B4" w:rsidRPr="00932A8A" w:rsidRDefault="00332B77">
      <w:pPr>
        <w:pStyle w:val="Obsah2"/>
        <w:rPr>
          <w:noProof/>
        </w:rPr>
      </w:pPr>
      <w:hyperlink w:anchor="_Toc392151094" w:history="1">
        <w:r w:rsidR="000405B4" w:rsidRPr="00932A8A">
          <w:rPr>
            <w:rStyle w:val="Hypertextovodkaz"/>
            <w:noProof/>
          </w:rPr>
          <w:t>9.2</w:t>
        </w:r>
        <w:r w:rsidR="000405B4" w:rsidRPr="00932A8A">
          <w:rPr>
            <w:noProof/>
          </w:rPr>
          <w:tab/>
        </w:r>
        <w:r w:rsidR="000405B4" w:rsidRPr="00932A8A">
          <w:rPr>
            <w:rStyle w:val="Hypertextovodkaz"/>
            <w:noProof/>
          </w:rPr>
          <w:t>Popis opatření ke splnění předběžných podmínek, odpovědných subjektů a harmonogramu</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_Toc392151094 \h </w:instrText>
        </w:r>
        <w:r w:rsidR="000E07F9" w:rsidRPr="00932A8A">
          <w:rPr>
            <w:noProof/>
            <w:webHidden/>
          </w:rPr>
        </w:r>
        <w:r w:rsidR="000E07F9" w:rsidRPr="00932A8A">
          <w:rPr>
            <w:noProof/>
            <w:webHidden/>
          </w:rPr>
          <w:fldChar w:fldCharType="separate"/>
        </w:r>
        <w:r w:rsidR="000405B4" w:rsidRPr="00932A8A">
          <w:rPr>
            <w:noProof/>
            <w:webHidden/>
          </w:rPr>
          <w:t>189</w:t>
        </w:r>
        <w:r w:rsidR="000E07F9" w:rsidRPr="00932A8A">
          <w:rPr>
            <w:noProof/>
            <w:webHidden/>
          </w:rPr>
          <w:fldChar w:fldCharType="end"/>
        </w:r>
      </w:hyperlink>
    </w:p>
    <w:p w:rsidR="000405B4" w:rsidRPr="00932A8A" w:rsidRDefault="00332B77">
      <w:pPr>
        <w:pStyle w:val="Obsah1"/>
        <w:rPr>
          <w:noProof/>
        </w:rPr>
      </w:pPr>
      <w:hyperlink w:anchor="_Toc392151095" w:history="1">
        <w:r w:rsidR="000405B4" w:rsidRPr="00932A8A">
          <w:rPr>
            <w:rStyle w:val="Hypertextovodkaz"/>
            <w:noProof/>
          </w:rPr>
          <w:t>10</w:t>
        </w:r>
        <w:r w:rsidR="000405B4" w:rsidRPr="00932A8A">
          <w:rPr>
            <w:noProof/>
          </w:rPr>
          <w:tab/>
        </w:r>
        <w:r w:rsidR="000405B4" w:rsidRPr="00932A8A">
          <w:rPr>
            <w:rStyle w:val="Hypertextovodkaz"/>
            <w:noProof/>
          </w:rPr>
          <w:t>Snížení administrativní zátěže pro příjemce</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_Toc392151095 \h </w:instrText>
        </w:r>
        <w:r w:rsidR="000E07F9" w:rsidRPr="00932A8A">
          <w:rPr>
            <w:noProof/>
            <w:webHidden/>
          </w:rPr>
        </w:r>
        <w:r w:rsidR="000E07F9" w:rsidRPr="00932A8A">
          <w:rPr>
            <w:noProof/>
            <w:webHidden/>
          </w:rPr>
          <w:fldChar w:fldCharType="separate"/>
        </w:r>
        <w:r w:rsidR="000405B4" w:rsidRPr="00932A8A">
          <w:rPr>
            <w:noProof/>
            <w:webHidden/>
          </w:rPr>
          <w:t>203</w:t>
        </w:r>
        <w:r w:rsidR="000E07F9" w:rsidRPr="00932A8A">
          <w:rPr>
            <w:noProof/>
            <w:webHidden/>
          </w:rPr>
          <w:fldChar w:fldCharType="end"/>
        </w:r>
      </w:hyperlink>
    </w:p>
    <w:p w:rsidR="000405B4" w:rsidRPr="00932A8A" w:rsidRDefault="00332B77">
      <w:pPr>
        <w:pStyle w:val="Obsah1"/>
        <w:rPr>
          <w:noProof/>
        </w:rPr>
      </w:pPr>
      <w:hyperlink w:anchor="_Toc392151096" w:history="1">
        <w:r w:rsidR="000405B4" w:rsidRPr="00932A8A">
          <w:rPr>
            <w:rStyle w:val="Hypertextovodkaz"/>
            <w:noProof/>
          </w:rPr>
          <w:t>11</w:t>
        </w:r>
        <w:r w:rsidR="000405B4" w:rsidRPr="00932A8A">
          <w:rPr>
            <w:noProof/>
          </w:rPr>
          <w:tab/>
        </w:r>
        <w:r w:rsidR="000405B4" w:rsidRPr="00932A8A">
          <w:rPr>
            <w:rStyle w:val="Hypertextovodkaz"/>
            <w:noProof/>
          </w:rPr>
          <w:t>Horizontální zásady</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_Toc392151096 \h </w:instrText>
        </w:r>
        <w:r w:rsidR="000E07F9" w:rsidRPr="00932A8A">
          <w:rPr>
            <w:noProof/>
            <w:webHidden/>
          </w:rPr>
        </w:r>
        <w:r w:rsidR="000E07F9" w:rsidRPr="00932A8A">
          <w:rPr>
            <w:noProof/>
            <w:webHidden/>
          </w:rPr>
          <w:fldChar w:fldCharType="separate"/>
        </w:r>
        <w:r w:rsidR="000405B4" w:rsidRPr="00932A8A">
          <w:rPr>
            <w:noProof/>
            <w:webHidden/>
          </w:rPr>
          <w:t>205</w:t>
        </w:r>
        <w:r w:rsidR="000E07F9" w:rsidRPr="00932A8A">
          <w:rPr>
            <w:noProof/>
            <w:webHidden/>
          </w:rPr>
          <w:fldChar w:fldCharType="end"/>
        </w:r>
      </w:hyperlink>
    </w:p>
    <w:p w:rsidR="000405B4" w:rsidRPr="00932A8A" w:rsidRDefault="00332B77">
      <w:pPr>
        <w:pStyle w:val="Obsah2"/>
        <w:rPr>
          <w:noProof/>
        </w:rPr>
      </w:pPr>
      <w:hyperlink w:anchor="_Toc392151097" w:history="1">
        <w:r w:rsidR="000405B4" w:rsidRPr="00932A8A">
          <w:rPr>
            <w:rStyle w:val="Hypertextovodkaz"/>
            <w:noProof/>
          </w:rPr>
          <w:t>11.1</w:t>
        </w:r>
        <w:r w:rsidR="000405B4" w:rsidRPr="00932A8A">
          <w:rPr>
            <w:noProof/>
          </w:rPr>
          <w:tab/>
        </w:r>
        <w:r w:rsidR="000405B4" w:rsidRPr="00932A8A">
          <w:rPr>
            <w:rStyle w:val="Hypertextovodkaz"/>
            <w:noProof/>
          </w:rPr>
          <w:t>Udržitelný rozvoj</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_Toc392151097 \h </w:instrText>
        </w:r>
        <w:r w:rsidR="000E07F9" w:rsidRPr="00932A8A">
          <w:rPr>
            <w:noProof/>
            <w:webHidden/>
          </w:rPr>
        </w:r>
        <w:r w:rsidR="000E07F9" w:rsidRPr="00932A8A">
          <w:rPr>
            <w:noProof/>
            <w:webHidden/>
          </w:rPr>
          <w:fldChar w:fldCharType="separate"/>
        </w:r>
        <w:r w:rsidR="000405B4" w:rsidRPr="00932A8A">
          <w:rPr>
            <w:noProof/>
            <w:webHidden/>
          </w:rPr>
          <w:t>205</w:t>
        </w:r>
        <w:r w:rsidR="000E07F9" w:rsidRPr="00932A8A">
          <w:rPr>
            <w:noProof/>
            <w:webHidden/>
          </w:rPr>
          <w:fldChar w:fldCharType="end"/>
        </w:r>
      </w:hyperlink>
    </w:p>
    <w:p w:rsidR="000405B4" w:rsidRPr="00932A8A" w:rsidRDefault="00332B77">
      <w:pPr>
        <w:pStyle w:val="Obsah2"/>
        <w:rPr>
          <w:noProof/>
        </w:rPr>
      </w:pPr>
      <w:hyperlink w:anchor="_Toc392151098" w:history="1">
        <w:r w:rsidR="000405B4" w:rsidRPr="00932A8A">
          <w:rPr>
            <w:rStyle w:val="Hypertextovodkaz"/>
            <w:noProof/>
          </w:rPr>
          <w:t>11.2</w:t>
        </w:r>
        <w:r w:rsidR="000405B4" w:rsidRPr="00932A8A">
          <w:rPr>
            <w:noProof/>
          </w:rPr>
          <w:tab/>
        </w:r>
        <w:r w:rsidR="000405B4" w:rsidRPr="00932A8A">
          <w:rPr>
            <w:rStyle w:val="Hypertextovodkaz"/>
            <w:noProof/>
          </w:rPr>
          <w:t>Rovné příležitosti a zákaz diskriminace</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_Toc392151098 \h </w:instrText>
        </w:r>
        <w:r w:rsidR="000E07F9" w:rsidRPr="00932A8A">
          <w:rPr>
            <w:noProof/>
            <w:webHidden/>
          </w:rPr>
        </w:r>
        <w:r w:rsidR="000E07F9" w:rsidRPr="00932A8A">
          <w:rPr>
            <w:noProof/>
            <w:webHidden/>
          </w:rPr>
          <w:fldChar w:fldCharType="separate"/>
        </w:r>
        <w:r w:rsidR="000405B4" w:rsidRPr="00932A8A">
          <w:rPr>
            <w:noProof/>
            <w:webHidden/>
          </w:rPr>
          <w:t>206</w:t>
        </w:r>
        <w:r w:rsidR="000E07F9" w:rsidRPr="00932A8A">
          <w:rPr>
            <w:noProof/>
            <w:webHidden/>
          </w:rPr>
          <w:fldChar w:fldCharType="end"/>
        </w:r>
      </w:hyperlink>
    </w:p>
    <w:p w:rsidR="000405B4" w:rsidRPr="00932A8A" w:rsidRDefault="00332B77">
      <w:pPr>
        <w:pStyle w:val="Obsah2"/>
        <w:rPr>
          <w:noProof/>
        </w:rPr>
      </w:pPr>
      <w:hyperlink w:anchor="_Toc392151099" w:history="1">
        <w:r w:rsidR="000405B4" w:rsidRPr="00932A8A">
          <w:rPr>
            <w:rStyle w:val="Hypertextovodkaz"/>
            <w:noProof/>
          </w:rPr>
          <w:t>11.3</w:t>
        </w:r>
        <w:r w:rsidR="000405B4" w:rsidRPr="00932A8A">
          <w:rPr>
            <w:noProof/>
          </w:rPr>
          <w:tab/>
        </w:r>
        <w:r w:rsidR="000405B4" w:rsidRPr="00932A8A">
          <w:rPr>
            <w:rStyle w:val="Hypertextovodkaz"/>
            <w:noProof/>
          </w:rPr>
          <w:t>Rovnost mezi muži a ženami</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_Toc392151099 \h </w:instrText>
        </w:r>
        <w:r w:rsidR="000E07F9" w:rsidRPr="00932A8A">
          <w:rPr>
            <w:noProof/>
            <w:webHidden/>
          </w:rPr>
        </w:r>
        <w:r w:rsidR="000E07F9" w:rsidRPr="00932A8A">
          <w:rPr>
            <w:noProof/>
            <w:webHidden/>
          </w:rPr>
          <w:fldChar w:fldCharType="separate"/>
        </w:r>
        <w:r w:rsidR="000405B4" w:rsidRPr="00932A8A">
          <w:rPr>
            <w:noProof/>
            <w:webHidden/>
          </w:rPr>
          <w:t>206</w:t>
        </w:r>
        <w:r w:rsidR="000E07F9" w:rsidRPr="00932A8A">
          <w:rPr>
            <w:noProof/>
            <w:webHidden/>
          </w:rPr>
          <w:fldChar w:fldCharType="end"/>
        </w:r>
      </w:hyperlink>
    </w:p>
    <w:p w:rsidR="000405B4" w:rsidRPr="00932A8A" w:rsidRDefault="00332B77">
      <w:pPr>
        <w:pStyle w:val="Obsah1"/>
        <w:rPr>
          <w:noProof/>
        </w:rPr>
      </w:pPr>
      <w:hyperlink w:anchor="_Toc392151100" w:history="1">
        <w:r w:rsidR="000405B4" w:rsidRPr="00932A8A">
          <w:rPr>
            <w:rStyle w:val="Hypertextovodkaz"/>
            <w:noProof/>
          </w:rPr>
          <w:t>12</w:t>
        </w:r>
        <w:r w:rsidR="000405B4" w:rsidRPr="00932A8A">
          <w:rPr>
            <w:noProof/>
          </w:rPr>
          <w:tab/>
        </w:r>
        <w:r w:rsidR="000405B4" w:rsidRPr="00932A8A">
          <w:rPr>
            <w:rStyle w:val="Hypertextovodkaz"/>
            <w:noProof/>
          </w:rPr>
          <w:t>Seznam zkratek</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_Toc392151100 \h </w:instrText>
        </w:r>
        <w:r w:rsidR="000E07F9" w:rsidRPr="00932A8A">
          <w:rPr>
            <w:noProof/>
            <w:webHidden/>
          </w:rPr>
        </w:r>
        <w:r w:rsidR="000E07F9" w:rsidRPr="00932A8A">
          <w:rPr>
            <w:noProof/>
            <w:webHidden/>
          </w:rPr>
          <w:fldChar w:fldCharType="separate"/>
        </w:r>
        <w:r w:rsidR="000405B4" w:rsidRPr="00932A8A">
          <w:rPr>
            <w:noProof/>
            <w:webHidden/>
          </w:rPr>
          <w:t>208</w:t>
        </w:r>
        <w:r w:rsidR="000E07F9" w:rsidRPr="00932A8A">
          <w:rPr>
            <w:noProof/>
            <w:webHidden/>
          </w:rPr>
          <w:fldChar w:fldCharType="end"/>
        </w:r>
      </w:hyperlink>
    </w:p>
    <w:p w:rsidR="000405B4" w:rsidRPr="00932A8A" w:rsidRDefault="00332B77">
      <w:pPr>
        <w:pStyle w:val="Obsah1"/>
        <w:rPr>
          <w:noProof/>
        </w:rPr>
      </w:pPr>
      <w:hyperlink w:anchor="_Toc392151101" w:history="1">
        <w:r w:rsidR="000405B4" w:rsidRPr="00932A8A">
          <w:rPr>
            <w:rStyle w:val="Hypertextovodkaz"/>
            <w:noProof/>
          </w:rPr>
          <w:t>13</w:t>
        </w:r>
        <w:r w:rsidR="000405B4" w:rsidRPr="00932A8A">
          <w:rPr>
            <w:noProof/>
          </w:rPr>
          <w:tab/>
        </w:r>
        <w:r w:rsidR="000405B4" w:rsidRPr="00932A8A">
          <w:rPr>
            <w:rStyle w:val="Hypertextovodkaz"/>
            <w:noProof/>
          </w:rPr>
          <w:t>Samostatné prvky</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_Toc392151101 \h </w:instrText>
        </w:r>
        <w:r w:rsidR="000E07F9" w:rsidRPr="00932A8A">
          <w:rPr>
            <w:noProof/>
            <w:webHidden/>
          </w:rPr>
        </w:r>
        <w:r w:rsidR="000E07F9" w:rsidRPr="00932A8A">
          <w:rPr>
            <w:noProof/>
            <w:webHidden/>
          </w:rPr>
          <w:fldChar w:fldCharType="separate"/>
        </w:r>
        <w:r w:rsidR="000405B4" w:rsidRPr="00932A8A">
          <w:rPr>
            <w:noProof/>
            <w:webHidden/>
          </w:rPr>
          <w:t>212</w:t>
        </w:r>
        <w:r w:rsidR="000E07F9" w:rsidRPr="00932A8A">
          <w:rPr>
            <w:noProof/>
            <w:webHidden/>
          </w:rPr>
          <w:fldChar w:fldCharType="end"/>
        </w:r>
      </w:hyperlink>
    </w:p>
    <w:p w:rsidR="000405B4" w:rsidRPr="00932A8A" w:rsidRDefault="00332B77">
      <w:pPr>
        <w:pStyle w:val="Obsah2"/>
        <w:rPr>
          <w:noProof/>
        </w:rPr>
      </w:pPr>
      <w:hyperlink w:anchor="_Toc392151102" w:history="1">
        <w:r w:rsidR="000405B4" w:rsidRPr="00932A8A">
          <w:rPr>
            <w:rStyle w:val="Hypertextovodkaz"/>
            <w:noProof/>
          </w:rPr>
          <w:t>13.1</w:t>
        </w:r>
        <w:r w:rsidR="000405B4" w:rsidRPr="00932A8A">
          <w:rPr>
            <w:noProof/>
          </w:rPr>
          <w:tab/>
        </w:r>
        <w:r w:rsidR="000405B4" w:rsidRPr="00932A8A">
          <w:rPr>
            <w:rStyle w:val="Hypertextovodkaz"/>
            <w:noProof/>
          </w:rPr>
          <w:t>Velké projekty, které mají být během programového období realizovány</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_Toc392151102 \h </w:instrText>
        </w:r>
        <w:r w:rsidR="000E07F9" w:rsidRPr="00932A8A">
          <w:rPr>
            <w:noProof/>
            <w:webHidden/>
          </w:rPr>
        </w:r>
        <w:r w:rsidR="000E07F9" w:rsidRPr="00932A8A">
          <w:rPr>
            <w:noProof/>
            <w:webHidden/>
          </w:rPr>
          <w:fldChar w:fldCharType="separate"/>
        </w:r>
        <w:r w:rsidR="000405B4" w:rsidRPr="00932A8A">
          <w:rPr>
            <w:noProof/>
            <w:webHidden/>
          </w:rPr>
          <w:t>212</w:t>
        </w:r>
        <w:r w:rsidR="000E07F9" w:rsidRPr="00932A8A">
          <w:rPr>
            <w:noProof/>
            <w:webHidden/>
          </w:rPr>
          <w:fldChar w:fldCharType="end"/>
        </w:r>
      </w:hyperlink>
    </w:p>
    <w:p w:rsidR="000405B4" w:rsidRPr="00932A8A" w:rsidRDefault="00332B77">
      <w:pPr>
        <w:pStyle w:val="Obsah2"/>
        <w:rPr>
          <w:noProof/>
        </w:rPr>
      </w:pPr>
      <w:hyperlink w:anchor="_Toc392151103" w:history="1">
        <w:r w:rsidR="000405B4" w:rsidRPr="00932A8A">
          <w:rPr>
            <w:rStyle w:val="Hypertextovodkaz"/>
            <w:noProof/>
          </w:rPr>
          <w:t>13.2</w:t>
        </w:r>
        <w:r w:rsidR="000405B4" w:rsidRPr="00932A8A">
          <w:rPr>
            <w:noProof/>
          </w:rPr>
          <w:tab/>
        </w:r>
        <w:r w:rsidR="000405B4" w:rsidRPr="00932A8A">
          <w:rPr>
            <w:rStyle w:val="Hypertextovodkaz"/>
            <w:noProof/>
          </w:rPr>
          <w:t>Výkonnostní rámec pro operační program</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_Toc392151103 \h </w:instrText>
        </w:r>
        <w:r w:rsidR="000E07F9" w:rsidRPr="00932A8A">
          <w:rPr>
            <w:noProof/>
            <w:webHidden/>
          </w:rPr>
        </w:r>
        <w:r w:rsidR="000E07F9" w:rsidRPr="00932A8A">
          <w:rPr>
            <w:noProof/>
            <w:webHidden/>
          </w:rPr>
          <w:fldChar w:fldCharType="separate"/>
        </w:r>
        <w:r w:rsidR="000405B4" w:rsidRPr="00932A8A">
          <w:rPr>
            <w:noProof/>
            <w:webHidden/>
          </w:rPr>
          <w:t>213</w:t>
        </w:r>
        <w:r w:rsidR="000E07F9" w:rsidRPr="00932A8A">
          <w:rPr>
            <w:noProof/>
            <w:webHidden/>
          </w:rPr>
          <w:fldChar w:fldCharType="end"/>
        </w:r>
      </w:hyperlink>
    </w:p>
    <w:p w:rsidR="000405B4" w:rsidRPr="00932A8A" w:rsidRDefault="00332B77">
      <w:pPr>
        <w:pStyle w:val="Obsah2"/>
        <w:rPr>
          <w:noProof/>
        </w:rPr>
      </w:pPr>
      <w:hyperlink w:anchor="_Toc392151104" w:history="1">
        <w:r w:rsidR="000405B4" w:rsidRPr="00932A8A">
          <w:rPr>
            <w:rStyle w:val="Hypertextovodkaz"/>
            <w:noProof/>
          </w:rPr>
          <w:t>13.3</w:t>
        </w:r>
        <w:r w:rsidR="000405B4" w:rsidRPr="00932A8A">
          <w:rPr>
            <w:noProof/>
          </w:rPr>
          <w:tab/>
        </w:r>
        <w:r w:rsidR="000405B4" w:rsidRPr="00932A8A">
          <w:rPr>
            <w:rStyle w:val="Hypertextovodkaz"/>
            <w:noProof/>
          </w:rPr>
          <w:t>Seznam příslušných partnerů zapojených do přípravy operačního programu</w:t>
        </w:r>
        <w:r w:rsidR="000405B4" w:rsidRPr="00932A8A">
          <w:rPr>
            <w:noProof/>
            <w:webHidden/>
          </w:rPr>
          <w:tab/>
        </w:r>
        <w:r w:rsidR="000E07F9" w:rsidRPr="00932A8A">
          <w:rPr>
            <w:noProof/>
            <w:webHidden/>
          </w:rPr>
          <w:fldChar w:fldCharType="begin"/>
        </w:r>
        <w:r w:rsidR="000405B4" w:rsidRPr="00932A8A">
          <w:rPr>
            <w:noProof/>
            <w:webHidden/>
          </w:rPr>
          <w:instrText xml:space="preserve"> PAGEREF _Toc392151104 \h </w:instrText>
        </w:r>
        <w:r w:rsidR="000E07F9" w:rsidRPr="00932A8A">
          <w:rPr>
            <w:noProof/>
            <w:webHidden/>
          </w:rPr>
        </w:r>
        <w:r w:rsidR="000E07F9" w:rsidRPr="00932A8A">
          <w:rPr>
            <w:noProof/>
            <w:webHidden/>
          </w:rPr>
          <w:fldChar w:fldCharType="separate"/>
        </w:r>
        <w:r w:rsidR="000405B4" w:rsidRPr="00932A8A">
          <w:rPr>
            <w:noProof/>
            <w:webHidden/>
          </w:rPr>
          <w:t>215</w:t>
        </w:r>
        <w:r w:rsidR="000E07F9" w:rsidRPr="00932A8A">
          <w:rPr>
            <w:noProof/>
            <w:webHidden/>
          </w:rPr>
          <w:fldChar w:fldCharType="end"/>
        </w:r>
      </w:hyperlink>
    </w:p>
    <w:p w:rsidR="00765B6E" w:rsidRDefault="000E07F9" w:rsidP="00B50517">
      <w:pPr>
        <w:spacing w:after="0" w:afterAutospacing="0" w:line="240" w:lineRule="auto"/>
      </w:pPr>
      <w:r w:rsidRPr="00932A8A">
        <w:fldChar w:fldCharType="end"/>
      </w:r>
    </w:p>
    <w:p w:rsidR="00CD6A31" w:rsidRDefault="00CD6A31" w:rsidP="00B50517">
      <w:pPr>
        <w:spacing w:after="0" w:afterAutospacing="0" w:line="240" w:lineRule="auto"/>
      </w:pPr>
    </w:p>
    <w:p w:rsidR="00CD6A31" w:rsidRDefault="00CD6A31" w:rsidP="00B50517">
      <w:pPr>
        <w:spacing w:after="0" w:afterAutospacing="0" w:line="240" w:lineRule="auto"/>
      </w:pPr>
    </w:p>
    <w:p w:rsidR="00CD6A31" w:rsidRDefault="00CD6A31" w:rsidP="00B50517">
      <w:pPr>
        <w:spacing w:after="0" w:afterAutospacing="0" w:line="240" w:lineRule="auto"/>
      </w:pPr>
    </w:p>
    <w:p w:rsidR="00CD6A31" w:rsidRDefault="00CD6A31" w:rsidP="00B50517">
      <w:pPr>
        <w:spacing w:after="0" w:afterAutospacing="0" w:line="240" w:lineRule="auto"/>
      </w:pPr>
    </w:p>
    <w:p w:rsidR="00CD6A31" w:rsidRDefault="00CD6A31" w:rsidP="00B50517">
      <w:pPr>
        <w:spacing w:after="0" w:afterAutospacing="0" w:line="240" w:lineRule="auto"/>
      </w:pPr>
    </w:p>
    <w:p w:rsidR="00CD6A31" w:rsidRDefault="00CD6A31" w:rsidP="00B50517">
      <w:pPr>
        <w:spacing w:after="0" w:afterAutospacing="0" w:line="240" w:lineRule="auto"/>
      </w:pPr>
    </w:p>
    <w:p w:rsidR="00CD6A31" w:rsidRDefault="00CD6A31" w:rsidP="00B50517">
      <w:pPr>
        <w:spacing w:after="0" w:afterAutospacing="0" w:line="240" w:lineRule="auto"/>
      </w:pPr>
    </w:p>
    <w:p w:rsidR="00CD6A31" w:rsidRDefault="00CD6A31" w:rsidP="00B50517">
      <w:pPr>
        <w:spacing w:after="0" w:afterAutospacing="0" w:line="240" w:lineRule="auto"/>
      </w:pPr>
    </w:p>
    <w:p w:rsidR="00CD6A31" w:rsidRDefault="00CD6A31" w:rsidP="00B50517">
      <w:pPr>
        <w:spacing w:after="0" w:afterAutospacing="0" w:line="240" w:lineRule="auto"/>
      </w:pPr>
    </w:p>
    <w:p w:rsidR="00CD6A31" w:rsidRDefault="00CD6A31" w:rsidP="00B50517">
      <w:pPr>
        <w:spacing w:after="0" w:afterAutospacing="0" w:line="240" w:lineRule="auto"/>
      </w:pPr>
    </w:p>
    <w:p w:rsidR="00CD6A31" w:rsidRDefault="00CD6A31" w:rsidP="00B50517">
      <w:pPr>
        <w:spacing w:after="0" w:afterAutospacing="0" w:line="240" w:lineRule="auto"/>
      </w:pPr>
    </w:p>
    <w:p w:rsidR="00CD6A31" w:rsidRDefault="00CD6A31" w:rsidP="00B50517">
      <w:pPr>
        <w:spacing w:after="0" w:afterAutospacing="0" w:line="240" w:lineRule="auto"/>
      </w:pPr>
    </w:p>
    <w:p w:rsidR="00CD6A31" w:rsidRDefault="00CD6A31" w:rsidP="00B50517">
      <w:pPr>
        <w:spacing w:after="0" w:afterAutospacing="0" w:line="240" w:lineRule="auto"/>
      </w:pPr>
    </w:p>
    <w:p w:rsidR="00CD6A31" w:rsidRDefault="00CD6A31" w:rsidP="00B50517">
      <w:pPr>
        <w:spacing w:after="0" w:afterAutospacing="0" w:line="240" w:lineRule="auto"/>
      </w:pPr>
    </w:p>
    <w:p w:rsidR="00CD6A31" w:rsidRDefault="00CD6A31" w:rsidP="00B50517">
      <w:pPr>
        <w:spacing w:after="0" w:afterAutospacing="0" w:line="240" w:lineRule="auto"/>
      </w:pPr>
    </w:p>
    <w:p w:rsidR="00CD6A31" w:rsidRDefault="00CD6A31" w:rsidP="00B50517">
      <w:pPr>
        <w:spacing w:after="0" w:afterAutospacing="0" w:line="240" w:lineRule="auto"/>
      </w:pPr>
    </w:p>
    <w:p w:rsidR="00CD6A31" w:rsidRDefault="00CD6A31" w:rsidP="00B50517">
      <w:pPr>
        <w:spacing w:after="0" w:afterAutospacing="0" w:line="240" w:lineRule="auto"/>
      </w:pPr>
    </w:p>
    <w:p w:rsidR="00951BB2" w:rsidRDefault="00951BB2" w:rsidP="00B50517">
      <w:pPr>
        <w:spacing w:after="0" w:afterAutospacing="0" w:line="240" w:lineRule="auto"/>
      </w:pPr>
    </w:p>
    <w:p w:rsidR="00951BB2" w:rsidRDefault="00951BB2" w:rsidP="00B50517">
      <w:pPr>
        <w:spacing w:after="0" w:afterAutospacing="0" w:line="240" w:lineRule="auto"/>
      </w:pPr>
    </w:p>
    <w:p w:rsidR="00B17192" w:rsidRDefault="00B17192" w:rsidP="00B50517">
      <w:pPr>
        <w:spacing w:after="0" w:afterAutospacing="0" w:line="240" w:lineRule="auto"/>
      </w:pPr>
    </w:p>
    <w:p w:rsidR="00B17192" w:rsidRDefault="00B17192" w:rsidP="00B50517">
      <w:pPr>
        <w:spacing w:after="0" w:afterAutospacing="0" w:line="240" w:lineRule="auto"/>
      </w:pPr>
    </w:p>
    <w:p w:rsidR="00B17192" w:rsidRDefault="00B17192" w:rsidP="00B50517">
      <w:pPr>
        <w:spacing w:after="0" w:afterAutospacing="0" w:line="240" w:lineRule="auto"/>
      </w:pPr>
    </w:p>
    <w:p w:rsidR="00951BB2" w:rsidRDefault="00951BB2" w:rsidP="00B50517">
      <w:pPr>
        <w:spacing w:after="0" w:afterAutospacing="0" w:line="240" w:lineRule="auto"/>
      </w:pPr>
    </w:p>
    <w:p w:rsidR="00CD6A31" w:rsidRPr="004314F4" w:rsidRDefault="00CD6A31" w:rsidP="00B50517">
      <w:pPr>
        <w:spacing w:after="0" w:afterAutospacing="0" w:line="240" w:lineRule="auto"/>
      </w:pPr>
    </w:p>
    <w:p w:rsidR="003A7392" w:rsidRDefault="00887F60" w:rsidP="00495FC1">
      <w:pPr>
        <w:pStyle w:val="Nadpis1"/>
        <w:numPr>
          <w:ilvl w:val="0"/>
          <w:numId w:val="3"/>
        </w:numPr>
      </w:pPr>
      <w:bookmarkStart w:id="1" w:name="_Toc392150969"/>
      <w:r w:rsidRPr="004314F4">
        <w:lastRenderedPageBreak/>
        <w:t>Strategie</w:t>
      </w:r>
      <w:r w:rsidR="00CA1F99">
        <w:t>, na jejímž základě bude operační program přispívat ke strategii U</w:t>
      </w:r>
      <w:r w:rsidR="00C73C53">
        <w:t>n</w:t>
      </w:r>
      <w:r w:rsidR="00CA1F99">
        <w:t>ie pro inteligentní a udržitelný růst podporující začlenění a k dosažení hospodářské, sociální a územní soudržnosti</w:t>
      </w:r>
      <w:bookmarkEnd w:id="1"/>
    </w:p>
    <w:p w:rsidR="005625D2" w:rsidRDefault="00BA305E" w:rsidP="005625D2">
      <w:pPr>
        <w:pStyle w:val="Nadpis2"/>
      </w:pPr>
      <w:bookmarkStart w:id="2" w:name="_Toc390414671"/>
      <w:bookmarkStart w:id="3" w:name="_Toc391013956"/>
      <w:bookmarkStart w:id="4" w:name="_Toc391015107"/>
      <w:bookmarkStart w:id="5" w:name="_Toc391015816"/>
      <w:bookmarkStart w:id="6" w:name="_Toc391017193"/>
      <w:bookmarkStart w:id="7" w:name="_Toc391018305"/>
      <w:bookmarkStart w:id="8" w:name="_Toc389479924"/>
      <w:bookmarkEnd w:id="2"/>
      <w:bookmarkEnd w:id="3"/>
      <w:bookmarkEnd w:id="4"/>
      <w:bookmarkEnd w:id="5"/>
      <w:bookmarkEnd w:id="6"/>
      <w:bookmarkEnd w:id="7"/>
      <w:r>
        <w:rPr>
          <w:b w:val="0"/>
          <w:color w:val="FF0000"/>
        </w:rPr>
        <w:t> </w:t>
      </w:r>
      <w:bookmarkStart w:id="9" w:name="_Toc390414672"/>
      <w:bookmarkStart w:id="10" w:name="_Toc391013957"/>
      <w:bookmarkStart w:id="11" w:name="_Toc391015108"/>
      <w:bookmarkStart w:id="12" w:name="_Toc391015817"/>
      <w:bookmarkStart w:id="13" w:name="_Toc391017194"/>
      <w:bookmarkStart w:id="14" w:name="_Toc391018306"/>
      <w:bookmarkStart w:id="15" w:name="_Toc390414673"/>
      <w:bookmarkStart w:id="16" w:name="_Toc391013958"/>
      <w:bookmarkStart w:id="17" w:name="_Toc391015109"/>
      <w:bookmarkStart w:id="18" w:name="_Toc391015818"/>
      <w:bookmarkStart w:id="19" w:name="_Toc391017195"/>
      <w:bookmarkStart w:id="20" w:name="_Toc391018307"/>
      <w:bookmarkStart w:id="21" w:name="_Toc391013960"/>
      <w:bookmarkStart w:id="22" w:name="_Toc391015111"/>
      <w:bookmarkStart w:id="23" w:name="_Toc391015878"/>
      <w:bookmarkStart w:id="24" w:name="_Toc391017197"/>
      <w:bookmarkStart w:id="25" w:name="_Toc391018309"/>
      <w:bookmarkStart w:id="26" w:name="_Toc391013962"/>
      <w:bookmarkStart w:id="27" w:name="_Toc391015113"/>
      <w:bookmarkStart w:id="28" w:name="_Toc391015884"/>
      <w:bookmarkStart w:id="29" w:name="_Toc391017199"/>
      <w:bookmarkStart w:id="30" w:name="_Toc391018311"/>
      <w:bookmarkStart w:id="31" w:name="_Toc391013963"/>
      <w:bookmarkStart w:id="32" w:name="_Toc391015114"/>
      <w:bookmarkStart w:id="33" w:name="_Toc391015885"/>
      <w:bookmarkStart w:id="34" w:name="_Toc391017200"/>
      <w:bookmarkStart w:id="35" w:name="_Toc391018312"/>
      <w:bookmarkStart w:id="36" w:name="_Toc391013964"/>
      <w:bookmarkStart w:id="37" w:name="_Toc391015115"/>
      <w:bookmarkStart w:id="38" w:name="_Toc391015886"/>
      <w:bookmarkStart w:id="39" w:name="_Toc391017201"/>
      <w:bookmarkStart w:id="40" w:name="_Toc391018313"/>
      <w:bookmarkStart w:id="41" w:name="_Toc391013965"/>
      <w:bookmarkStart w:id="42" w:name="_Toc391015116"/>
      <w:bookmarkStart w:id="43" w:name="_Toc391015887"/>
      <w:bookmarkStart w:id="44" w:name="_Toc391017202"/>
      <w:bookmarkStart w:id="45" w:name="_Toc391018314"/>
      <w:bookmarkStart w:id="46" w:name="_Toc391013966"/>
      <w:bookmarkStart w:id="47" w:name="_Toc391015117"/>
      <w:bookmarkStart w:id="48" w:name="_Toc391015888"/>
      <w:bookmarkStart w:id="49" w:name="_Toc391017203"/>
      <w:bookmarkStart w:id="50" w:name="_Toc391018315"/>
      <w:bookmarkStart w:id="51" w:name="_Toc391013967"/>
      <w:bookmarkStart w:id="52" w:name="_Toc391015118"/>
      <w:bookmarkStart w:id="53" w:name="_Toc391015889"/>
      <w:bookmarkStart w:id="54" w:name="_Toc391017204"/>
      <w:bookmarkStart w:id="55" w:name="_Toc391018316"/>
      <w:bookmarkStart w:id="56" w:name="_Toc391013968"/>
      <w:bookmarkStart w:id="57" w:name="_Toc391015119"/>
      <w:bookmarkStart w:id="58" w:name="_Toc391015890"/>
      <w:bookmarkStart w:id="59" w:name="_Toc391017205"/>
      <w:bookmarkStart w:id="60" w:name="_Toc391018317"/>
      <w:bookmarkStart w:id="61" w:name="_Toc391013969"/>
      <w:bookmarkStart w:id="62" w:name="_Toc391015120"/>
      <w:bookmarkStart w:id="63" w:name="_Toc391015891"/>
      <w:bookmarkStart w:id="64" w:name="_Toc391017206"/>
      <w:bookmarkStart w:id="65" w:name="_Toc391018318"/>
      <w:bookmarkStart w:id="66" w:name="_Toc391013973"/>
      <w:bookmarkStart w:id="67" w:name="_Toc391015124"/>
      <w:bookmarkStart w:id="68" w:name="_Toc391015896"/>
      <w:bookmarkStart w:id="69" w:name="_Toc391017210"/>
      <w:bookmarkStart w:id="70" w:name="_Toc391018322"/>
      <w:bookmarkStart w:id="71" w:name="_Toc391013974"/>
      <w:bookmarkStart w:id="72" w:name="_Toc391015125"/>
      <w:bookmarkStart w:id="73" w:name="_Toc391015897"/>
      <w:bookmarkStart w:id="74" w:name="_Toc391017211"/>
      <w:bookmarkStart w:id="75" w:name="_Toc391018323"/>
      <w:bookmarkStart w:id="76" w:name="_Toc391013975"/>
      <w:bookmarkStart w:id="77" w:name="_Toc391015126"/>
      <w:bookmarkStart w:id="78" w:name="_Toc391015898"/>
      <w:bookmarkStart w:id="79" w:name="_Toc391017212"/>
      <w:bookmarkStart w:id="80" w:name="_Toc391018324"/>
      <w:bookmarkStart w:id="81" w:name="_Toc391013976"/>
      <w:bookmarkStart w:id="82" w:name="_Toc391015127"/>
      <w:bookmarkStart w:id="83" w:name="_Toc391015899"/>
      <w:bookmarkStart w:id="84" w:name="_Toc391017213"/>
      <w:bookmarkStart w:id="85" w:name="_Toc391018325"/>
      <w:bookmarkStart w:id="86" w:name="_Toc391013977"/>
      <w:bookmarkStart w:id="87" w:name="_Toc391015128"/>
      <w:bookmarkStart w:id="88" w:name="_Toc391015900"/>
      <w:bookmarkStart w:id="89" w:name="_Toc391017214"/>
      <w:bookmarkStart w:id="90" w:name="_Toc391018326"/>
      <w:bookmarkStart w:id="91" w:name="_Toc391013978"/>
      <w:bookmarkStart w:id="92" w:name="_Toc391015129"/>
      <w:bookmarkStart w:id="93" w:name="_Toc391015901"/>
      <w:bookmarkStart w:id="94" w:name="_Toc391017215"/>
      <w:bookmarkStart w:id="95" w:name="_Toc391018327"/>
      <w:bookmarkStart w:id="96" w:name="_Toc391013981"/>
      <w:bookmarkStart w:id="97" w:name="_Toc391015132"/>
      <w:bookmarkStart w:id="98" w:name="_Toc391015904"/>
      <w:bookmarkStart w:id="99" w:name="_Toc391017218"/>
      <w:bookmarkStart w:id="100" w:name="_Toc391018330"/>
      <w:bookmarkStart w:id="101" w:name="_Toc391013982"/>
      <w:bookmarkStart w:id="102" w:name="_Toc391015133"/>
      <w:bookmarkStart w:id="103" w:name="_Toc391015905"/>
      <w:bookmarkStart w:id="104" w:name="_Toc391017219"/>
      <w:bookmarkStart w:id="105" w:name="_Toc391018331"/>
      <w:bookmarkStart w:id="106" w:name="_Toc391013983"/>
      <w:bookmarkStart w:id="107" w:name="_Toc391015134"/>
      <w:bookmarkStart w:id="108" w:name="_Toc391015913"/>
      <w:bookmarkStart w:id="109" w:name="_Toc391017220"/>
      <w:bookmarkStart w:id="110" w:name="_Toc391018332"/>
      <w:bookmarkStart w:id="111" w:name="_Toc391013984"/>
      <w:bookmarkStart w:id="112" w:name="_Toc391015135"/>
      <w:bookmarkStart w:id="113" w:name="_Toc391015915"/>
      <w:bookmarkStart w:id="114" w:name="_Toc391017221"/>
      <w:bookmarkStart w:id="115" w:name="_Toc391018333"/>
      <w:bookmarkStart w:id="116" w:name="_Toc391013985"/>
      <w:bookmarkStart w:id="117" w:name="_Toc391015136"/>
      <w:bookmarkStart w:id="118" w:name="_Toc391015916"/>
      <w:bookmarkStart w:id="119" w:name="_Toc391017222"/>
      <w:bookmarkStart w:id="120" w:name="_Toc391018334"/>
      <w:bookmarkStart w:id="121" w:name="_Toc391013986"/>
      <w:bookmarkStart w:id="122" w:name="_Toc391015137"/>
      <w:bookmarkStart w:id="123" w:name="_Toc391015917"/>
      <w:bookmarkStart w:id="124" w:name="_Toc391017223"/>
      <w:bookmarkStart w:id="125" w:name="_Toc391018335"/>
      <w:bookmarkStart w:id="126" w:name="_Toc391013987"/>
      <w:bookmarkStart w:id="127" w:name="_Toc391015138"/>
      <w:bookmarkStart w:id="128" w:name="_Toc391015918"/>
      <w:bookmarkStart w:id="129" w:name="_Toc391017224"/>
      <w:bookmarkStart w:id="130" w:name="_Toc391018336"/>
      <w:bookmarkStart w:id="131" w:name="_Toc391013988"/>
      <w:bookmarkStart w:id="132" w:name="_Toc391015139"/>
      <w:bookmarkStart w:id="133" w:name="_Toc391015919"/>
      <w:bookmarkStart w:id="134" w:name="_Toc391017225"/>
      <w:bookmarkStart w:id="135" w:name="_Toc391018337"/>
      <w:bookmarkStart w:id="136" w:name="_Toc391013993"/>
      <w:bookmarkStart w:id="137" w:name="_Toc391015144"/>
      <w:bookmarkStart w:id="138" w:name="_Toc391015925"/>
      <w:bookmarkStart w:id="139" w:name="_Toc391017230"/>
      <w:bookmarkStart w:id="140" w:name="_Toc391018342"/>
      <w:bookmarkStart w:id="141" w:name="_Toc391013995"/>
      <w:bookmarkStart w:id="142" w:name="_Toc391015146"/>
      <w:bookmarkStart w:id="143" w:name="_Toc391015927"/>
      <w:bookmarkStart w:id="144" w:name="_Toc391017232"/>
      <w:bookmarkStart w:id="145" w:name="_Toc391018344"/>
      <w:bookmarkStart w:id="146" w:name="_Toc391014004"/>
      <w:bookmarkStart w:id="147" w:name="_Toc391015155"/>
      <w:bookmarkStart w:id="148" w:name="_Toc391015940"/>
      <w:bookmarkStart w:id="149" w:name="_Toc391017241"/>
      <w:bookmarkStart w:id="150" w:name="_Toc391018353"/>
      <w:bookmarkStart w:id="151" w:name="_Toc391014005"/>
      <w:bookmarkStart w:id="152" w:name="_Toc391015156"/>
      <w:bookmarkStart w:id="153" w:name="_Toc391015941"/>
      <w:bookmarkStart w:id="154" w:name="_Toc391017242"/>
      <w:bookmarkStart w:id="155" w:name="_Toc391018354"/>
      <w:bookmarkStart w:id="156" w:name="_Toc391014007"/>
      <w:bookmarkStart w:id="157" w:name="_Toc391015158"/>
      <w:bookmarkStart w:id="158" w:name="_Toc391015943"/>
      <w:bookmarkStart w:id="159" w:name="_Toc391017244"/>
      <w:bookmarkStart w:id="160" w:name="_Toc391018356"/>
      <w:bookmarkStart w:id="161" w:name="_Toc391014010"/>
      <w:bookmarkStart w:id="162" w:name="_Toc391015161"/>
      <w:bookmarkStart w:id="163" w:name="_Toc391015946"/>
      <w:bookmarkStart w:id="164" w:name="_Toc391017247"/>
      <w:bookmarkStart w:id="165" w:name="_Toc391018359"/>
      <w:bookmarkStart w:id="166" w:name="_Toc391014013"/>
      <w:bookmarkStart w:id="167" w:name="_Toc391015164"/>
      <w:bookmarkStart w:id="168" w:name="_Toc391015954"/>
      <w:bookmarkStart w:id="169" w:name="_Toc391017250"/>
      <w:bookmarkStart w:id="170" w:name="_Toc391018362"/>
      <w:bookmarkStart w:id="171" w:name="_Toc391014017"/>
      <w:bookmarkStart w:id="172" w:name="_Toc391015168"/>
      <w:bookmarkStart w:id="173" w:name="_Toc391015958"/>
      <w:bookmarkStart w:id="174" w:name="_Toc391017254"/>
      <w:bookmarkStart w:id="175" w:name="_Toc391018366"/>
      <w:bookmarkStart w:id="176" w:name="_Toc391014019"/>
      <w:bookmarkStart w:id="177" w:name="_Toc391015170"/>
      <w:bookmarkStart w:id="178" w:name="_Toc391015960"/>
      <w:bookmarkStart w:id="179" w:name="_Toc391017256"/>
      <w:bookmarkStart w:id="180" w:name="_Toc391018368"/>
      <w:bookmarkStart w:id="181" w:name="_Toc391014020"/>
      <w:bookmarkStart w:id="182" w:name="_Toc391015171"/>
      <w:bookmarkStart w:id="183" w:name="_Toc391015961"/>
      <w:bookmarkStart w:id="184" w:name="_Toc391017257"/>
      <w:bookmarkStart w:id="185" w:name="_Toc391018369"/>
      <w:bookmarkStart w:id="186" w:name="_Toc391014027"/>
      <w:bookmarkStart w:id="187" w:name="_Toc391015178"/>
      <w:bookmarkStart w:id="188" w:name="_Toc391016008"/>
      <w:bookmarkStart w:id="189" w:name="_Toc391017264"/>
      <w:bookmarkStart w:id="190" w:name="_Toc391018376"/>
      <w:bookmarkStart w:id="191" w:name="_Toc391014031"/>
      <w:bookmarkStart w:id="192" w:name="_Toc391015182"/>
      <w:bookmarkStart w:id="193" w:name="_Toc391016012"/>
      <w:bookmarkStart w:id="194" w:name="_Toc391017268"/>
      <w:bookmarkStart w:id="195" w:name="_Toc391018380"/>
      <w:bookmarkStart w:id="196" w:name="_Toc391014033"/>
      <w:bookmarkStart w:id="197" w:name="_Toc391015184"/>
      <w:bookmarkStart w:id="198" w:name="_Toc391016014"/>
      <w:bookmarkStart w:id="199" w:name="_Toc391017270"/>
      <w:bookmarkStart w:id="200" w:name="_Toc391018382"/>
      <w:bookmarkStart w:id="201" w:name="_Toc391014034"/>
      <w:bookmarkStart w:id="202" w:name="_Toc391015185"/>
      <w:bookmarkStart w:id="203" w:name="_Toc391016025"/>
      <w:bookmarkStart w:id="204" w:name="_Toc391017271"/>
      <w:bookmarkStart w:id="205" w:name="_Toc391018383"/>
      <w:bookmarkStart w:id="206" w:name="_Toc391014037"/>
      <w:bookmarkStart w:id="207" w:name="_Toc391015188"/>
      <w:bookmarkStart w:id="208" w:name="_Toc391016028"/>
      <w:bookmarkStart w:id="209" w:name="_Toc391017274"/>
      <w:bookmarkStart w:id="210" w:name="_Toc391018386"/>
      <w:bookmarkStart w:id="211" w:name="_Toc391014038"/>
      <w:bookmarkStart w:id="212" w:name="_Toc391015189"/>
      <w:bookmarkStart w:id="213" w:name="_Toc391016029"/>
      <w:bookmarkStart w:id="214" w:name="_Toc391017275"/>
      <w:bookmarkStart w:id="215" w:name="_Toc391018387"/>
      <w:bookmarkStart w:id="216" w:name="_Toc391014040"/>
      <w:bookmarkStart w:id="217" w:name="_Toc391015191"/>
      <w:bookmarkStart w:id="218" w:name="_Toc391016031"/>
      <w:bookmarkStart w:id="219" w:name="_Toc391017277"/>
      <w:bookmarkStart w:id="220" w:name="_Toc391018389"/>
      <w:bookmarkStart w:id="221" w:name="_Toc391014041"/>
      <w:bookmarkStart w:id="222" w:name="_Toc391015192"/>
      <w:bookmarkStart w:id="223" w:name="_Toc391016032"/>
      <w:bookmarkStart w:id="224" w:name="_Toc391017278"/>
      <w:bookmarkStart w:id="225" w:name="_Toc391018390"/>
      <w:bookmarkStart w:id="226" w:name="_Toc391014045"/>
      <w:bookmarkStart w:id="227" w:name="_Toc391015196"/>
      <w:bookmarkStart w:id="228" w:name="_Toc391016056"/>
      <w:bookmarkStart w:id="229" w:name="_Toc391017282"/>
      <w:bookmarkStart w:id="230" w:name="_Toc391018394"/>
      <w:bookmarkStart w:id="231" w:name="_Toc391014047"/>
      <w:bookmarkStart w:id="232" w:name="_Toc391015198"/>
      <w:bookmarkStart w:id="233" w:name="_Toc391016058"/>
      <w:bookmarkStart w:id="234" w:name="_Toc391017284"/>
      <w:bookmarkStart w:id="235" w:name="_Toc391018396"/>
      <w:bookmarkStart w:id="236" w:name="_Toc391014048"/>
      <w:bookmarkStart w:id="237" w:name="_Toc391015199"/>
      <w:bookmarkStart w:id="238" w:name="_Toc391016059"/>
      <w:bookmarkStart w:id="239" w:name="_Toc391017285"/>
      <w:bookmarkStart w:id="240" w:name="_Toc391018397"/>
      <w:bookmarkStart w:id="241" w:name="_Toc391014052"/>
      <w:bookmarkStart w:id="242" w:name="_Toc391015203"/>
      <w:bookmarkStart w:id="243" w:name="_Toc391016072"/>
      <w:bookmarkStart w:id="244" w:name="_Toc391017289"/>
      <w:bookmarkStart w:id="245" w:name="_Toc391018401"/>
      <w:bookmarkStart w:id="246" w:name="_Toc391014054"/>
      <w:bookmarkStart w:id="247" w:name="_Toc391015205"/>
      <w:bookmarkStart w:id="248" w:name="_Toc391016074"/>
      <w:bookmarkStart w:id="249" w:name="_Toc391017291"/>
      <w:bookmarkStart w:id="250" w:name="_Toc391018403"/>
      <w:bookmarkStart w:id="251" w:name="_Toc391014055"/>
      <w:bookmarkStart w:id="252" w:name="_Toc391015206"/>
      <w:bookmarkStart w:id="253" w:name="_Toc391016075"/>
      <w:bookmarkStart w:id="254" w:name="_Toc391017292"/>
      <w:bookmarkStart w:id="255" w:name="_Toc391018404"/>
      <w:bookmarkStart w:id="256" w:name="_Toc391014060"/>
      <w:bookmarkStart w:id="257" w:name="_Toc391015211"/>
      <w:bookmarkStart w:id="258" w:name="_Toc391016080"/>
      <w:bookmarkStart w:id="259" w:name="_Toc391017297"/>
      <w:bookmarkStart w:id="260" w:name="_Toc391018409"/>
      <w:bookmarkStart w:id="261" w:name="_Toc391014061"/>
      <w:bookmarkStart w:id="262" w:name="_Toc391015212"/>
      <w:bookmarkStart w:id="263" w:name="_Toc391016081"/>
      <w:bookmarkStart w:id="264" w:name="_Toc391017298"/>
      <w:bookmarkStart w:id="265" w:name="_Toc391018410"/>
      <w:bookmarkStart w:id="266" w:name="_Toc391014063"/>
      <w:bookmarkStart w:id="267" w:name="_Toc391015214"/>
      <w:bookmarkStart w:id="268" w:name="_Toc391016083"/>
      <w:bookmarkStart w:id="269" w:name="_Toc391017300"/>
      <w:bookmarkStart w:id="270" w:name="_Toc391018412"/>
      <w:bookmarkStart w:id="271" w:name="_Toc391014066"/>
      <w:bookmarkStart w:id="272" w:name="_Toc391015217"/>
      <w:bookmarkStart w:id="273" w:name="_Toc391016105"/>
      <w:bookmarkStart w:id="274" w:name="_Toc391017303"/>
      <w:bookmarkStart w:id="275" w:name="_Toc391018415"/>
      <w:bookmarkStart w:id="276" w:name="_Toc391014067"/>
      <w:bookmarkStart w:id="277" w:name="_Toc391015218"/>
      <w:bookmarkStart w:id="278" w:name="_Toc391016106"/>
      <w:bookmarkStart w:id="279" w:name="_Toc391017304"/>
      <w:bookmarkStart w:id="280" w:name="_Toc391018416"/>
      <w:bookmarkStart w:id="281" w:name="_Toc391014069"/>
      <w:bookmarkStart w:id="282" w:name="_Toc391015220"/>
      <w:bookmarkStart w:id="283" w:name="_Toc391016108"/>
      <w:bookmarkStart w:id="284" w:name="_Toc391017306"/>
      <w:bookmarkStart w:id="285" w:name="_Toc391018418"/>
      <w:bookmarkStart w:id="286" w:name="_Toc391014073"/>
      <w:bookmarkStart w:id="287" w:name="_Toc391015224"/>
      <w:bookmarkStart w:id="288" w:name="_Toc391016112"/>
      <w:bookmarkStart w:id="289" w:name="_Toc391017310"/>
      <w:bookmarkStart w:id="290" w:name="_Toc391018422"/>
      <w:bookmarkStart w:id="291" w:name="_Toc391014076"/>
      <w:bookmarkStart w:id="292" w:name="_Toc391015227"/>
      <w:bookmarkStart w:id="293" w:name="_Toc391016115"/>
      <w:bookmarkStart w:id="294" w:name="_Toc391017313"/>
      <w:bookmarkStart w:id="295" w:name="_Toc391018425"/>
      <w:bookmarkStart w:id="296" w:name="_Toc391014083"/>
      <w:bookmarkStart w:id="297" w:name="_Toc391015234"/>
      <w:bookmarkStart w:id="298" w:name="_Toc391016134"/>
      <w:bookmarkStart w:id="299" w:name="_Toc391017320"/>
      <w:bookmarkStart w:id="300" w:name="_Toc391018432"/>
      <w:bookmarkStart w:id="301" w:name="_Toc391014087"/>
      <w:bookmarkStart w:id="302" w:name="_Toc391015238"/>
      <w:bookmarkStart w:id="303" w:name="_Toc391016142"/>
      <w:bookmarkStart w:id="304" w:name="_Toc391017324"/>
      <w:bookmarkStart w:id="305" w:name="_Toc391018436"/>
      <w:bookmarkStart w:id="306" w:name="_Toc391014090"/>
      <w:bookmarkStart w:id="307" w:name="_Toc391015241"/>
      <w:bookmarkStart w:id="308" w:name="_Toc391016145"/>
      <w:bookmarkStart w:id="309" w:name="_Toc391017327"/>
      <w:bookmarkStart w:id="310" w:name="_Toc391018439"/>
      <w:bookmarkStart w:id="311" w:name="_Toc391014091"/>
      <w:bookmarkStart w:id="312" w:name="_Toc391015242"/>
      <w:bookmarkStart w:id="313" w:name="_Toc391016146"/>
      <w:bookmarkStart w:id="314" w:name="_Toc391017328"/>
      <w:bookmarkStart w:id="315" w:name="_Toc391018440"/>
      <w:bookmarkStart w:id="316" w:name="_Toc391014107"/>
      <w:bookmarkStart w:id="317" w:name="_Toc391015258"/>
      <w:bookmarkStart w:id="318" w:name="_Toc391016170"/>
      <w:bookmarkStart w:id="319" w:name="_Toc391017344"/>
      <w:bookmarkStart w:id="320" w:name="_Toc391018456"/>
      <w:bookmarkStart w:id="321" w:name="_Toc391014109"/>
      <w:bookmarkStart w:id="322" w:name="_Toc391015260"/>
      <w:bookmarkStart w:id="323" w:name="_Toc391016232"/>
      <w:bookmarkStart w:id="324" w:name="_Toc391017346"/>
      <w:bookmarkStart w:id="325" w:name="_Toc391018458"/>
      <w:bookmarkStart w:id="326" w:name="_Toc391014111"/>
      <w:bookmarkStart w:id="327" w:name="_Toc391015262"/>
      <w:bookmarkStart w:id="328" w:name="_Toc391016234"/>
      <w:bookmarkStart w:id="329" w:name="_Toc391017348"/>
      <w:bookmarkStart w:id="330" w:name="_Toc391018460"/>
      <w:bookmarkStart w:id="331" w:name="_Toc391014112"/>
      <w:bookmarkStart w:id="332" w:name="_Toc391015263"/>
      <w:bookmarkStart w:id="333" w:name="_Toc391016235"/>
      <w:bookmarkStart w:id="334" w:name="_Toc391017349"/>
      <w:bookmarkStart w:id="335" w:name="_Toc391018461"/>
      <w:bookmarkStart w:id="336" w:name="_Toc391014114"/>
      <w:bookmarkStart w:id="337" w:name="_Toc391015265"/>
      <w:bookmarkStart w:id="338" w:name="_Toc391016237"/>
      <w:bookmarkStart w:id="339" w:name="_Toc391017351"/>
      <w:bookmarkStart w:id="340" w:name="_Toc391018463"/>
      <w:bookmarkStart w:id="341" w:name="_Toc391014116"/>
      <w:bookmarkStart w:id="342" w:name="_Toc391015267"/>
      <w:bookmarkStart w:id="343" w:name="_Toc391016239"/>
      <w:bookmarkStart w:id="344" w:name="_Toc391017353"/>
      <w:bookmarkStart w:id="345" w:name="_Toc391018465"/>
      <w:bookmarkStart w:id="346" w:name="_Toc391014117"/>
      <w:bookmarkStart w:id="347" w:name="_Toc391015268"/>
      <w:bookmarkStart w:id="348" w:name="_Toc391016240"/>
      <w:bookmarkStart w:id="349" w:name="_Toc391017354"/>
      <w:bookmarkStart w:id="350" w:name="_Toc391018466"/>
      <w:bookmarkStart w:id="351" w:name="_Toc391014118"/>
      <w:bookmarkStart w:id="352" w:name="_Toc391015269"/>
      <w:bookmarkStart w:id="353" w:name="_Toc391016242"/>
      <w:bookmarkStart w:id="354" w:name="_Toc391017355"/>
      <w:bookmarkStart w:id="355" w:name="_Toc391018467"/>
      <w:bookmarkStart w:id="356" w:name="_Toc391014120"/>
      <w:bookmarkStart w:id="357" w:name="_Toc391015271"/>
      <w:bookmarkStart w:id="358" w:name="_Toc391016244"/>
      <w:bookmarkStart w:id="359" w:name="_Toc391017357"/>
      <w:bookmarkStart w:id="360" w:name="_Toc391018469"/>
      <w:bookmarkStart w:id="361" w:name="_Toc391014121"/>
      <w:bookmarkStart w:id="362" w:name="_Toc391015272"/>
      <w:bookmarkStart w:id="363" w:name="_Toc391016245"/>
      <w:bookmarkStart w:id="364" w:name="_Toc391017358"/>
      <w:bookmarkStart w:id="365" w:name="_Toc391018470"/>
      <w:bookmarkStart w:id="366" w:name="_Toc391014123"/>
      <w:bookmarkStart w:id="367" w:name="_Toc391015274"/>
      <w:bookmarkStart w:id="368" w:name="_Toc391016247"/>
      <w:bookmarkStart w:id="369" w:name="_Toc391017360"/>
      <w:bookmarkStart w:id="370" w:name="_Toc391018472"/>
      <w:bookmarkStart w:id="371" w:name="_Toc391014124"/>
      <w:bookmarkStart w:id="372" w:name="_Toc391015275"/>
      <w:bookmarkStart w:id="373" w:name="_Toc391016248"/>
      <w:bookmarkStart w:id="374" w:name="_Toc391017361"/>
      <w:bookmarkStart w:id="375" w:name="_Toc391018473"/>
      <w:bookmarkStart w:id="376" w:name="_Toc391014126"/>
      <w:bookmarkStart w:id="377" w:name="_Toc391015277"/>
      <w:bookmarkStart w:id="378" w:name="_Toc391016250"/>
      <w:bookmarkStart w:id="379" w:name="_Toc391017363"/>
      <w:bookmarkStart w:id="380" w:name="_Toc391018475"/>
      <w:bookmarkStart w:id="381" w:name="_Toc391014127"/>
      <w:bookmarkStart w:id="382" w:name="_Toc391015278"/>
      <w:bookmarkStart w:id="383" w:name="_Toc391016251"/>
      <w:bookmarkStart w:id="384" w:name="_Toc391017364"/>
      <w:bookmarkStart w:id="385" w:name="_Toc391018476"/>
      <w:bookmarkStart w:id="386" w:name="_Toc391014128"/>
      <w:bookmarkStart w:id="387" w:name="_Toc391015279"/>
      <w:bookmarkStart w:id="388" w:name="_Toc391016252"/>
      <w:bookmarkStart w:id="389" w:name="_Toc391017365"/>
      <w:bookmarkStart w:id="390" w:name="_Toc391018477"/>
      <w:bookmarkStart w:id="391" w:name="_Toc391014129"/>
      <w:bookmarkStart w:id="392" w:name="_Toc391015280"/>
      <w:bookmarkStart w:id="393" w:name="_Toc391016253"/>
      <w:bookmarkStart w:id="394" w:name="_Toc391017366"/>
      <w:bookmarkStart w:id="395" w:name="_Toc391018478"/>
      <w:bookmarkStart w:id="396" w:name="_Toc391014130"/>
      <w:bookmarkStart w:id="397" w:name="_Toc391015281"/>
      <w:bookmarkStart w:id="398" w:name="_Toc391016254"/>
      <w:bookmarkStart w:id="399" w:name="_Toc391017367"/>
      <w:bookmarkStart w:id="400" w:name="_Toc391018479"/>
      <w:bookmarkStart w:id="401" w:name="_Toc391014132"/>
      <w:bookmarkStart w:id="402" w:name="_Toc391015283"/>
      <w:bookmarkStart w:id="403" w:name="_Toc391016256"/>
      <w:bookmarkStart w:id="404" w:name="_Toc391017369"/>
      <w:bookmarkStart w:id="405" w:name="_Toc391018481"/>
      <w:bookmarkStart w:id="406" w:name="_Toc391014133"/>
      <w:bookmarkStart w:id="407" w:name="_Toc391015284"/>
      <w:bookmarkStart w:id="408" w:name="_Toc391016257"/>
      <w:bookmarkStart w:id="409" w:name="_Toc391017370"/>
      <w:bookmarkStart w:id="410" w:name="_Toc391018482"/>
      <w:bookmarkStart w:id="411" w:name="_Toc391014134"/>
      <w:bookmarkStart w:id="412" w:name="_Toc391015285"/>
      <w:bookmarkStart w:id="413" w:name="_Toc391016258"/>
      <w:bookmarkStart w:id="414" w:name="_Toc391017371"/>
      <w:bookmarkStart w:id="415" w:name="_Toc391018483"/>
      <w:bookmarkStart w:id="416" w:name="_Toc391014135"/>
      <w:bookmarkStart w:id="417" w:name="_Toc391015286"/>
      <w:bookmarkStart w:id="418" w:name="_Toc391016259"/>
      <w:bookmarkStart w:id="419" w:name="_Toc391017372"/>
      <w:bookmarkStart w:id="420" w:name="_Toc391018484"/>
      <w:bookmarkStart w:id="421" w:name="_Toc391014136"/>
      <w:bookmarkStart w:id="422" w:name="_Toc391015287"/>
      <w:bookmarkStart w:id="423" w:name="_Toc391016260"/>
      <w:bookmarkStart w:id="424" w:name="_Toc391017373"/>
      <w:bookmarkStart w:id="425" w:name="_Toc391018485"/>
      <w:bookmarkStart w:id="426" w:name="_Toc391014137"/>
      <w:bookmarkStart w:id="427" w:name="_Toc391015288"/>
      <w:bookmarkStart w:id="428" w:name="_Toc391016261"/>
      <w:bookmarkStart w:id="429" w:name="_Toc391017374"/>
      <w:bookmarkStart w:id="430" w:name="_Toc391018486"/>
      <w:bookmarkStart w:id="431" w:name="_Toc391014138"/>
      <w:bookmarkStart w:id="432" w:name="_Toc391015289"/>
      <w:bookmarkStart w:id="433" w:name="_Toc391016262"/>
      <w:bookmarkStart w:id="434" w:name="_Toc391017375"/>
      <w:bookmarkStart w:id="435" w:name="_Toc391018487"/>
      <w:bookmarkStart w:id="436" w:name="_Toc391014139"/>
      <w:bookmarkStart w:id="437" w:name="_Toc391015290"/>
      <w:bookmarkStart w:id="438" w:name="_Toc391016263"/>
      <w:bookmarkStart w:id="439" w:name="_Toc391017376"/>
      <w:bookmarkStart w:id="440" w:name="_Toc391018488"/>
      <w:bookmarkStart w:id="441" w:name="_Toc391014140"/>
      <w:bookmarkStart w:id="442" w:name="_Toc391015291"/>
      <w:bookmarkStart w:id="443" w:name="_Toc391016264"/>
      <w:bookmarkStart w:id="444" w:name="_Toc391017377"/>
      <w:bookmarkStart w:id="445" w:name="_Toc391018489"/>
      <w:bookmarkStart w:id="446" w:name="_Toc391014141"/>
      <w:bookmarkStart w:id="447" w:name="_Toc391015292"/>
      <w:bookmarkStart w:id="448" w:name="_Toc391016265"/>
      <w:bookmarkStart w:id="449" w:name="_Toc391017378"/>
      <w:bookmarkStart w:id="450" w:name="_Toc391018490"/>
      <w:bookmarkStart w:id="451" w:name="_Toc391014142"/>
      <w:bookmarkStart w:id="452" w:name="_Toc391015293"/>
      <w:bookmarkStart w:id="453" w:name="_Toc391016266"/>
      <w:bookmarkStart w:id="454" w:name="_Toc391017379"/>
      <w:bookmarkStart w:id="455" w:name="_Toc391018491"/>
      <w:bookmarkStart w:id="456" w:name="_Toc391014143"/>
      <w:bookmarkStart w:id="457" w:name="_Toc391015294"/>
      <w:bookmarkStart w:id="458" w:name="_Toc391016267"/>
      <w:bookmarkStart w:id="459" w:name="_Toc391017380"/>
      <w:bookmarkStart w:id="460" w:name="_Toc391018492"/>
      <w:bookmarkStart w:id="461" w:name="_Toc391014144"/>
      <w:bookmarkStart w:id="462" w:name="_Toc391015295"/>
      <w:bookmarkStart w:id="463" w:name="_Toc391016268"/>
      <w:bookmarkStart w:id="464" w:name="_Toc391017381"/>
      <w:bookmarkStart w:id="465" w:name="_Toc391018493"/>
      <w:bookmarkStart w:id="466" w:name="_Toc391014145"/>
      <w:bookmarkStart w:id="467" w:name="_Toc391015296"/>
      <w:bookmarkStart w:id="468" w:name="_Toc391016269"/>
      <w:bookmarkStart w:id="469" w:name="_Toc391017382"/>
      <w:bookmarkStart w:id="470" w:name="_Toc391018494"/>
      <w:bookmarkStart w:id="471" w:name="_Toc391014146"/>
      <w:bookmarkStart w:id="472" w:name="_Toc391015297"/>
      <w:bookmarkStart w:id="473" w:name="_Toc391016270"/>
      <w:bookmarkStart w:id="474" w:name="_Toc391017383"/>
      <w:bookmarkStart w:id="475" w:name="_Toc391018495"/>
      <w:bookmarkStart w:id="476" w:name="_Toc391014147"/>
      <w:bookmarkStart w:id="477" w:name="_Toc391015298"/>
      <w:bookmarkStart w:id="478" w:name="_Toc391016271"/>
      <w:bookmarkStart w:id="479" w:name="_Toc391017384"/>
      <w:bookmarkStart w:id="480" w:name="_Toc391018496"/>
      <w:bookmarkStart w:id="481" w:name="_Toc391014148"/>
      <w:bookmarkStart w:id="482" w:name="_Toc391015299"/>
      <w:bookmarkStart w:id="483" w:name="_Toc391016272"/>
      <w:bookmarkStart w:id="484" w:name="_Toc391017385"/>
      <w:bookmarkStart w:id="485" w:name="_Toc391018497"/>
      <w:bookmarkStart w:id="486" w:name="_Toc391014149"/>
      <w:bookmarkStart w:id="487" w:name="_Toc391015300"/>
      <w:bookmarkStart w:id="488" w:name="_Toc391016273"/>
      <w:bookmarkStart w:id="489" w:name="_Toc391017386"/>
      <w:bookmarkStart w:id="490" w:name="_Toc391018498"/>
      <w:bookmarkStart w:id="491" w:name="_Toc391014150"/>
      <w:bookmarkStart w:id="492" w:name="_Toc391015301"/>
      <w:bookmarkStart w:id="493" w:name="_Toc391016274"/>
      <w:bookmarkStart w:id="494" w:name="_Toc391017387"/>
      <w:bookmarkStart w:id="495" w:name="_Toc391018499"/>
      <w:bookmarkStart w:id="496" w:name="_Toc391014151"/>
      <w:bookmarkStart w:id="497" w:name="_Toc391015302"/>
      <w:bookmarkStart w:id="498" w:name="_Toc391016275"/>
      <w:bookmarkStart w:id="499" w:name="_Toc391017388"/>
      <w:bookmarkStart w:id="500" w:name="_Toc391018500"/>
      <w:bookmarkStart w:id="501" w:name="_Toc391014152"/>
      <w:bookmarkStart w:id="502" w:name="_Toc391015303"/>
      <w:bookmarkStart w:id="503" w:name="_Toc391016276"/>
      <w:bookmarkStart w:id="504" w:name="_Toc391017389"/>
      <w:bookmarkStart w:id="505" w:name="_Toc391018501"/>
      <w:bookmarkStart w:id="506" w:name="_Toc391014153"/>
      <w:bookmarkStart w:id="507" w:name="_Toc391015304"/>
      <w:bookmarkStart w:id="508" w:name="_Toc391016277"/>
      <w:bookmarkStart w:id="509" w:name="_Toc391017390"/>
      <w:bookmarkStart w:id="510" w:name="_Toc391018502"/>
      <w:bookmarkStart w:id="511" w:name="_Toc391014154"/>
      <w:bookmarkStart w:id="512" w:name="_Toc391015305"/>
      <w:bookmarkStart w:id="513" w:name="_Toc391016278"/>
      <w:bookmarkStart w:id="514" w:name="_Toc391017391"/>
      <w:bookmarkStart w:id="515" w:name="_Toc391018503"/>
      <w:bookmarkStart w:id="516" w:name="_Toc391014155"/>
      <w:bookmarkStart w:id="517" w:name="_Toc391015306"/>
      <w:bookmarkStart w:id="518" w:name="_Toc391016279"/>
      <w:bookmarkStart w:id="519" w:name="_Toc391017392"/>
      <w:bookmarkStart w:id="520" w:name="_Toc391018504"/>
      <w:bookmarkStart w:id="521" w:name="_Toc391014156"/>
      <w:bookmarkStart w:id="522" w:name="_Toc391015307"/>
      <w:bookmarkStart w:id="523" w:name="_Toc391016280"/>
      <w:bookmarkStart w:id="524" w:name="_Toc391017393"/>
      <w:bookmarkStart w:id="525" w:name="_Toc391018505"/>
      <w:bookmarkStart w:id="526" w:name="_Toc391014157"/>
      <w:bookmarkStart w:id="527" w:name="_Toc391015308"/>
      <w:bookmarkStart w:id="528" w:name="_Toc391016281"/>
      <w:bookmarkStart w:id="529" w:name="_Toc391017394"/>
      <w:bookmarkStart w:id="530" w:name="_Toc391018506"/>
      <w:bookmarkStart w:id="531" w:name="_Toc391014158"/>
      <w:bookmarkStart w:id="532" w:name="_Toc391015309"/>
      <w:bookmarkStart w:id="533" w:name="_Toc391016282"/>
      <w:bookmarkStart w:id="534" w:name="_Toc391017395"/>
      <w:bookmarkStart w:id="535" w:name="_Toc391018507"/>
      <w:bookmarkStart w:id="536" w:name="_Toc391014159"/>
      <w:bookmarkStart w:id="537" w:name="_Toc391015310"/>
      <w:bookmarkStart w:id="538" w:name="_Toc391016283"/>
      <w:bookmarkStart w:id="539" w:name="_Toc391017396"/>
      <w:bookmarkStart w:id="540" w:name="_Toc391018508"/>
      <w:bookmarkStart w:id="541" w:name="_Toc391014160"/>
      <w:bookmarkStart w:id="542" w:name="_Toc391015311"/>
      <w:bookmarkStart w:id="543" w:name="_Toc391016284"/>
      <w:bookmarkStart w:id="544" w:name="_Toc391017397"/>
      <w:bookmarkStart w:id="545" w:name="_Toc391018509"/>
      <w:bookmarkStart w:id="546" w:name="_Toc391014162"/>
      <w:bookmarkStart w:id="547" w:name="_Toc391015313"/>
      <w:bookmarkStart w:id="548" w:name="_Toc391016286"/>
      <w:bookmarkStart w:id="549" w:name="_Toc391017399"/>
      <w:bookmarkStart w:id="550" w:name="_Toc391018511"/>
      <w:bookmarkStart w:id="551" w:name="_Toc391014163"/>
      <w:bookmarkStart w:id="552" w:name="_Toc391015314"/>
      <w:bookmarkStart w:id="553" w:name="_Toc391016287"/>
      <w:bookmarkStart w:id="554" w:name="_Toc391017400"/>
      <w:bookmarkStart w:id="555" w:name="_Toc391018512"/>
      <w:bookmarkStart w:id="556" w:name="_Toc391014164"/>
      <w:bookmarkStart w:id="557" w:name="_Toc391015315"/>
      <w:bookmarkStart w:id="558" w:name="_Toc391016288"/>
      <w:bookmarkStart w:id="559" w:name="_Toc391017401"/>
      <w:bookmarkStart w:id="560" w:name="_Toc391018513"/>
      <w:bookmarkStart w:id="561" w:name="_Toc391014165"/>
      <w:bookmarkStart w:id="562" w:name="_Toc391015316"/>
      <w:bookmarkStart w:id="563" w:name="_Toc391016289"/>
      <w:bookmarkStart w:id="564" w:name="_Toc391017402"/>
      <w:bookmarkStart w:id="565" w:name="_Toc391018514"/>
      <w:bookmarkStart w:id="566" w:name="_Toc391014168"/>
      <w:bookmarkStart w:id="567" w:name="_Toc391015319"/>
      <w:bookmarkStart w:id="568" w:name="_Toc391016292"/>
      <w:bookmarkStart w:id="569" w:name="_Toc391017405"/>
      <w:bookmarkStart w:id="570" w:name="_Toc391018517"/>
      <w:bookmarkStart w:id="571" w:name="_Toc391014169"/>
      <w:bookmarkStart w:id="572" w:name="_Toc391015320"/>
      <w:bookmarkStart w:id="573" w:name="_Toc391016293"/>
      <w:bookmarkStart w:id="574" w:name="_Toc391017406"/>
      <w:bookmarkStart w:id="575" w:name="_Toc391018518"/>
      <w:bookmarkStart w:id="576" w:name="_Toc391014170"/>
      <w:bookmarkStart w:id="577" w:name="_Toc391015321"/>
      <w:bookmarkStart w:id="578" w:name="_Toc391016294"/>
      <w:bookmarkStart w:id="579" w:name="_Toc391017407"/>
      <w:bookmarkStart w:id="580" w:name="_Toc391018519"/>
      <w:bookmarkStart w:id="581" w:name="_Toc391014173"/>
      <w:bookmarkStart w:id="582" w:name="_Toc391015324"/>
      <w:bookmarkStart w:id="583" w:name="_Toc391016297"/>
      <w:bookmarkStart w:id="584" w:name="_Toc391017410"/>
      <w:bookmarkStart w:id="585" w:name="_Toc391018522"/>
      <w:bookmarkStart w:id="586" w:name="_Toc391014174"/>
      <w:bookmarkStart w:id="587" w:name="_Toc391015325"/>
      <w:bookmarkStart w:id="588" w:name="_Toc391016298"/>
      <w:bookmarkStart w:id="589" w:name="_Toc391017411"/>
      <w:bookmarkStart w:id="590" w:name="_Toc391018523"/>
      <w:bookmarkStart w:id="591" w:name="_Toc391014175"/>
      <w:bookmarkStart w:id="592" w:name="_Toc391015326"/>
      <w:bookmarkStart w:id="593" w:name="_Toc391016299"/>
      <w:bookmarkStart w:id="594" w:name="_Toc391017412"/>
      <w:bookmarkStart w:id="595" w:name="_Toc391018524"/>
      <w:bookmarkStart w:id="596" w:name="_Toc391014176"/>
      <w:bookmarkStart w:id="597" w:name="_Toc391015327"/>
      <w:bookmarkStart w:id="598" w:name="_Toc391016300"/>
      <w:bookmarkStart w:id="599" w:name="_Toc391017413"/>
      <w:bookmarkStart w:id="600" w:name="_Toc391018525"/>
      <w:bookmarkStart w:id="601" w:name="_Toc391014179"/>
      <w:bookmarkStart w:id="602" w:name="_Toc391015330"/>
      <w:bookmarkStart w:id="603" w:name="_Toc391016303"/>
      <w:bookmarkStart w:id="604" w:name="_Toc391017416"/>
      <w:bookmarkStart w:id="605" w:name="_Toc391018528"/>
      <w:bookmarkStart w:id="606" w:name="_Toc391014181"/>
      <w:bookmarkStart w:id="607" w:name="_Toc391015332"/>
      <w:bookmarkStart w:id="608" w:name="_Toc391016305"/>
      <w:bookmarkStart w:id="609" w:name="_Toc391017418"/>
      <w:bookmarkStart w:id="610" w:name="_Toc391018530"/>
      <w:bookmarkStart w:id="611" w:name="_Toc391014183"/>
      <w:bookmarkStart w:id="612" w:name="_Toc391015334"/>
      <w:bookmarkStart w:id="613" w:name="_Toc391016307"/>
      <w:bookmarkStart w:id="614" w:name="_Toc391017420"/>
      <w:bookmarkStart w:id="615" w:name="_Toc391018532"/>
      <w:bookmarkStart w:id="616" w:name="_Toc391014185"/>
      <w:bookmarkStart w:id="617" w:name="_Toc391015336"/>
      <w:bookmarkStart w:id="618" w:name="_Toc391016309"/>
      <w:bookmarkStart w:id="619" w:name="_Toc391017422"/>
      <w:bookmarkStart w:id="620" w:name="_Toc391018534"/>
      <w:bookmarkStart w:id="621" w:name="_Toc391014187"/>
      <w:bookmarkStart w:id="622" w:name="_Toc391015338"/>
      <w:bookmarkStart w:id="623" w:name="_Toc391016311"/>
      <w:bookmarkStart w:id="624" w:name="_Toc391017424"/>
      <w:bookmarkStart w:id="625" w:name="_Toc391018536"/>
      <w:bookmarkStart w:id="626" w:name="_Toc391014189"/>
      <w:bookmarkStart w:id="627" w:name="_Toc391015340"/>
      <w:bookmarkStart w:id="628" w:name="_Toc391016313"/>
      <w:bookmarkStart w:id="629" w:name="_Toc391017426"/>
      <w:bookmarkStart w:id="630" w:name="_Toc391018538"/>
      <w:bookmarkStart w:id="631" w:name="_Toc391014194"/>
      <w:bookmarkStart w:id="632" w:name="_Toc391015345"/>
      <w:bookmarkStart w:id="633" w:name="_Toc391016318"/>
      <w:bookmarkStart w:id="634" w:name="_Toc391017431"/>
      <w:bookmarkStart w:id="635" w:name="_Toc391018543"/>
      <w:bookmarkStart w:id="636" w:name="_Toc391014197"/>
      <w:bookmarkStart w:id="637" w:name="_Toc391015348"/>
      <w:bookmarkStart w:id="638" w:name="_Toc391016321"/>
      <w:bookmarkStart w:id="639" w:name="_Toc391017434"/>
      <w:bookmarkStart w:id="640" w:name="_Toc391018546"/>
      <w:bookmarkStart w:id="641" w:name="_Toc391014200"/>
      <w:bookmarkStart w:id="642" w:name="_Toc391015351"/>
      <w:bookmarkStart w:id="643" w:name="_Toc391016324"/>
      <w:bookmarkStart w:id="644" w:name="_Toc391017437"/>
      <w:bookmarkStart w:id="645" w:name="_Toc391018549"/>
      <w:bookmarkStart w:id="646" w:name="_Toc391014203"/>
      <w:bookmarkStart w:id="647" w:name="_Toc391015354"/>
      <w:bookmarkStart w:id="648" w:name="_Toc391016327"/>
      <w:bookmarkStart w:id="649" w:name="_Toc391017440"/>
      <w:bookmarkStart w:id="650" w:name="_Toc391018552"/>
      <w:bookmarkStart w:id="651" w:name="_Toc391014206"/>
      <w:bookmarkStart w:id="652" w:name="_Toc391015357"/>
      <w:bookmarkStart w:id="653" w:name="_Toc391016330"/>
      <w:bookmarkStart w:id="654" w:name="_Toc391017443"/>
      <w:bookmarkStart w:id="655" w:name="_Toc391018555"/>
      <w:bookmarkStart w:id="656" w:name="_Toc391014208"/>
      <w:bookmarkStart w:id="657" w:name="_Toc391015359"/>
      <w:bookmarkStart w:id="658" w:name="_Toc391016332"/>
      <w:bookmarkStart w:id="659" w:name="_Toc391017445"/>
      <w:bookmarkStart w:id="660" w:name="_Toc391018557"/>
      <w:bookmarkStart w:id="661" w:name="_Toc391014210"/>
      <w:bookmarkStart w:id="662" w:name="_Toc391015361"/>
      <w:bookmarkStart w:id="663" w:name="_Toc391016334"/>
      <w:bookmarkStart w:id="664" w:name="_Toc391017447"/>
      <w:bookmarkStart w:id="665" w:name="_Toc391018559"/>
      <w:bookmarkStart w:id="666" w:name="_Toc391014211"/>
      <w:bookmarkStart w:id="667" w:name="_Toc391015362"/>
      <w:bookmarkStart w:id="668" w:name="_Toc391016335"/>
      <w:bookmarkStart w:id="669" w:name="_Toc391017448"/>
      <w:bookmarkStart w:id="670" w:name="_Toc391018560"/>
      <w:bookmarkStart w:id="671" w:name="_Toc391014212"/>
      <w:bookmarkStart w:id="672" w:name="_Toc391015363"/>
      <w:bookmarkStart w:id="673" w:name="_Toc391016336"/>
      <w:bookmarkStart w:id="674" w:name="_Toc391017449"/>
      <w:bookmarkStart w:id="675" w:name="_Toc391018561"/>
      <w:bookmarkStart w:id="676" w:name="_Toc391014213"/>
      <w:bookmarkStart w:id="677" w:name="_Toc391015364"/>
      <w:bookmarkStart w:id="678" w:name="_Toc391016337"/>
      <w:bookmarkStart w:id="679" w:name="_Toc391017450"/>
      <w:bookmarkStart w:id="680" w:name="_Toc391018562"/>
      <w:bookmarkStart w:id="681" w:name="_Toc391014214"/>
      <w:bookmarkStart w:id="682" w:name="_Toc391015365"/>
      <w:bookmarkStart w:id="683" w:name="_Toc391016338"/>
      <w:bookmarkStart w:id="684" w:name="_Toc391017451"/>
      <w:bookmarkStart w:id="685" w:name="_Toc391018563"/>
      <w:bookmarkStart w:id="686" w:name="_Toc391014215"/>
      <w:bookmarkStart w:id="687" w:name="_Toc391015366"/>
      <w:bookmarkStart w:id="688" w:name="_Toc391016339"/>
      <w:bookmarkStart w:id="689" w:name="_Toc391017452"/>
      <w:bookmarkStart w:id="690" w:name="_Toc391018564"/>
      <w:bookmarkStart w:id="691" w:name="_Toc391014216"/>
      <w:bookmarkStart w:id="692" w:name="_Toc391015367"/>
      <w:bookmarkStart w:id="693" w:name="_Toc391016340"/>
      <w:bookmarkStart w:id="694" w:name="_Toc391017453"/>
      <w:bookmarkStart w:id="695" w:name="_Toc391018565"/>
      <w:bookmarkStart w:id="696" w:name="_Toc391014217"/>
      <w:bookmarkStart w:id="697" w:name="_Toc391015368"/>
      <w:bookmarkStart w:id="698" w:name="_Toc391016341"/>
      <w:bookmarkStart w:id="699" w:name="_Toc391017454"/>
      <w:bookmarkStart w:id="700" w:name="_Toc391018566"/>
      <w:bookmarkStart w:id="701" w:name="_Toc391014218"/>
      <w:bookmarkStart w:id="702" w:name="_Toc391015369"/>
      <w:bookmarkStart w:id="703" w:name="_Toc391016342"/>
      <w:bookmarkStart w:id="704" w:name="_Toc391017455"/>
      <w:bookmarkStart w:id="705" w:name="_Toc391018567"/>
      <w:bookmarkStart w:id="706" w:name="_Toc391014219"/>
      <w:bookmarkStart w:id="707" w:name="_Toc391015370"/>
      <w:bookmarkStart w:id="708" w:name="_Toc391016343"/>
      <w:bookmarkStart w:id="709" w:name="_Toc391017456"/>
      <w:bookmarkStart w:id="710" w:name="_Toc391018568"/>
      <w:bookmarkStart w:id="711" w:name="_Toc391014221"/>
      <w:bookmarkStart w:id="712" w:name="_Toc391015372"/>
      <w:bookmarkStart w:id="713" w:name="_Toc391016345"/>
      <w:bookmarkStart w:id="714" w:name="_Toc391017458"/>
      <w:bookmarkStart w:id="715" w:name="_Toc391018570"/>
      <w:bookmarkStart w:id="716" w:name="_Toc391014224"/>
      <w:bookmarkStart w:id="717" w:name="_Toc391015375"/>
      <w:bookmarkStart w:id="718" w:name="_Toc391016348"/>
      <w:bookmarkStart w:id="719" w:name="_Toc391017461"/>
      <w:bookmarkStart w:id="720" w:name="_Toc391018573"/>
      <w:bookmarkStart w:id="721" w:name="_Toc391014228"/>
      <w:bookmarkStart w:id="722" w:name="_Toc391015379"/>
      <w:bookmarkStart w:id="723" w:name="_Toc391016352"/>
      <w:bookmarkStart w:id="724" w:name="_Toc391017465"/>
      <w:bookmarkStart w:id="725" w:name="_Toc391018577"/>
      <w:bookmarkStart w:id="726" w:name="_Toc391014229"/>
      <w:bookmarkStart w:id="727" w:name="_Toc391015380"/>
      <w:bookmarkStart w:id="728" w:name="_Toc391016353"/>
      <w:bookmarkStart w:id="729" w:name="_Toc391017466"/>
      <w:bookmarkStart w:id="730" w:name="_Toc391018578"/>
      <w:bookmarkStart w:id="731" w:name="_Toc391014230"/>
      <w:bookmarkStart w:id="732" w:name="_Toc391015381"/>
      <w:bookmarkStart w:id="733" w:name="_Toc391016354"/>
      <w:bookmarkStart w:id="734" w:name="_Toc391017467"/>
      <w:bookmarkStart w:id="735" w:name="_Toc391018579"/>
      <w:bookmarkStart w:id="736" w:name="_Toc391014232"/>
      <w:bookmarkStart w:id="737" w:name="_Toc391015383"/>
      <w:bookmarkStart w:id="738" w:name="_Toc391016356"/>
      <w:bookmarkStart w:id="739" w:name="_Toc391017469"/>
      <w:bookmarkStart w:id="740" w:name="_Toc391018581"/>
      <w:bookmarkStart w:id="741" w:name="_Toc391014233"/>
      <w:bookmarkStart w:id="742" w:name="_Toc391015384"/>
      <w:bookmarkStart w:id="743" w:name="_Toc391016357"/>
      <w:bookmarkStart w:id="744" w:name="_Toc391017470"/>
      <w:bookmarkStart w:id="745" w:name="_Toc391018582"/>
      <w:bookmarkStart w:id="746" w:name="_Toc391014234"/>
      <w:bookmarkStart w:id="747" w:name="_Toc391015385"/>
      <w:bookmarkStart w:id="748" w:name="_Toc391016358"/>
      <w:bookmarkStart w:id="749" w:name="_Toc391017471"/>
      <w:bookmarkStart w:id="750" w:name="_Toc391018583"/>
      <w:bookmarkStart w:id="751" w:name="_Toc391014235"/>
      <w:bookmarkStart w:id="752" w:name="_Toc391015386"/>
      <w:bookmarkStart w:id="753" w:name="_Toc391016359"/>
      <w:bookmarkStart w:id="754" w:name="_Toc391017472"/>
      <w:bookmarkStart w:id="755" w:name="_Toc391018584"/>
      <w:bookmarkStart w:id="756" w:name="_Toc391014236"/>
      <w:bookmarkStart w:id="757" w:name="_Toc391015387"/>
      <w:bookmarkStart w:id="758" w:name="_Toc391016360"/>
      <w:bookmarkStart w:id="759" w:name="_Toc391017473"/>
      <w:bookmarkStart w:id="760" w:name="_Toc391018585"/>
      <w:bookmarkStart w:id="761" w:name="_Toc391014237"/>
      <w:bookmarkStart w:id="762" w:name="_Toc391015388"/>
      <w:bookmarkStart w:id="763" w:name="_Toc391016361"/>
      <w:bookmarkStart w:id="764" w:name="_Toc391017474"/>
      <w:bookmarkStart w:id="765" w:name="_Toc391018586"/>
      <w:bookmarkStart w:id="766" w:name="_Toc391014238"/>
      <w:bookmarkStart w:id="767" w:name="_Toc391015389"/>
      <w:bookmarkStart w:id="768" w:name="_Toc391016362"/>
      <w:bookmarkStart w:id="769" w:name="_Toc391017475"/>
      <w:bookmarkStart w:id="770" w:name="_Toc391018587"/>
      <w:bookmarkStart w:id="771" w:name="_Toc391014239"/>
      <w:bookmarkStart w:id="772" w:name="_Toc391015390"/>
      <w:bookmarkStart w:id="773" w:name="_Toc391016363"/>
      <w:bookmarkStart w:id="774" w:name="_Toc391017476"/>
      <w:bookmarkStart w:id="775" w:name="_Toc391018588"/>
      <w:bookmarkStart w:id="776" w:name="_Toc391014240"/>
      <w:bookmarkStart w:id="777" w:name="_Toc391015391"/>
      <w:bookmarkStart w:id="778" w:name="_Toc391016364"/>
      <w:bookmarkStart w:id="779" w:name="_Toc391017477"/>
      <w:bookmarkStart w:id="780" w:name="_Toc391018589"/>
      <w:bookmarkStart w:id="781" w:name="_Toc391014243"/>
      <w:bookmarkStart w:id="782" w:name="_Toc391015394"/>
      <w:bookmarkStart w:id="783" w:name="_Toc391016367"/>
      <w:bookmarkStart w:id="784" w:name="_Toc391017480"/>
      <w:bookmarkStart w:id="785" w:name="_Toc391018592"/>
      <w:bookmarkStart w:id="786" w:name="_Toc391014246"/>
      <w:bookmarkStart w:id="787" w:name="_Toc391015397"/>
      <w:bookmarkStart w:id="788" w:name="_Toc391016370"/>
      <w:bookmarkStart w:id="789" w:name="_Toc391017483"/>
      <w:bookmarkStart w:id="790" w:name="_Toc391018595"/>
      <w:bookmarkStart w:id="791" w:name="_Toc391014247"/>
      <w:bookmarkStart w:id="792" w:name="_Toc391015398"/>
      <w:bookmarkStart w:id="793" w:name="_Toc391016371"/>
      <w:bookmarkStart w:id="794" w:name="_Toc391017484"/>
      <w:bookmarkStart w:id="795" w:name="_Toc391018596"/>
      <w:bookmarkStart w:id="796" w:name="_Toc391014248"/>
      <w:bookmarkStart w:id="797" w:name="_Toc391015399"/>
      <w:bookmarkStart w:id="798" w:name="_Toc391016372"/>
      <w:bookmarkStart w:id="799" w:name="_Toc391017485"/>
      <w:bookmarkStart w:id="800" w:name="_Toc391018597"/>
      <w:bookmarkStart w:id="801" w:name="_Toc391014253"/>
      <w:bookmarkStart w:id="802" w:name="_Toc391015404"/>
      <w:bookmarkStart w:id="803" w:name="_Toc391016377"/>
      <w:bookmarkStart w:id="804" w:name="_Toc391017490"/>
      <w:bookmarkStart w:id="805" w:name="_Toc391018602"/>
      <w:bookmarkStart w:id="806" w:name="_Toc391014260"/>
      <w:bookmarkStart w:id="807" w:name="_Toc391015411"/>
      <w:bookmarkStart w:id="808" w:name="_Toc391016384"/>
      <w:bookmarkStart w:id="809" w:name="_Toc391017497"/>
      <w:bookmarkStart w:id="810" w:name="_Toc391018609"/>
      <w:bookmarkStart w:id="811" w:name="_Toc391014263"/>
      <w:bookmarkStart w:id="812" w:name="_Toc391015414"/>
      <w:bookmarkStart w:id="813" w:name="_Toc391016387"/>
      <w:bookmarkStart w:id="814" w:name="_Toc391017500"/>
      <w:bookmarkStart w:id="815" w:name="_Toc391018612"/>
      <w:bookmarkStart w:id="816" w:name="_Toc391014266"/>
      <w:bookmarkStart w:id="817" w:name="_Toc391015417"/>
      <w:bookmarkStart w:id="818" w:name="_Toc391016390"/>
      <w:bookmarkStart w:id="819" w:name="_Toc391017503"/>
      <w:bookmarkStart w:id="820" w:name="_Toc391018615"/>
      <w:bookmarkStart w:id="821" w:name="_Toc391014269"/>
      <w:bookmarkStart w:id="822" w:name="_Toc391015420"/>
      <w:bookmarkStart w:id="823" w:name="_Toc391016393"/>
      <w:bookmarkStart w:id="824" w:name="_Toc391017506"/>
      <w:bookmarkStart w:id="825" w:name="_Toc391018618"/>
      <w:bookmarkStart w:id="826" w:name="_Toc391014272"/>
      <w:bookmarkStart w:id="827" w:name="_Toc391015423"/>
      <w:bookmarkStart w:id="828" w:name="_Toc391016396"/>
      <w:bookmarkStart w:id="829" w:name="_Toc391017509"/>
      <w:bookmarkStart w:id="830" w:name="_Toc391018621"/>
      <w:bookmarkStart w:id="831" w:name="_Toc391014275"/>
      <w:bookmarkStart w:id="832" w:name="_Toc391015426"/>
      <w:bookmarkStart w:id="833" w:name="_Toc391016399"/>
      <w:bookmarkStart w:id="834" w:name="_Toc391017512"/>
      <w:bookmarkStart w:id="835" w:name="_Toc391018624"/>
      <w:bookmarkStart w:id="836" w:name="_Toc391014278"/>
      <w:bookmarkStart w:id="837" w:name="_Toc391015429"/>
      <w:bookmarkStart w:id="838" w:name="_Toc391016402"/>
      <w:bookmarkStart w:id="839" w:name="_Toc391017515"/>
      <w:bookmarkStart w:id="840" w:name="_Toc391018627"/>
      <w:bookmarkStart w:id="841" w:name="_Toc391014281"/>
      <w:bookmarkStart w:id="842" w:name="_Toc391015432"/>
      <w:bookmarkStart w:id="843" w:name="_Toc391016405"/>
      <w:bookmarkStart w:id="844" w:name="_Toc391017518"/>
      <w:bookmarkStart w:id="845" w:name="_Toc391018630"/>
      <w:bookmarkStart w:id="846" w:name="_Toc391014282"/>
      <w:bookmarkStart w:id="847" w:name="_Toc391015433"/>
      <w:bookmarkStart w:id="848" w:name="_Toc391016406"/>
      <w:bookmarkStart w:id="849" w:name="_Toc391017519"/>
      <w:bookmarkStart w:id="850" w:name="_Toc391018631"/>
      <w:bookmarkStart w:id="851" w:name="_Toc391014283"/>
      <w:bookmarkStart w:id="852" w:name="_Toc391015434"/>
      <w:bookmarkStart w:id="853" w:name="_Toc391016407"/>
      <w:bookmarkStart w:id="854" w:name="_Toc391017520"/>
      <w:bookmarkStart w:id="855" w:name="_Toc391018632"/>
      <w:bookmarkStart w:id="856" w:name="_Toc391014284"/>
      <w:bookmarkStart w:id="857" w:name="_Toc391015435"/>
      <w:bookmarkStart w:id="858" w:name="_Toc391016408"/>
      <w:bookmarkStart w:id="859" w:name="_Toc391017521"/>
      <w:bookmarkStart w:id="860" w:name="_Toc391018633"/>
      <w:bookmarkStart w:id="861" w:name="_Toc391014285"/>
      <w:bookmarkStart w:id="862" w:name="_Toc391015436"/>
      <w:bookmarkStart w:id="863" w:name="_Toc391016409"/>
      <w:bookmarkStart w:id="864" w:name="_Toc391017522"/>
      <w:bookmarkStart w:id="865" w:name="_Toc391018634"/>
      <w:bookmarkStart w:id="866" w:name="_Toc391014287"/>
      <w:bookmarkStart w:id="867" w:name="_Toc391015438"/>
      <w:bookmarkStart w:id="868" w:name="_Toc391016411"/>
      <w:bookmarkStart w:id="869" w:name="_Toc391017524"/>
      <w:bookmarkStart w:id="870" w:name="_Toc391018636"/>
      <w:bookmarkStart w:id="871" w:name="_Toc391014290"/>
      <w:bookmarkStart w:id="872" w:name="_Toc391015441"/>
      <w:bookmarkStart w:id="873" w:name="_Toc391016414"/>
      <w:bookmarkStart w:id="874" w:name="_Toc391017527"/>
      <w:bookmarkStart w:id="875" w:name="_Toc391018639"/>
      <w:bookmarkStart w:id="876" w:name="_Toc391014291"/>
      <w:bookmarkStart w:id="877" w:name="_Toc391015442"/>
      <w:bookmarkStart w:id="878" w:name="_Toc391016415"/>
      <w:bookmarkStart w:id="879" w:name="_Toc391017528"/>
      <w:bookmarkStart w:id="880" w:name="_Toc391018640"/>
      <w:bookmarkStart w:id="881" w:name="_Toc391014292"/>
      <w:bookmarkStart w:id="882" w:name="_Toc391015443"/>
      <w:bookmarkStart w:id="883" w:name="_Toc391016416"/>
      <w:bookmarkStart w:id="884" w:name="_Toc391017529"/>
      <w:bookmarkStart w:id="885" w:name="_Toc391018641"/>
      <w:bookmarkStart w:id="886" w:name="_Toc391014293"/>
      <w:bookmarkStart w:id="887" w:name="_Toc391015444"/>
      <w:bookmarkStart w:id="888" w:name="_Toc391016417"/>
      <w:bookmarkStart w:id="889" w:name="_Toc391017530"/>
      <w:bookmarkStart w:id="890" w:name="_Toc391018642"/>
      <w:bookmarkStart w:id="891" w:name="_Toc391014294"/>
      <w:bookmarkStart w:id="892" w:name="_Toc391015445"/>
      <w:bookmarkStart w:id="893" w:name="_Toc391016418"/>
      <w:bookmarkStart w:id="894" w:name="_Toc391017531"/>
      <w:bookmarkStart w:id="895" w:name="_Toc391018643"/>
      <w:bookmarkStart w:id="896" w:name="_Toc391014295"/>
      <w:bookmarkStart w:id="897" w:name="_Toc391015446"/>
      <w:bookmarkStart w:id="898" w:name="_Toc391016419"/>
      <w:bookmarkStart w:id="899" w:name="_Toc391017532"/>
      <w:bookmarkStart w:id="900" w:name="_Toc391018644"/>
      <w:bookmarkStart w:id="901" w:name="_Toc391014296"/>
      <w:bookmarkStart w:id="902" w:name="_Toc391015447"/>
      <w:bookmarkStart w:id="903" w:name="_Toc391016420"/>
      <w:bookmarkStart w:id="904" w:name="_Toc391017533"/>
      <w:bookmarkStart w:id="905" w:name="_Toc391018645"/>
      <w:bookmarkStart w:id="906" w:name="_Toc391014297"/>
      <w:bookmarkStart w:id="907" w:name="_Toc391015448"/>
      <w:bookmarkStart w:id="908" w:name="_Toc391016421"/>
      <w:bookmarkStart w:id="909" w:name="_Toc391017534"/>
      <w:bookmarkStart w:id="910" w:name="_Toc391018646"/>
      <w:bookmarkStart w:id="911" w:name="_Toc391014299"/>
      <w:bookmarkStart w:id="912" w:name="_Toc391015450"/>
      <w:bookmarkStart w:id="913" w:name="_Toc391016423"/>
      <w:bookmarkStart w:id="914" w:name="_Toc391017536"/>
      <w:bookmarkStart w:id="915" w:name="_Toc391018648"/>
      <w:bookmarkStart w:id="916" w:name="_Toc391014300"/>
      <w:bookmarkStart w:id="917" w:name="_Toc391015451"/>
      <w:bookmarkStart w:id="918" w:name="_Toc391016424"/>
      <w:bookmarkStart w:id="919" w:name="_Toc391017537"/>
      <w:bookmarkStart w:id="920" w:name="_Toc391018649"/>
      <w:bookmarkStart w:id="921" w:name="_Toc391014303"/>
      <w:bookmarkStart w:id="922" w:name="_Toc391015454"/>
      <w:bookmarkStart w:id="923" w:name="_Toc391016427"/>
      <w:bookmarkStart w:id="924" w:name="_Toc391017540"/>
      <w:bookmarkStart w:id="925" w:name="_Toc391018652"/>
      <w:bookmarkStart w:id="926" w:name="_Toc391014307"/>
      <w:bookmarkStart w:id="927" w:name="_Toc391015458"/>
      <w:bookmarkStart w:id="928" w:name="_Toc391016431"/>
      <w:bookmarkStart w:id="929" w:name="_Toc391017544"/>
      <w:bookmarkStart w:id="930" w:name="_Toc391018656"/>
      <w:bookmarkStart w:id="931" w:name="_Toc391014308"/>
      <w:bookmarkStart w:id="932" w:name="_Toc391015459"/>
      <w:bookmarkStart w:id="933" w:name="_Toc391016432"/>
      <w:bookmarkStart w:id="934" w:name="_Toc391017545"/>
      <w:bookmarkStart w:id="935" w:name="_Toc391018657"/>
      <w:bookmarkStart w:id="936" w:name="_Toc391014311"/>
      <w:bookmarkStart w:id="937" w:name="_Toc391015462"/>
      <w:bookmarkStart w:id="938" w:name="_Toc391016435"/>
      <w:bookmarkStart w:id="939" w:name="_Toc391017548"/>
      <w:bookmarkStart w:id="940" w:name="_Toc391018660"/>
      <w:bookmarkStart w:id="941" w:name="_Toc391014312"/>
      <w:bookmarkStart w:id="942" w:name="_Toc391015463"/>
      <w:bookmarkStart w:id="943" w:name="_Toc391016436"/>
      <w:bookmarkStart w:id="944" w:name="_Toc391017549"/>
      <w:bookmarkStart w:id="945" w:name="_Toc391018661"/>
      <w:bookmarkStart w:id="946" w:name="_Toc391014313"/>
      <w:bookmarkStart w:id="947" w:name="_Toc391015464"/>
      <w:bookmarkStart w:id="948" w:name="_Toc391016437"/>
      <w:bookmarkStart w:id="949" w:name="_Toc391017550"/>
      <w:bookmarkStart w:id="950" w:name="_Toc391018662"/>
      <w:bookmarkStart w:id="951" w:name="_Toc391014314"/>
      <w:bookmarkStart w:id="952" w:name="_Toc391015465"/>
      <w:bookmarkStart w:id="953" w:name="_Toc391016438"/>
      <w:bookmarkStart w:id="954" w:name="_Toc391017551"/>
      <w:bookmarkStart w:id="955" w:name="_Toc391018663"/>
      <w:bookmarkStart w:id="956" w:name="_Toc391014315"/>
      <w:bookmarkStart w:id="957" w:name="_Toc391015466"/>
      <w:bookmarkStart w:id="958" w:name="_Toc391016439"/>
      <w:bookmarkStart w:id="959" w:name="_Toc391017552"/>
      <w:bookmarkStart w:id="960" w:name="_Toc391018664"/>
      <w:bookmarkStart w:id="961" w:name="_Toc391014318"/>
      <w:bookmarkStart w:id="962" w:name="_Toc391015469"/>
      <w:bookmarkStart w:id="963" w:name="_Toc391016442"/>
      <w:bookmarkStart w:id="964" w:name="_Toc391017555"/>
      <w:bookmarkStart w:id="965" w:name="_Toc391018667"/>
      <w:bookmarkStart w:id="966" w:name="_Toc391014320"/>
      <w:bookmarkStart w:id="967" w:name="_Toc391015471"/>
      <w:bookmarkStart w:id="968" w:name="_Toc391016444"/>
      <w:bookmarkStart w:id="969" w:name="_Toc391017557"/>
      <w:bookmarkStart w:id="970" w:name="_Toc391018669"/>
      <w:bookmarkStart w:id="971" w:name="_Toc391014322"/>
      <w:bookmarkStart w:id="972" w:name="_Toc391015473"/>
      <w:bookmarkStart w:id="973" w:name="_Toc391016446"/>
      <w:bookmarkStart w:id="974" w:name="_Toc391017559"/>
      <w:bookmarkStart w:id="975" w:name="_Toc391018671"/>
      <w:bookmarkStart w:id="976" w:name="_Toc391014324"/>
      <w:bookmarkStart w:id="977" w:name="_Toc391015475"/>
      <w:bookmarkStart w:id="978" w:name="_Toc391016448"/>
      <w:bookmarkStart w:id="979" w:name="_Toc391017561"/>
      <w:bookmarkStart w:id="980" w:name="_Toc391018673"/>
      <w:bookmarkStart w:id="981" w:name="_Toc391014326"/>
      <w:bookmarkStart w:id="982" w:name="_Toc391015477"/>
      <w:bookmarkStart w:id="983" w:name="_Toc391016450"/>
      <w:bookmarkStart w:id="984" w:name="_Toc391017563"/>
      <w:bookmarkStart w:id="985" w:name="_Toc391018675"/>
      <w:bookmarkStart w:id="986" w:name="_Toc391014328"/>
      <w:bookmarkStart w:id="987" w:name="_Toc391015479"/>
      <w:bookmarkStart w:id="988" w:name="_Toc391016452"/>
      <w:bookmarkStart w:id="989" w:name="_Toc391017565"/>
      <w:bookmarkStart w:id="990" w:name="_Toc391018677"/>
      <w:bookmarkStart w:id="991" w:name="_Toc391014330"/>
      <w:bookmarkStart w:id="992" w:name="_Toc391015481"/>
      <w:bookmarkStart w:id="993" w:name="_Toc391016454"/>
      <w:bookmarkStart w:id="994" w:name="_Toc391017567"/>
      <w:bookmarkStart w:id="995" w:name="_Toc391018679"/>
      <w:bookmarkStart w:id="996" w:name="_Toc391014335"/>
      <w:bookmarkStart w:id="997" w:name="_Toc391015486"/>
      <w:bookmarkStart w:id="998" w:name="_Toc391016459"/>
      <w:bookmarkStart w:id="999" w:name="_Toc391017572"/>
      <w:bookmarkStart w:id="1000" w:name="_Toc391018684"/>
      <w:bookmarkStart w:id="1001" w:name="_Toc391014338"/>
      <w:bookmarkStart w:id="1002" w:name="_Toc391015489"/>
      <w:bookmarkStart w:id="1003" w:name="_Toc391016462"/>
      <w:bookmarkStart w:id="1004" w:name="_Toc391017575"/>
      <w:bookmarkStart w:id="1005" w:name="_Toc391018687"/>
      <w:bookmarkStart w:id="1006" w:name="_Toc391014341"/>
      <w:bookmarkStart w:id="1007" w:name="_Toc391015492"/>
      <w:bookmarkStart w:id="1008" w:name="_Toc391016465"/>
      <w:bookmarkStart w:id="1009" w:name="_Toc391017578"/>
      <w:bookmarkStart w:id="1010" w:name="_Toc391018690"/>
      <w:bookmarkStart w:id="1011" w:name="_Toc391014344"/>
      <w:bookmarkStart w:id="1012" w:name="_Toc391015495"/>
      <w:bookmarkStart w:id="1013" w:name="_Toc391016468"/>
      <w:bookmarkStart w:id="1014" w:name="_Toc391017581"/>
      <w:bookmarkStart w:id="1015" w:name="_Toc391018693"/>
      <w:bookmarkStart w:id="1016" w:name="_Toc391014347"/>
      <w:bookmarkStart w:id="1017" w:name="_Toc391015498"/>
      <w:bookmarkStart w:id="1018" w:name="_Toc391016471"/>
      <w:bookmarkStart w:id="1019" w:name="_Toc391017584"/>
      <w:bookmarkStart w:id="1020" w:name="_Toc391018696"/>
      <w:bookmarkStart w:id="1021" w:name="_Toc391014350"/>
      <w:bookmarkStart w:id="1022" w:name="_Toc391015501"/>
      <w:bookmarkStart w:id="1023" w:name="_Toc391016474"/>
      <w:bookmarkStart w:id="1024" w:name="_Toc391017587"/>
      <w:bookmarkStart w:id="1025" w:name="_Toc391018699"/>
      <w:bookmarkStart w:id="1026" w:name="_Toc391014353"/>
      <w:bookmarkStart w:id="1027" w:name="_Toc391015504"/>
      <w:bookmarkStart w:id="1028" w:name="_Toc391016477"/>
      <w:bookmarkStart w:id="1029" w:name="_Toc391017590"/>
      <w:bookmarkStart w:id="1030" w:name="_Toc391018702"/>
      <w:bookmarkStart w:id="1031" w:name="_Toc391014356"/>
      <w:bookmarkStart w:id="1032" w:name="_Toc391015507"/>
      <w:bookmarkStart w:id="1033" w:name="_Toc391016480"/>
      <w:bookmarkStart w:id="1034" w:name="_Toc391017593"/>
      <w:bookmarkStart w:id="1035" w:name="_Toc391018705"/>
      <w:bookmarkStart w:id="1036" w:name="_Toc391014357"/>
      <w:bookmarkStart w:id="1037" w:name="_Toc391015508"/>
      <w:bookmarkStart w:id="1038" w:name="_Toc391016481"/>
      <w:bookmarkStart w:id="1039" w:name="_Toc391017594"/>
      <w:bookmarkStart w:id="1040" w:name="_Toc391018706"/>
      <w:bookmarkStart w:id="1041" w:name="_Toc391014359"/>
      <w:bookmarkStart w:id="1042" w:name="_Toc391015510"/>
      <w:bookmarkStart w:id="1043" w:name="_Toc391016483"/>
      <w:bookmarkStart w:id="1044" w:name="_Toc391017596"/>
      <w:bookmarkStart w:id="1045" w:name="_Toc391018708"/>
      <w:bookmarkStart w:id="1046" w:name="_Toc391014362"/>
      <w:bookmarkStart w:id="1047" w:name="_Toc391015513"/>
      <w:bookmarkStart w:id="1048" w:name="_Toc391016486"/>
      <w:bookmarkStart w:id="1049" w:name="_Toc391017599"/>
      <w:bookmarkStart w:id="1050" w:name="_Toc391018711"/>
      <w:bookmarkStart w:id="1051" w:name="_Toc391014363"/>
      <w:bookmarkStart w:id="1052" w:name="_Toc391015514"/>
      <w:bookmarkStart w:id="1053" w:name="_Toc391016487"/>
      <w:bookmarkStart w:id="1054" w:name="_Toc391017600"/>
      <w:bookmarkStart w:id="1055" w:name="_Toc391018712"/>
      <w:bookmarkStart w:id="1056" w:name="_Toc391014364"/>
      <w:bookmarkStart w:id="1057" w:name="_Toc391015515"/>
      <w:bookmarkStart w:id="1058" w:name="_Toc391016488"/>
      <w:bookmarkStart w:id="1059" w:name="_Toc391017601"/>
      <w:bookmarkStart w:id="1060" w:name="_Toc391018713"/>
      <w:bookmarkStart w:id="1061" w:name="_Toc391014365"/>
      <w:bookmarkStart w:id="1062" w:name="_Toc391015516"/>
      <w:bookmarkStart w:id="1063" w:name="_Toc391016489"/>
      <w:bookmarkStart w:id="1064" w:name="_Toc391017602"/>
      <w:bookmarkStart w:id="1065" w:name="_Toc391018714"/>
      <w:bookmarkStart w:id="1066" w:name="_Toc391014367"/>
      <w:bookmarkStart w:id="1067" w:name="_Toc391015518"/>
      <w:bookmarkStart w:id="1068" w:name="_Toc391016491"/>
      <w:bookmarkStart w:id="1069" w:name="_Toc391017604"/>
      <w:bookmarkStart w:id="1070" w:name="_Toc391018716"/>
      <w:bookmarkStart w:id="1071" w:name="_Toc391014370"/>
      <w:bookmarkStart w:id="1072" w:name="_Toc391015521"/>
      <w:bookmarkStart w:id="1073" w:name="_Toc391016494"/>
      <w:bookmarkStart w:id="1074" w:name="_Toc391017607"/>
      <w:bookmarkStart w:id="1075" w:name="_Toc391018719"/>
      <w:bookmarkStart w:id="1076" w:name="_Toc391014371"/>
      <w:bookmarkStart w:id="1077" w:name="_Toc391015522"/>
      <w:bookmarkStart w:id="1078" w:name="_Toc391016495"/>
      <w:bookmarkStart w:id="1079" w:name="_Toc391017608"/>
      <w:bookmarkStart w:id="1080" w:name="_Toc391018720"/>
      <w:bookmarkStart w:id="1081" w:name="_Toc391014372"/>
      <w:bookmarkStart w:id="1082" w:name="_Toc391015523"/>
      <w:bookmarkStart w:id="1083" w:name="_Toc391016496"/>
      <w:bookmarkStart w:id="1084" w:name="_Toc391017609"/>
      <w:bookmarkStart w:id="1085" w:name="_Toc391018721"/>
      <w:bookmarkStart w:id="1086" w:name="_Toc391014374"/>
      <w:bookmarkStart w:id="1087" w:name="_Toc391015525"/>
      <w:bookmarkStart w:id="1088" w:name="_Toc391016498"/>
      <w:bookmarkStart w:id="1089" w:name="_Toc391017611"/>
      <w:bookmarkStart w:id="1090" w:name="_Toc391018723"/>
      <w:bookmarkStart w:id="1091" w:name="_Toc391014375"/>
      <w:bookmarkStart w:id="1092" w:name="_Toc391015526"/>
      <w:bookmarkStart w:id="1093" w:name="_Toc391016499"/>
      <w:bookmarkStart w:id="1094" w:name="_Toc391017612"/>
      <w:bookmarkStart w:id="1095" w:name="_Toc391018724"/>
      <w:bookmarkStart w:id="1096" w:name="_Toc391014376"/>
      <w:bookmarkStart w:id="1097" w:name="_Toc391015527"/>
      <w:bookmarkStart w:id="1098" w:name="_Toc391016500"/>
      <w:bookmarkStart w:id="1099" w:name="_Toc391017613"/>
      <w:bookmarkStart w:id="1100" w:name="_Toc391018725"/>
      <w:bookmarkStart w:id="1101" w:name="_Toc391014377"/>
      <w:bookmarkStart w:id="1102" w:name="_Toc391015528"/>
      <w:bookmarkStart w:id="1103" w:name="_Toc391016501"/>
      <w:bookmarkStart w:id="1104" w:name="_Toc391017614"/>
      <w:bookmarkStart w:id="1105" w:name="_Toc391018726"/>
      <w:bookmarkStart w:id="1106" w:name="_Toc391014379"/>
      <w:bookmarkStart w:id="1107" w:name="_Toc391015530"/>
      <w:bookmarkStart w:id="1108" w:name="_Toc391016503"/>
      <w:bookmarkStart w:id="1109" w:name="_Toc391017616"/>
      <w:bookmarkStart w:id="1110" w:name="_Toc391018728"/>
      <w:bookmarkStart w:id="1111" w:name="_Toc391014380"/>
      <w:bookmarkStart w:id="1112" w:name="_Toc391015531"/>
      <w:bookmarkStart w:id="1113" w:name="_Toc391016504"/>
      <w:bookmarkStart w:id="1114" w:name="_Toc391017617"/>
      <w:bookmarkStart w:id="1115" w:name="_Toc391018729"/>
      <w:bookmarkStart w:id="1116" w:name="_Toc391014381"/>
      <w:bookmarkStart w:id="1117" w:name="_Toc391015532"/>
      <w:bookmarkStart w:id="1118" w:name="_Toc391016505"/>
      <w:bookmarkStart w:id="1119" w:name="_Toc391017618"/>
      <w:bookmarkStart w:id="1120" w:name="_Toc391018730"/>
      <w:bookmarkStart w:id="1121" w:name="_Toc391014382"/>
      <w:bookmarkStart w:id="1122" w:name="_Toc391015533"/>
      <w:bookmarkStart w:id="1123" w:name="_Toc391016506"/>
      <w:bookmarkStart w:id="1124" w:name="_Toc391017619"/>
      <w:bookmarkStart w:id="1125" w:name="_Toc391018731"/>
      <w:bookmarkStart w:id="1126" w:name="_Toc391014383"/>
      <w:bookmarkStart w:id="1127" w:name="_Toc391015534"/>
      <w:bookmarkStart w:id="1128" w:name="_Toc391016507"/>
      <w:bookmarkStart w:id="1129" w:name="_Toc391017620"/>
      <w:bookmarkStart w:id="1130" w:name="_Toc391018732"/>
      <w:bookmarkStart w:id="1131" w:name="_Toc391014385"/>
      <w:bookmarkStart w:id="1132" w:name="_Toc391015536"/>
      <w:bookmarkStart w:id="1133" w:name="_Toc391016509"/>
      <w:bookmarkStart w:id="1134" w:name="_Toc391017622"/>
      <w:bookmarkStart w:id="1135" w:name="_Toc391018734"/>
      <w:bookmarkStart w:id="1136" w:name="_Toc391014387"/>
      <w:bookmarkStart w:id="1137" w:name="_Toc391015538"/>
      <w:bookmarkStart w:id="1138" w:name="_Toc391016511"/>
      <w:bookmarkStart w:id="1139" w:name="_Toc391017624"/>
      <w:bookmarkStart w:id="1140" w:name="_Toc391018736"/>
      <w:bookmarkStart w:id="1141" w:name="_Toc391014388"/>
      <w:bookmarkStart w:id="1142" w:name="_Toc391015539"/>
      <w:bookmarkStart w:id="1143" w:name="_Toc391016512"/>
      <w:bookmarkStart w:id="1144" w:name="_Toc391017625"/>
      <w:bookmarkStart w:id="1145" w:name="_Toc391018737"/>
      <w:bookmarkStart w:id="1146" w:name="_Toc391014391"/>
      <w:bookmarkStart w:id="1147" w:name="_Toc391015542"/>
      <w:bookmarkStart w:id="1148" w:name="_Toc391016515"/>
      <w:bookmarkStart w:id="1149" w:name="_Toc391017628"/>
      <w:bookmarkStart w:id="1150" w:name="_Toc391018740"/>
      <w:bookmarkStart w:id="1151" w:name="_Toc391014392"/>
      <w:bookmarkStart w:id="1152" w:name="_Toc391015543"/>
      <w:bookmarkStart w:id="1153" w:name="_Toc391016516"/>
      <w:bookmarkStart w:id="1154" w:name="_Toc391017629"/>
      <w:bookmarkStart w:id="1155" w:name="_Toc391018741"/>
      <w:bookmarkStart w:id="1156" w:name="_Toc391014393"/>
      <w:bookmarkStart w:id="1157" w:name="_Toc391015544"/>
      <w:bookmarkStart w:id="1158" w:name="_Toc391016517"/>
      <w:bookmarkStart w:id="1159" w:name="_Toc391017630"/>
      <w:bookmarkStart w:id="1160" w:name="_Toc391018742"/>
      <w:bookmarkStart w:id="1161" w:name="_Toc391014394"/>
      <w:bookmarkStart w:id="1162" w:name="_Toc391015545"/>
      <w:bookmarkStart w:id="1163" w:name="_Toc391016518"/>
      <w:bookmarkStart w:id="1164" w:name="_Toc391017631"/>
      <w:bookmarkStart w:id="1165" w:name="_Toc391018743"/>
      <w:bookmarkStart w:id="1166" w:name="_Toc391014397"/>
      <w:bookmarkStart w:id="1167" w:name="_Toc391015548"/>
      <w:bookmarkStart w:id="1168" w:name="_Toc391016521"/>
      <w:bookmarkStart w:id="1169" w:name="_Toc391017634"/>
      <w:bookmarkStart w:id="1170" w:name="_Toc391018746"/>
      <w:bookmarkStart w:id="1171" w:name="_Toc391014399"/>
      <w:bookmarkStart w:id="1172" w:name="_Toc391015550"/>
      <w:bookmarkStart w:id="1173" w:name="_Toc391016523"/>
      <w:bookmarkStart w:id="1174" w:name="_Toc391017636"/>
      <w:bookmarkStart w:id="1175" w:name="_Toc391018748"/>
      <w:bookmarkStart w:id="1176" w:name="_Toc391014401"/>
      <w:bookmarkStart w:id="1177" w:name="_Toc391015552"/>
      <w:bookmarkStart w:id="1178" w:name="_Toc391016525"/>
      <w:bookmarkStart w:id="1179" w:name="_Toc391017638"/>
      <w:bookmarkStart w:id="1180" w:name="_Toc391018750"/>
      <w:bookmarkStart w:id="1181" w:name="_Toc391014403"/>
      <w:bookmarkStart w:id="1182" w:name="_Toc391015554"/>
      <w:bookmarkStart w:id="1183" w:name="_Toc391016527"/>
      <w:bookmarkStart w:id="1184" w:name="_Toc391017640"/>
      <w:bookmarkStart w:id="1185" w:name="_Toc391018752"/>
      <w:bookmarkStart w:id="1186" w:name="_Toc391014408"/>
      <w:bookmarkStart w:id="1187" w:name="_Toc391015559"/>
      <w:bookmarkStart w:id="1188" w:name="_Toc391016532"/>
      <w:bookmarkStart w:id="1189" w:name="_Toc391017645"/>
      <w:bookmarkStart w:id="1190" w:name="_Toc391018757"/>
      <w:bookmarkStart w:id="1191" w:name="_Toc391014409"/>
      <w:bookmarkStart w:id="1192" w:name="_Toc391015560"/>
      <w:bookmarkStart w:id="1193" w:name="_Toc391016533"/>
      <w:bookmarkStart w:id="1194" w:name="_Toc391017646"/>
      <w:bookmarkStart w:id="1195" w:name="_Toc391018758"/>
      <w:bookmarkStart w:id="1196" w:name="_Toc391014411"/>
      <w:bookmarkStart w:id="1197" w:name="_Toc391015562"/>
      <w:bookmarkStart w:id="1198" w:name="_Toc391016535"/>
      <w:bookmarkStart w:id="1199" w:name="_Toc391017648"/>
      <w:bookmarkStart w:id="1200" w:name="_Toc391018760"/>
      <w:bookmarkStart w:id="1201" w:name="_Toc391014412"/>
      <w:bookmarkStart w:id="1202" w:name="_Toc391015563"/>
      <w:bookmarkStart w:id="1203" w:name="_Toc391016536"/>
      <w:bookmarkStart w:id="1204" w:name="_Toc391017649"/>
      <w:bookmarkStart w:id="1205" w:name="_Toc391018761"/>
      <w:bookmarkStart w:id="1206" w:name="_Toc391014414"/>
      <w:bookmarkStart w:id="1207" w:name="_Toc391015565"/>
      <w:bookmarkStart w:id="1208" w:name="_Toc391016538"/>
      <w:bookmarkStart w:id="1209" w:name="_Toc391017651"/>
      <w:bookmarkStart w:id="1210" w:name="_Toc391018763"/>
      <w:bookmarkStart w:id="1211" w:name="_Toc391014415"/>
      <w:bookmarkStart w:id="1212" w:name="_Toc391015566"/>
      <w:bookmarkStart w:id="1213" w:name="_Toc391016539"/>
      <w:bookmarkStart w:id="1214" w:name="_Toc391017652"/>
      <w:bookmarkStart w:id="1215" w:name="_Toc391018764"/>
      <w:bookmarkStart w:id="1216" w:name="_Toc391014417"/>
      <w:bookmarkStart w:id="1217" w:name="_Toc391015568"/>
      <w:bookmarkStart w:id="1218" w:name="_Toc391016541"/>
      <w:bookmarkStart w:id="1219" w:name="_Toc391017654"/>
      <w:bookmarkStart w:id="1220" w:name="_Toc391018766"/>
      <w:bookmarkStart w:id="1221" w:name="_Toc391014418"/>
      <w:bookmarkStart w:id="1222" w:name="_Toc391015569"/>
      <w:bookmarkStart w:id="1223" w:name="_Toc391016542"/>
      <w:bookmarkStart w:id="1224" w:name="_Toc391017655"/>
      <w:bookmarkStart w:id="1225" w:name="_Toc391018767"/>
      <w:bookmarkStart w:id="1226" w:name="_Toc391014420"/>
      <w:bookmarkStart w:id="1227" w:name="_Toc391015571"/>
      <w:bookmarkStart w:id="1228" w:name="_Toc391016544"/>
      <w:bookmarkStart w:id="1229" w:name="_Toc391017657"/>
      <w:bookmarkStart w:id="1230" w:name="_Toc391018769"/>
      <w:bookmarkStart w:id="1231" w:name="_Toc391014421"/>
      <w:bookmarkStart w:id="1232" w:name="_Toc391015572"/>
      <w:bookmarkStart w:id="1233" w:name="_Toc391016545"/>
      <w:bookmarkStart w:id="1234" w:name="_Toc391017658"/>
      <w:bookmarkStart w:id="1235" w:name="_Toc391018770"/>
      <w:bookmarkStart w:id="1236" w:name="_Toc391014423"/>
      <w:bookmarkStart w:id="1237" w:name="_Toc391015574"/>
      <w:bookmarkStart w:id="1238" w:name="_Toc391016547"/>
      <w:bookmarkStart w:id="1239" w:name="_Toc391017660"/>
      <w:bookmarkStart w:id="1240" w:name="_Toc391018772"/>
      <w:bookmarkStart w:id="1241" w:name="_Toc391014424"/>
      <w:bookmarkStart w:id="1242" w:name="_Toc391015575"/>
      <w:bookmarkStart w:id="1243" w:name="_Toc391016548"/>
      <w:bookmarkStart w:id="1244" w:name="_Toc391017661"/>
      <w:bookmarkStart w:id="1245" w:name="_Toc391018773"/>
      <w:bookmarkStart w:id="1246" w:name="_Toc391014426"/>
      <w:bookmarkStart w:id="1247" w:name="_Toc391015577"/>
      <w:bookmarkStart w:id="1248" w:name="_Toc391016550"/>
      <w:bookmarkStart w:id="1249" w:name="_Toc391017663"/>
      <w:bookmarkStart w:id="1250" w:name="_Toc391018775"/>
      <w:bookmarkStart w:id="1251" w:name="_Toc391014427"/>
      <w:bookmarkStart w:id="1252" w:name="_Toc391015578"/>
      <w:bookmarkStart w:id="1253" w:name="_Toc391016551"/>
      <w:bookmarkStart w:id="1254" w:name="_Toc391017664"/>
      <w:bookmarkStart w:id="1255" w:name="_Toc391018776"/>
      <w:bookmarkStart w:id="1256" w:name="_Toc391014429"/>
      <w:bookmarkStart w:id="1257" w:name="_Toc391015580"/>
      <w:bookmarkStart w:id="1258" w:name="_Toc391016553"/>
      <w:bookmarkStart w:id="1259" w:name="_Toc391017666"/>
      <w:bookmarkStart w:id="1260" w:name="_Toc391018778"/>
      <w:bookmarkStart w:id="1261" w:name="_Toc391014432"/>
      <w:bookmarkStart w:id="1262" w:name="_Toc391015583"/>
      <w:bookmarkStart w:id="1263" w:name="_Toc391016556"/>
      <w:bookmarkStart w:id="1264" w:name="_Toc391017669"/>
      <w:bookmarkStart w:id="1265" w:name="_Toc391018781"/>
      <w:bookmarkStart w:id="1266" w:name="_Toc391014435"/>
      <w:bookmarkStart w:id="1267" w:name="_Toc391015586"/>
      <w:bookmarkStart w:id="1268" w:name="_Toc391016559"/>
      <w:bookmarkStart w:id="1269" w:name="_Toc391017672"/>
      <w:bookmarkStart w:id="1270" w:name="_Toc391018784"/>
      <w:bookmarkStart w:id="1271" w:name="_Toc391014438"/>
      <w:bookmarkStart w:id="1272" w:name="_Toc391015589"/>
      <w:bookmarkStart w:id="1273" w:name="_Toc391016562"/>
      <w:bookmarkStart w:id="1274" w:name="_Toc391017675"/>
      <w:bookmarkStart w:id="1275" w:name="_Toc391018787"/>
      <w:bookmarkStart w:id="1276" w:name="_Toc391014439"/>
      <w:bookmarkStart w:id="1277" w:name="_Toc391015590"/>
      <w:bookmarkStart w:id="1278" w:name="_Toc391016563"/>
      <w:bookmarkStart w:id="1279" w:name="_Toc391017676"/>
      <w:bookmarkStart w:id="1280" w:name="_Toc391018788"/>
      <w:bookmarkStart w:id="1281" w:name="_Toc391014441"/>
      <w:bookmarkStart w:id="1282" w:name="_Toc391015592"/>
      <w:bookmarkStart w:id="1283" w:name="_Toc391016565"/>
      <w:bookmarkStart w:id="1284" w:name="_Toc391017678"/>
      <w:bookmarkStart w:id="1285" w:name="_Toc391018790"/>
      <w:bookmarkStart w:id="1286" w:name="_Toc391014444"/>
      <w:bookmarkStart w:id="1287" w:name="_Toc391015595"/>
      <w:bookmarkStart w:id="1288" w:name="_Toc391016568"/>
      <w:bookmarkStart w:id="1289" w:name="_Toc391017681"/>
      <w:bookmarkStart w:id="1290" w:name="_Toc391018793"/>
      <w:bookmarkStart w:id="1291" w:name="_Toc391014447"/>
      <w:bookmarkStart w:id="1292" w:name="_Toc391015598"/>
      <w:bookmarkStart w:id="1293" w:name="_Toc391016571"/>
      <w:bookmarkStart w:id="1294" w:name="_Toc391017684"/>
      <w:bookmarkStart w:id="1295" w:name="_Toc391018796"/>
      <w:bookmarkStart w:id="1296" w:name="_Toc391014449"/>
      <w:bookmarkStart w:id="1297" w:name="_Toc391015600"/>
      <w:bookmarkStart w:id="1298" w:name="_Toc391016573"/>
      <w:bookmarkStart w:id="1299" w:name="_Toc391017686"/>
      <w:bookmarkStart w:id="1300" w:name="_Toc391018798"/>
      <w:bookmarkStart w:id="1301" w:name="_Toc391014451"/>
      <w:bookmarkStart w:id="1302" w:name="_Toc391015602"/>
      <w:bookmarkStart w:id="1303" w:name="_Toc391016575"/>
      <w:bookmarkStart w:id="1304" w:name="_Toc391017688"/>
      <w:bookmarkStart w:id="1305" w:name="_Toc391018800"/>
      <w:bookmarkStart w:id="1306" w:name="_Toc391014452"/>
      <w:bookmarkStart w:id="1307" w:name="_Toc391015603"/>
      <w:bookmarkStart w:id="1308" w:name="_Toc391016576"/>
      <w:bookmarkStart w:id="1309" w:name="_Toc391017689"/>
      <w:bookmarkStart w:id="1310" w:name="_Toc391018801"/>
      <w:bookmarkStart w:id="1311" w:name="_Toc391014453"/>
      <w:bookmarkStart w:id="1312" w:name="_Toc391015604"/>
      <w:bookmarkStart w:id="1313" w:name="_Toc391016577"/>
      <w:bookmarkStart w:id="1314" w:name="_Toc391017690"/>
      <w:bookmarkStart w:id="1315" w:name="_Toc391018802"/>
      <w:bookmarkStart w:id="1316" w:name="_Toc391014454"/>
      <w:bookmarkStart w:id="1317" w:name="_Toc391015605"/>
      <w:bookmarkStart w:id="1318" w:name="_Toc391016578"/>
      <w:bookmarkStart w:id="1319" w:name="_Toc391017691"/>
      <w:bookmarkStart w:id="1320" w:name="_Toc391018803"/>
      <w:bookmarkStart w:id="1321" w:name="_Toc391014456"/>
      <w:bookmarkStart w:id="1322" w:name="_Toc391015607"/>
      <w:bookmarkStart w:id="1323" w:name="_Toc391016580"/>
      <w:bookmarkStart w:id="1324" w:name="_Toc391017693"/>
      <w:bookmarkStart w:id="1325" w:name="_Toc391018805"/>
      <w:bookmarkStart w:id="1326" w:name="_Toc391014457"/>
      <w:bookmarkStart w:id="1327" w:name="_Toc391015608"/>
      <w:bookmarkStart w:id="1328" w:name="_Toc391016581"/>
      <w:bookmarkStart w:id="1329" w:name="_Toc391017694"/>
      <w:bookmarkStart w:id="1330" w:name="_Toc391018806"/>
      <w:bookmarkStart w:id="1331" w:name="_Toc391014460"/>
      <w:bookmarkStart w:id="1332" w:name="_Toc391015611"/>
      <w:bookmarkStart w:id="1333" w:name="_Toc391016584"/>
      <w:bookmarkStart w:id="1334" w:name="_Toc391017697"/>
      <w:bookmarkStart w:id="1335" w:name="_Toc391018809"/>
      <w:bookmarkStart w:id="1336" w:name="_Toc391014463"/>
      <w:bookmarkStart w:id="1337" w:name="_Toc391015614"/>
      <w:bookmarkStart w:id="1338" w:name="_Toc391016587"/>
      <w:bookmarkStart w:id="1339" w:name="_Toc391017700"/>
      <w:bookmarkStart w:id="1340" w:name="_Toc391018812"/>
      <w:bookmarkStart w:id="1341" w:name="_Toc391014465"/>
      <w:bookmarkStart w:id="1342" w:name="_Toc391015616"/>
      <w:bookmarkStart w:id="1343" w:name="_Toc391016589"/>
      <w:bookmarkStart w:id="1344" w:name="_Toc391017702"/>
      <w:bookmarkStart w:id="1345" w:name="_Toc391018814"/>
      <w:bookmarkStart w:id="1346" w:name="_Toc391014467"/>
      <w:bookmarkStart w:id="1347" w:name="_Toc391015618"/>
      <w:bookmarkStart w:id="1348" w:name="_Toc391016591"/>
      <w:bookmarkStart w:id="1349" w:name="_Toc391017704"/>
      <w:bookmarkStart w:id="1350" w:name="_Toc391018816"/>
      <w:bookmarkStart w:id="1351" w:name="_Toc391014472"/>
      <w:bookmarkStart w:id="1352" w:name="_Toc391015623"/>
      <w:bookmarkStart w:id="1353" w:name="_Toc391016596"/>
      <w:bookmarkStart w:id="1354" w:name="_Toc391017709"/>
      <w:bookmarkStart w:id="1355" w:name="_Toc391018821"/>
      <w:bookmarkStart w:id="1356" w:name="_Toc391014475"/>
      <w:bookmarkStart w:id="1357" w:name="_Toc391015626"/>
      <w:bookmarkStart w:id="1358" w:name="_Toc391016599"/>
      <w:bookmarkStart w:id="1359" w:name="_Toc391017712"/>
      <w:bookmarkStart w:id="1360" w:name="_Toc391018824"/>
      <w:bookmarkStart w:id="1361" w:name="_Toc391014478"/>
      <w:bookmarkStart w:id="1362" w:name="_Toc391015629"/>
      <w:bookmarkStart w:id="1363" w:name="_Toc391016602"/>
      <w:bookmarkStart w:id="1364" w:name="_Toc391017715"/>
      <w:bookmarkStart w:id="1365" w:name="_Toc391018827"/>
      <w:bookmarkStart w:id="1366" w:name="_Toc391014479"/>
      <w:bookmarkStart w:id="1367" w:name="_Toc391015630"/>
      <w:bookmarkStart w:id="1368" w:name="_Toc391016603"/>
      <w:bookmarkStart w:id="1369" w:name="_Toc391017716"/>
      <w:bookmarkStart w:id="1370" w:name="_Toc391018828"/>
      <w:bookmarkStart w:id="1371" w:name="_Toc391014480"/>
      <w:bookmarkStart w:id="1372" w:name="_Toc391015631"/>
      <w:bookmarkStart w:id="1373" w:name="_Toc391016604"/>
      <w:bookmarkStart w:id="1374" w:name="_Toc391017717"/>
      <w:bookmarkStart w:id="1375" w:name="_Toc391018829"/>
      <w:bookmarkStart w:id="1376" w:name="_Toc391014481"/>
      <w:bookmarkStart w:id="1377" w:name="_Toc391015632"/>
      <w:bookmarkStart w:id="1378" w:name="_Toc391016605"/>
      <w:bookmarkStart w:id="1379" w:name="_Toc391017718"/>
      <w:bookmarkStart w:id="1380" w:name="_Toc391018830"/>
      <w:bookmarkStart w:id="1381" w:name="_Toc391014482"/>
      <w:bookmarkStart w:id="1382" w:name="_Toc391015633"/>
      <w:bookmarkStart w:id="1383" w:name="_Toc391016606"/>
      <w:bookmarkStart w:id="1384" w:name="_Toc391017719"/>
      <w:bookmarkStart w:id="1385" w:name="_Toc391018831"/>
      <w:bookmarkStart w:id="1386" w:name="_Toc391014483"/>
      <w:bookmarkStart w:id="1387" w:name="_Toc391015634"/>
      <w:bookmarkStart w:id="1388" w:name="_Toc391016607"/>
      <w:bookmarkStart w:id="1389" w:name="_Toc391017720"/>
      <w:bookmarkStart w:id="1390" w:name="_Toc391018832"/>
      <w:bookmarkStart w:id="1391" w:name="_Toc391014484"/>
      <w:bookmarkStart w:id="1392" w:name="_Toc391015635"/>
      <w:bookmarkStart w:id="1393" w:name="_Toc391016608"/>
      <w:bookmarkStart w:id="1394" w:name="_Toc391017721"/>
      <w:bookmarkStart w:id="1395" w:name="_Toc391018833"/>
      <w:bookmarkStart w:id="1396" w:name="_Toc391014485"/>
      <w:bookmarkStart w:id="1397" w:name="_Toc391015636"/>
      <w:bookmarkStart w:id="1398" w:name="_Toc391016609"/>
      <w:bookmarkStart w:id="1399" w:name="_Toc391017722"/>
      <w:bookmarkStart w:id="1400" w:name="_Toc391018834"/>
      <w:bookmarkStart w:id="1401" w:name="_Toc391014486"/>
      <w:bookmarkStart w:id="1402" w:name="_Toc391015637"/>
      <w:bookmarkStart w:id="1403" w:name="_Toc391016610"/>
      <w:bookmarkStart w:id="1404" w:name="_Toc391017723"/>
      <w:bookmarkStart w:id="1405" w:name="_Toc391018835"/>
      <w:bookmarkStart w:id="1406" w:name="_Toc391014488"/>
      <w:bookmarkStart w:id="1407" w:name="_Toc391015639"/>
      <w:bookmarkStart w:id="1408" w:name="_Toc391016612"/>
      <w:bookmarkStart w:id="1409" w:name="_Toc391017725"/>
      <w:bookmarkStart w:id="1410" w:name="_Toc391018837"/>
      <w:bookmarkStart w:id="1411" w:name="_Toc391014489"/>
      <w:bookmarkStart w:id="1412" w:name="_Toc391015640"/>
      <w:bookmarkStart w:id="1413" w:name="_Toc391016613"/>
      <w:bookmarkStart w:id="1414" w:name="_Toc391017726"/>
      <w:bookmarkStart w:id="1415" w:name="_Toc391018838"/>
      <w:bookmarkStart w:id="1416" w:name="_Toc391014490"/>
      <w:bookmarkStart w:id="1417" w:name="_Toc391015641"/>
      <w:bookmarkStart w:id="1418" w:name="_Toc391016614"/>
      <w:bookmarkStart w:id="1419" w:name="_Toc391017727"/>
      <w:bookmarkStart w:id="1420" w:name="_Toc391018839"/>
      <w:bookmarkStart w:id="1421" w:name="_Toc391014491"/>
      <w:bookmarkStart w:id="1422" w:name="_Toc391015642"/>
      <w:bookmarkStart w:id="1423" w:name="_Toc391016615"/>
      <w:bookmarkStart w:id="1424" w:name="_Toc391017728"/>
      <w:bookmarkStart w:id="1425" w:name="_Toc391018840"/>
      <w:bookmarkStart w:id="1426" w:name="_Toc391014493"/>
      <w:bookmarkStart w:id="1427" w:name="_Toc391015644"/>
      <w:bookmarkStart w:id="1428" w:name="_Toc391016617"/>
      <w:bookmarkStart w:id="1429" w:name="_Toc391017730"/>
      <w:bookmarkStart w:id="1430" w:name="_Toc391018842"/>
      <w:bookmarkStart w:id="1431" w:name="_Toc391014494"/>
      <w:bookmarkStart w:id="1432" w:name="_Toc391015645"/>
      <w:bookmarkStart w:id="1433" w:name="_Toc391016618"/>
      <w:bookmarkStart w:id="1434" w:name="_Toc391017731"/>
      <w:bookmarkStart w:id="1435" w:name="_Toc391018843"/>
      <w:bookmarkStart w:id="1436" w:name="_Toc391014495"/>
      <w:bookmarkStart w:id="1437" w:name="_Toc391015646"/>
      <w:bookmarkStart w:id="1438" w:name="_Toc391016619"/>
      <w:bookmarkStart w:id="1439" w:name="_Toc391017732"/>
      <w:bookmarkStart w:id="1440" w:name="_Toc391018844"/>
      <w:bookmarkStart w:id="1441" w:name="_Toc391014496"/>
      <w:bookmarkStart w:id="1442" w:name="_Toc391015647"/>
      <w:bookmarkStart w:id="1443" w:name="_Toc391016620"/>
      <w:bookmarkStart w:id="1444" w:name="_Toc391017733"/>
      <w:bookmarkStart w:id="1445" w:name="_Toc391018845"/>
      <w:bookmarkStart w:id="1446" w:name="_Toc391014497"/>
      <w:bookmarkStart w:id="1447" w:name="_Toc391015648"/>
      <w:bookmarkStart w:id="1448" w:name="_Toc391016621"/>
      <w:bookmarkStart w:id="1449" w:name="_Toc391017734"/>
      <w:bookmarkStart w:id="1450" w:name="_Toc391018846"/>
      <w:bookmarkStart w:id="1451" w:name="_Toc391014498"/>
      <w:bookmarkStart w:id="1452" w:name="_Toc391015649"/>
      <w:bookmarkStart w:id="1453" w:name="_Toc391016622"/>
      <w:bookmarkStart w:id="1454" w:name="_Toc391017735"/>
      <w:bookmarkStart w:id="1455" w:name="_Toc391018847"/>
      <w:bookmarkStart w:id="1456" w:name="_Toc391014499"/>
      <w:bookmarkStart w:id="1457" w:name="_Toc391015650"/>
      <w:bookmarkStart w:id="1458" w:name="_Toc391016623"/>
      <w:bookmarkStart w:id="1459" w:name="_Toc391017736"/>
      <w:bookmarkStart w:id="1460" w:name="_Toc391018848"/>
      <w:bookmarkStart w:id="1461" w:name="_Toc391014500"/>
      <w:bookmarkStart w:id="1462" w:name="_Toc391015651"/>
      <w:bookmarkStart w:id="1463" w:name="_Toc391016624"/>
      <w:bookmarkStart w:id="1464" w:name="_Toc391017737"/>
      <w:bookmarkStart w:id="1465" w:name="_Toc391018849"/>
      <w:bookmarkStart w:id="1466" w:name="_Toc391014501"/>
      <w:bookmarkStart w:id="1467" w:name="_Toc391015652"/>
      <w:bookmarkStart w:id="1468" w:name="_Toc391016625"/>
      <w:bookmarkStart w:id="1469" w:name="_Toc391017738"/>
      <w:bookmarkStart w:id="1470" w:name="_Toc391018850"/>
      <w:bookmarkStart w:id="1471" w:name="_Toc391014502"/>
      <w:bookmarkStart w:id="1472" w:name="_Toc391015653"/>
      <w:bookmarkStart w:id="1473" w:name="_Toc391016626"/>
      <w:bookmarkStart w:id="1474" w:name="_Toc391017739"/>
      <w:bookmarkStart w:id="1475" w:name="_Toc391018851"/>
      <w:bookmarkStart w:id="1476" w:name="_Toc391014503"/>
      <w:bookmarkStart w:id="1477" w:name="_Toc391015654"/>
      <w:bookmarkStart w:id="1478" w:name="_Toc391016627"/>
      <w:bookmarkStart w:id="1479" w:name="_Toc391017740"/>
      <w:bookmarkStart w:id="1480" w:name="_Toc391018852"/>
      <w:bookmarkStart w:id="1481" w:name="_Toc391014504"/>
      <w:bookmarkStart w:id="1482" w:name="_Toc391015655"/>
      <w:bookmarkStart w:id="1483" w:name="_Toc391016628"/>
      <w:bookmarkStart w:id="1484" w:name="_Toc391017741"/>
      <w:bookmarkStart w:id="1485" w:name="_Toc391018853"/>
      <w:bookmarkStart w:id="1486" w:name="_Toc391014506"/>
      <w:bookmarkStart w:id="1487" w:name="_Toc391015657"/>
      <w:bookmarkStart w:id="1488" w:name="_Toc391016630"/>
      <w:bookmarkStart w:id="1489" w:name="_Toc391017743"/>
      <w:bookmarkStart w:id="1490" w:name="_Toc391018855"/>
      <w:bookmarkStart w:id="1491" w:name="_Toc391014507"/>
      <w:bookmarkStart w:id="1492" w:name="_Toc391015658"/>
      <w:bookmarkStart w:id="1493" w:name="_Toc391016631"/>
      <w:bookmarkStart w:id="1494" w:name="_Toc391017744"/>
      <w:bookmarkStart w:id="1495" w:name="_Toc391018856"/>
      <w:bookmarkStart w:id="1496" w:name="_Toc391014508"/>
      <w:bookmarkStart w:id="1497" w:name="_Toc391015659"/>
      <w:bookmarkStart w:id="1498" w:name="_Toc391016632"/>
      <w:bookmarkStart w:id="1499" w:name="_Toc391017745"/>
      <w:bookmarkStart w:id="1500" w:name="_Toc391018857"/>
      <w:bookmarkStart w:id="1501" w:name="_Toc391014509"/>
      <w:bookmarkStart w:id="1502" w:name="_Toc391015660"/>
      <w:bookmarkStart w:id="1503" w:name="_Toc391016633"/>
      <w:bookmarkStart w:id="1504" w:name="_Toc391017746"/>
      <w:bookmarkStart w:id="1505" w:name="_Toc391018858"/>
      <w:bookmarkStart w:id="1506" w:name="_Toc391014510"/>
      <w:bookmarkStart w:id="1507" w:name="_Toc391015661"/>
      <w:bookmarkStart w:id="1508" w:name="_Toc391016634"/>
      <w:bookmarkStart w:id="1509" w:name="_Toc391017747"/>
      <w:bookmarkStart w:id="1510" w:name="_Toc391018859"/>
      <w:bookmarkStart w:id="1511" w:name="_Toc391014511"/>
      <w:bookmarkStart w:id="1512" w:name="_Toc391015662"/>
      <w:bookmarkStart w:id="1513" w:name="_Toc391016635"/>
      <w:bookmarkStart w:id="1514" w:name="_Toc391017748"/>
      <w:bookmarkStart w:id="1515" w:name="_Toc391018860"/>
      <w:bookmarkStart w:id="1516" w:name="_Toc391014513"/>
      <w:bookmarkStart w:id="1517" w:name="_Toc391015664"/>
      <w:bookmarkStart w:id="1518" w:name="_Toc391016637"/>
      <w:bookmarkStart w:id="1519" w:name="_Toc391017750"/>
      <w:bookmarkStart w:id="1520" w:name="_Toc391018862"/>
      <w:bookmarkStart w:id="1521" w:name="_Toc391014514"/>
      <w:bookmarkStart w:id="1522" w:name="_Toc391015665"/>
      <w:bookmarkStart w:id="1523" w:name="_Toc391016638"/>
      <w:bookmarkStart w:id="1524" w:name="_Toc391017751"/>
      <w:bookmarkStart w:id="1525" w:name="_Toc391018863"/>
      <w:bookmarkStart w:id="1526" w:name="_Toc391014515"/>
      <w:bookmarkStart w:id="1527" w:name="_Toc391015666"/>
      <w:bookmarkStart w:id="1528" w:name="_Toc391016639"/>
      <w:bookmarkStart w:id="1529" w:name="_Toc391017752"/>
      <w:bookmarkStart w:id="1530" w:name="_Toc391018864"/>
      <w:bookmarkStart w:id="1531" w:name="_Toc391014516"/>
      <w:bookmarkStart w:id="1532" w:name="_Toc391015667"/>
      <w:bookmarkStart w:id="1533" w:name="_Toc391016640"/>
      <w:bookmarkStart w:id="1534" w:name="_Toc391017753"/>
      <w:bookmarkStart w:id="1535" w:name="_Toc391018865"/>
      <w:bookmarkStart w:id="1536" w:name="_Toc391014517"/>
      <w:bookmarkStart w:id="1537" w:name="_Toc391015668"/>
      <w:bookmarkStart w:id="1538" w:name="_Toc391016641"/>
      <w:bookmarkStart w:id="1539" w:name="_Toc391017754"/>
      <w:bookmarkStart w:id="1540" w:name="_Toc391018866"/>
      <w:bookmarkStart w:id="1541" w:name="_Toc391014518"/>
      <w:bookmarkStart w:id="1542" w:name="_Toc391015669"/>
      <w:bookmarkStart w:id="1543" w:name="_Toc391016642"/>
      <w:bookmarkStart w:id="1544" w:name="_Toc391017755"/>
      <w:bookmarkStart w:id="1545" w:name="_Toc391018867"/>
      <w:bookmarkStart w:id="1546" w:name="_Toc391014520"/>
      <w:bookmarkStart w:id="1547" w:name="_Toc391015671"/>
      <w:bookmarkStart w:id="1548" w:name="_Toc391016644"/>
      <w:bookmarkStart w:id="1549" w:name="_Toc391017757"/>
      <w:bookmarkStart w:id="1550" w:name="_Toc391018869"/>
      <w:bookmarkStart w:id="1551" w:name="_Toc391014521"/>
      <w:bookmarkStart w:id="1552" w:name="_Toc391015672"/>
      <w:bookmarkStart w:id="1553" w:name="_Toc391016645"/>
      <w:bookmarkStart w:id="1554" w:name="_Toc391017758"/>
      <w:bookmarkStart w:id="1555" w:name="_Toc391018870"/>
      <w:bookmarkStart w:id="1556" w:name="_Toc391014522"/>
      <w:bookmarkStart w:id="1557" w:name="_Toc391015673"/>
      <w:bookmarkStart w:id="1558" w:name="_Toc391016646"/>
      <w:bookmarkStart w:id="1559" w:name="_Toc391017759"/>
      <w:bookmarkStart w:id="1560" w:name="_Toc391018871"/>
      <w:bookmarkStart w:id="1561" w:name="_Toc391014523"/>
      <w:bookmarkStart w:id="1562" w:name="_Toc391015674"/>
      <w:bookmarkStart w:id="1563" w:name="_Toc391016647"/>
      <w:bookmarkStart w:id="1564" w:name="_Toc391017760"/>
      <w:bookmarkStart w:id="1565" w:name="_Toc391018872"/>
      <w:bookmarkStart w:id="1566" w:name="_Toc391014524"/>
      <w:bookmarkStart w:id="1567" w:name="_Toc391015675"/>
      <w:bookmarkStart w:id="1568" w:name="_Toc391016648"/>
      <w:bookmarkStart w:id="1569" w:name="_Toc391017761"/>
      <w:bookmarkStart w:id="1570" w:name="_Toc391018873"/>
      <w:bookmarkStart w:id="1571" w:name="_Toc391014525"/>
      <w:bookmarkStart w:id="1572" w:name="_Toc391015676"/>
      <w:bookmarkStart w:id="1573" w:name="_Toc391016649"/>
      <w:bookmarkStart w:id="1574" w:name="_Toc391017762"/>
      <w:bookmarkStart w:id="1575" w:name="_Toc391018874"/>
      <w:bookmarkStart w:id="1576" w:name="_Toc391014526"/>
      <w:bookmarkStart w:id="1577" w:name="_Toc391015677"/>
      <w:bookmarkStart w:id="1578" w:name="_Toc391016650"/>
      <w:bookmarkStart w:id="1579" w:name="_Toc391017763"/>
      <w:bookmarkStart w:id="1580" w:name="_Toc391018875"/>
      <w:bookmarkStart w:id="1581" w:name="_Toc391014527"/>
      <w:bookmarkStart w:id="1582" w:name="_Toc391015678"/>
      <w:bookmarkStart w:id="1583" w:name="_Toc391016651"/>
      <w:bookmarkStart w:id="1584" w:name="_Toc391017764"/>
      <w:bookmarkStart w:id="1585" w:name="_Toc391018876"/>
      <w:bookmarkStart w:id="1586" w:name="_Toc391014528"/>
      <w:bookmarkStart w:id="1587" w:name="_Toc391015679"/>
      <w:bookmarkStart w:id="1588" w:name="_Toc391016652"/>
      <w:bookmarkStart w:id="1589" w:name="_Toc391017765"/>
      <w:bookmarkStart w:id="1590" w:name="_Toc391018877"/>
      <w:bookmarkStart w:id="1591" w:name="_Toc391014529"/>
      <w:bookmarkStart w:id="1592" w:name="_Toc391015680"/>
      <w:bookmarkStart w:id="1593" w:name="_Toc391016653"/>
      <w:bookmarkStart w:id="1594" w:name="_Toc391017766"/>
      <w:bookmarkStart w:id="1595" w:name="_Toc391018878"/>
      <w:bookmarkStart w:id="1596" w:name="_Toc391014530"/>
      <w:bookmarkStart w:id="1597" w:name="_Toc391015681"/>
      <w:bookmarkStart w:id="1598" w:name="_Toc391016654"/>
      <w:bookmarkStart w:id="1599" w:name="_Toc391017767"/>
      <w:bookmarkStart w:id="1600" w:name="_Toc391018879"/>
      <w:bookmarkStart w:id="1601" w:name="_Toc391014531"/>
      <w:bookmarkStart w:id="1602" w:name="_Toc391015682"/>
      <w:bookmarkStart w:id="1603" w:name="_Toc391016655"/>
      <w:bookmarkStart w:id="1604" w:name="_Toc391017768"/>
      <w:bookmarkStart w:id="1605" w:name="_Toc391018880"/>
      <w:bookmarkStart w:id="1606" w:name="_Toc391014532"/>
      <w:bookmarkStart w:id="1607" w:name="_Toc391015683"/>
      <w:bookmarkStart w:id="1608" w:name="_Toc391016656"/>
      <w:bookmarkStart w:id="1609" w:name="_Toc391017769"/>
      <w:bookmarkStart w:id="1610" w:name="_Toc391018881"/>
      <w:bookmarkStart w:id="1611" w:name="_Toc391014533"/>
      <w:bookmarkStart w:id="1612" w:name="_Toc391015684"/>
      <w:bookmarkStart w:id="1613" w:name="_Toc391016657"/>
      <w:bookmarkStart w:id="1614" w:name="_Toc391017770"/>
      <w:bookmarkStart w:id="1615" w:name="_Toc391018882"/>
      <w:bookmarkStart w:id="1616" w:name="_Toc391014534"/>
      <w:bookmarkStart w:id="1617" w:name="_Toc391015685"/>
      <w:bookmarkStart w:id="1618" w:name="_Toc391016658"/>
      <w:bookmarkStart w:id="1619" w:name="_Toc391017771"/>
      <w:bookmarkStart w:id="1620" w:name="_Toc391018883"/>
      <w:bookmarkStart w:id="1621" w:name="_Toc391014535"/>
      <w:bookmarkStart w:id="1622" w:name="_Toc391015686"/>
      <w:bookmarkStart w:id="1623" w:name="_Toc391016659"/>
      <w:bookmarkStart w:id="1624" w:name="_Toc391017772"/>
      <w:bookmarkStart w:id="1625" w:name="_Toc391018884"/>
      <w:bookmarkStart w:id="1626" w:name="_Toc391014536"/>
      <w:bookmarkStart w:id="1627" w:name="_Toc391015687"/>
      <w:bookmarkStart w:id="1628" w:name="_Toc391016660"/>
      <w:bookmarkStart w:id="1629" w:name="_Toc391017773"/>
      <w:bookmarkStart w:id="1630" w:name="_Toc391018885"/>
      <w:bookmarkStart w:id="1631" w:name="_Toc391014537"/>
      <w:bookmarkStart w:id="1632" w:name="_Toc391015688"/>
      <w:bookmarkStart w:id="1633" w:name="_Toc391016661"/>
      <w:bookmarkStart w:id="1634" w:name="_Toc391017774"/>
      <w:bookmarkStart w:id="1635" w:name="_Toc391018886"/>
      <w:bookmarkStart w:id="1636" w:name="_Toc391014538"/>
      <w:bookmarkStart w:id="1637" w:name="_Toc391015689"/>
      <w:bookmarkStart w:id="1638" w:name="_Toc391016662"/>
      <w:bookmarkStart w:id="1639" w:name="_Toc391017775"/>
      <w:bookmarkStart w:id="1640" w:name="_Toc391018887"/>
      <w:bookmarkStart w:id="1641" w:name="_Toc391014539"/>
      <w:bookmarkStart w:id="1642" w:name="_Toc391015690"/>
      <w:bookmarkStart w:id="1643" w:name="_Toc391016663"/>
      <w:bookmarkStart w:id="1644" w:name="_Toc391017776"/>
      <w:bookmarkStart w:id="1645" w:name="_Toc391018888"/>
      <w:bookmarkStart w:id="1646" w:name="_Toc391014540"/>
      <w:bookmarkStart w:id="1647" w:name="_Toc391015691"/>
      <w:bookmarkStart w:id="1648" w:name="_Toc391016664"/>
      <w:bookmarkStart w:id="1649" w:name="_Toc391017777"/>
      <w:bookmarkStart w:id="1650" w:name="_Toc391018889"/>
      <w:bookmarkStart w:id="1651" w:name="_Toc391014541"/>
      <w:bookmarkStart w:id="1652" w:name="_Toc391015692"/>
      <w:bookmarkStart w:id="1653" w:name="_Toc391016665"/>
      <w:bookmarkStart w:id="1654" w:name="_Toc391017778"/>
      <w:bookmarkStart w:id="1655" w:name="_Toc391018890"/>
      <w:bookmarkStart w:id="1656" w:name="_Toc391014542"/>
      <w:bookmarkStart w:id="1657" w:name="_Toc391015693"/>
      <w:bookmarkStart w:id="1658" w:name="_Toc391016666"/>
      <w:bookmarkStart w:id="1659" w:name="_Toc391017779"/>
      <w:bookmarkStart w:id="1660" w:name="_Toc391018891"/>
      <w:bookmarkStart w:id="1661" w:name="_Toc391014544"/>
      <w:bookmarkStart w:id="1662" w:name="_Toc391015695"/>
      <w:bookmarkStart w:id="1663" w:name="_Toc391016668"/>
      <w:bookmarkStart w:id="1664" w:name="_Toc391017781"/>
      <w:bookmarkStart w:id="1665" w:name="_Toc391018893"/>
      <w:bookmarkStart w:id="1666" w:name="_Toc391014545"/>
      <w:bookmarkStart w:id="1667" w:name="_Toc391015696"/>
      <w:bookmarkStart w:id="1668" w:name="_Toc391016669"/>
      <w:bookmarkStart w:id="1669" w:name="_Toc391017782"/>
      <w:bookmarkStart w:id="1670" w:name="_Toc391018894"/>
      <w:bookmarkStart w:id="1671" w:name="_Toc391014546"/>
      <w:bookmarkStart w:id="1672" w:name="_Toc391015697"/>
      <w:bookmarkStart w:id="1673" w:name="_Toc391016670"/>
      <w:bookmarkStart w:id="1674" w:name="_Toc391017783"/>
      <w:bookmarkStart w:id="1675" w:name="_Toc391018895"/>
      <w:bookmarkStart w:id="1676" w:name="_Toc391014547"/>
      <w:bookmarkStart w:id="1677" w:name="_Toc391015698"/>
      <w:bookmarkStart w:id="1678" w:name="_Toc391016671"/>
      <w:bookmarkStart w:id="1679" w:name="_Toc391017784"/>
      <w:bookmarkStart w:id="1680" w:name="_Toc391018896"/>
      <w:bookmarkStart w:id="1681" w:name="_Toc391014548"/>
      <w:bookmarkStart w:id="1682" w:name="_Toc391015699"/>
      <w:bookmarkStart w:id="1683" w:name="_Toc391016672"/>
      <w:bookmarkStart w:id="1684" w:name="_Toc391017785"/>
      <w:bookmarkStart w:id="1685" w:name="_Toc391018897"/>
      <w:bookmarkStart w:id="1686" w:name="_Toc391014549"/>
      <w:bookmarkStart w:id="1687" w:name="_Toc391015700"/>
      <w:bookmarkStart w:id="1688" w:name="_Toc391016673"/>
      <w:bookmarkStart w:id="1689" w:name="_Toc391017786"/>
      <w:bookmarkStart w:id="1690" w:name="_Toc391018898"/>
      <w:bookmarkStart w:id="1691" w:name="_Toc391014550"/>
      <w:bookmarkStart w:id="1692" w:name="_Toc391015701"/>
      <w:bookmarkStart w:id="1693" w:name="_Toc391016674"/>
      <w:bookmarkStart w:id="1694" w:name="_Toc391017787"/>
      <w:bookmarkStart w:id="1695" w:name="_Toc391018899"/>
      <w:bookmarkStart w:id="1696" w:name="_Toc391014551"/>
      <w:bookmarkStart w:id="1697" w:name="_Toc391015702"/>
      <w:bookmarkStart w:id="1698" w:name="_Toc391016675"/>
      <w:bookmarkStart w:id="1699" w:name="_Toc391017788"/>
      <w:bookmarkStart w:id="1700" w:name="_Toc391018900"/>
      <w:bookmarkStart w:id="1701" w:name="_Toc391014552"/>
      <w:bookmarkStart w:id="1702" w:name="_Toc391015703"/>
      <w:bookmarkStart w:id="1703" w:name="_Toc391016676"/>
      <w:bookmarkStart w:id="1704" w:name="_Toc391017789"/>
      <w:bookmarkStart w:id="1705" w:name="_Toc391018901"/>
      <w:bookmarkStart w:id="1706" w:name="_Toc391014553"/>
      <w:bookmarkStart w:id="1707" w:name="_Toc391015704"/>
      <w:bookmarkStart w:id="1708" w:name="_Toc391016677"/>
      <w:bookmarkStart w:id="1709" w:name="_Toc391017790"/>
      <w:bookmarkStart w:id="1710" w:name="_Toc391018902"/>
      <w:bookmarkStart w:id="1711" w:name="_Toc391014554"/>
      <w:bookmarkStart w:id="1712" w:name="_Toc391015705"/>
      <w:bookmarkStart w:id="1713" w:name="_Toc391016678"/>
      <w:bookmarkStart w:id="1714" w:name="_Toc391017791"/>
      <w:bookmarkStart w:id="1715" w:name="_Toc391018903"/>
      <w:bookmarkStart w:id="1716" w:name="_Toc391014555"/>
      <w:bookmarkStart w:id="1717" w:name="_Toc391015706"/>
      <w:bookmarkStart w:id="1718" w:name="_Toc391016679"/>
      <w:bookmarkStart w:id="1719" w:name="_Toc391017792"/>
      <w:bookmarkStart w:id="1720" w:name="_Toc391018904"/>
      <w:bookmarkStart w:id="1721" w:name="_Toc391014556"/>
      <w:bookmarkStart w:id="1722" w:name="_Toc391015707"/>
      <w:bookmarkStart w:id="1723" w:name="_Toc391016680"/>
      <w:bookmarkStart w:id="1724" w:name="_Toc391017793"/>
      <w:bookmarkStart w:id="1725" w:name="_Toc391018905"/>
      <w:bookmarkStart w:id="1726" w:name="_Toc391014557"/>
      <w:bookmarkStart w:id="1727" w:name="_Toc391015708"/>
      <w:bookmarkStart w:id="1728" w:name="_Toc391016681"/>
      <w:bookmarkStart w:id="1729" w:name="_Toc391017794"/>
      <w:bookmarkStart w:id="1730" w:name="_Toc391018906"/>
      <w:bookmarkStart w:id="1731" w:name="_Toc391014559"/>
      <w:bookmarkStart w:id="1732" w:name="_Toc391015710"/>
      <w:bookmarkStart w:id="1733" w:name="_Toc391016683"/>
      <w:bookmarkStart w:id="1734" w:name="_Toc391017796"/>
      <w:bookmarkStart w:id="1735" w:name="_Toc391018908"/>
      <w:bookmarkStart w:id="1736" w:name="_Toc391014561"/>
      <w:bookmarkStart w:id="1737" w:name="_Toc391015712"/>
      <w:bookmarkStart w:id="1738" w:name="_Toc391016685"/>
      <w:bookmarkStart w:id="1739" w:name="_Toc391017798"/>
      <w:bookmarkStart w:id="1740" w:name="_Toc391018910"/>
      <w:bookmarkStart w:id="1741" w:name="_Toc391014563"/>
      <w:bookmarkStart w:id="1742" w:name="_Toc391015714"/>
      <w:bookmarkStart w:id="1743" w:name="_Toc391016687"/>
      <w:bookmarkStart w:id="1744" w:name="_Toc391017800"/>
      <w:bookmarkStart w:id="1745" w:name="_Toc391018912"/>
      <w:bookmarkStart w:id="1746" w:name="_Toc391014564"/>
      <w:bookmarkStart w:id="1747" w:name="_Toc391015715"/>
      <w:bookmarkStart w:id="1748" w:name="_Toc391016688"/>
      <w:bookmarkStart w:id="1749" w:name="_Toc391017801"/>
      <w:bookmarkStart w:id="1750" w:name="_Toc391018913"/>
      <w:bookmarkStart w:id="1751" w:name="_Toc391014565"/>
      <w:bookmarkStart w:id="1752" w:name="_Toc391015716"/>
      <w:bookmarkStart w:id="1753" w:name="_Toc391016689"/>
      <w:bookmarkStart w:id="1754" w:name="_Toc391017802"/>
      <w:bookmarkStart w:id="1755" w:name="_Toc391018914"/>
      <w:bookmarkStart w:id="1756" w:name="_Toc391014566"/>
      <w:bookmarkStart w:id="1757" w:name="_Toc391015717"/>
      <w:bookmarkStart w:id="1758" w:name="_Toc391016690"/>
      <w:bookmarkStart w:id="1759" w:name="_Toc391017803"/>
      <w:bookmarkStart w:id="1760" w:name="_Toc391018915"/>
      <w:bookmarkStart w:id="1761" w:name="_Toc391014567"/>
      <w:bookmarkStart w:id="1762" w:name="_Toc391015718"/>
      <w:bookmarkStart w:id="1763" w:name="_Toc391016691"/>
      <w:bookmarkStart w:id="1764" w:name="_Toc391017804"/>
      <w:bookmarkStart w:id="1765" w:name="_Toc391018916"/>
      <w:bookmarkStart w:id="1766" w:name="_Toc391014568"/>
      <w:bookmarkStart w:id="1767" w:name="_Toc391015719"/>
      <w:bookmarkStart w:id="1768" w:name="_Toc391016692"/>
      <w:bookmarkStart w:id="1769" w:name="_Toc391017805"/>
      <w:bookmarkStart w:id="1770" w:name="_Toc391018917"/>
      <w:bookmarkStart w:id="1771" w:name="_Toc391014569"/>
      <w:bookmarkStart w:id="1772" w:name="_Toc391015720"/>
      <w:bookmarkStart w:id="1773" w:name="_Toc391016693"/>
      <w:bookmarkStart w:id="1774" w:name="_Toc391017806"/>
      <w:bookmarkStart w:id="1775" w:name="_Toc391018918"/>
      <w:bookmarkStart w:id="1776" w:name="_Toc391014570"/>
      <w:bookmarkStart w:id="1777" w:name="_Toc391015721"/>
      <w:bookmarkStart w:id="1778" w:name="_Toc391016694"/>
      <w:bookmarkStart w:id="1779" w:name="_Toc391017807"/>
      <w:bookmarkStart w:id="1780" w:name="_Toc391018919"/>
      <w:bookmarkStart w:id="1781" w:name="_Toc391014571"/>
      <w:bookmarkStart w:id="1782" w:name="_Toc391015722"/>
      <w:bookmarkStart w:id="1783" w:name="_Toc391016695"/>
      <w:bookmarkStart w:id="1784" w:name="_Toc391017808"/>
      <w:bookmarkStart w:id="1785" w:name="_Toc391018920"/>
      <w:bookmarkStart w:id="1786" w:name="_Toc391014572"/>
      <w:bookmarkStart w:id="1787" w:name="_Toc391015723"/>
      <w:bookmarkStart w:id="1788" w:name="_Toc391016696"/>
      <w:bookmarkStart w:id="1789" w:name="_Toc391017809"/>
      <w:bookmarkStart w:id="1790" w:name="_Toc391018921"/>
      <w:bookmarkStart w:id="1791" w:name="_Toc391014573"/>
      <w:bookmarkStart w:id="1792" w:name="_Toc391015724"/>
      <w:bookmarkStart w:id="1793" w:name="_Toc391016697"/>
      <w:bookmarkStart w:id="1794" w:name="_Toc391017810"/>
      <w:bookmarkStart w:id="1795" w:name="_Toc391018922"/>
      <w:bookmarkStart w:id="1796" w:name="_Toc391014574"/>
      <w:bookmarkStart w:id="1797" w:name="_Toc391015725"/>
      <w:bookmarkStart w:id="1798" w:name="_Toc391016698"/>
      <w:bookmarkStart w:id="1799" w:name="_Toc391017811"/>
      <w:bookmarkStart w:id="1800" w:name="_Toc391018923"/>
      <w:bookmarkStart w:id="1801" w:name="_Toc391014575"/>
      <w:bookmarkStart w:id="1802" w:name="_Toc391015726"/>
      <w:bookmarkStart w:id="1803" w:name="_Toc391016699"/>
      <w:bookmarkStart w:id="1804" w:name="_Toc391017812"/>
      <w:bookmarkStart w:id="1805" w:name="_Toc391018924"/>
      <w:bookmarkStart w:id="1806" w:name="_Toc391014576"/>
      <w:bookmarkStart w:id="1807" w:name="_Toc391015727"/>
      <w:bookmarkStart w:id="1808" w:name="_Toc391016700"/>
      <w:bookmarkStart w:id="1809" w:name="_Toc391017813"/>
      <w:bookmarkStart w:id="1810" w:name="_Toc391018925"/>
      <w:bookmarkStart w:id="1811" w:name="_Toc391014577"/>
      <w:bookmarkStart w:id="1812" w:name="_Toc391015728"/>
      <w:bookmarkStart w:id="1813" w:name="_Toc391016701"/>
      <w:bookmarkStart w:id="1814" w:name="_Toc391017814"/>
      <w:bookmarkStart w:id="1815" w:name="_Toc391018926"/>
      <w:bookmarkStart w:id="1816" w:name="_Toc391014578"/>
      <w:bookmarkStart w:id="1817" w:name="_Toc391015729"/>
      <w:bookmarkStart w:id="1818" w:name="_Toc391016702"/>
      <w:bookmarkStart w:id="1819" w:name="_Toc391017815"/>
      <w:bookmarkStart w:id="1820" w:name="_Toc391018927"/>
      <w:bookmarkStart w:id="1821" w:name="_Toc391014579"/>
      <w:bookmarkStart w:id="1822" w:name="_Toc391015730"/>
      <w:bookmarkStart w:id="1823" w:name="_Toc391016703"/>
      <w:bookmarkStart w:id="1824" w:name="_Toc391017816"/>
      <w:bookmarkStart w:id="1825" w:name="_Toc391018928"/>
      <w:bookmarkStart w:id="1826" w:name="_Toc391014580"/>
      <w:bookmarkStart w:id="1827" w:name="_Toc391015731"/>
      <w:bookmarkStart w:id="1828" w:name="_Toc391016704"/>
      <w:bookmarkStart w:id="1829" w:name="_Toc391017817"/>
      <w:bookmarkStart w:id="1830" w:name="_Toc391018929"/>
      <w:bookmarkStart w:id="1831" w:name="_Toc391014581"/>
      <w:bookmarkStart w:id="1832" w:name="_Toc391015732"/>
      <w:bookmarkStart w:id="1833" w:name="_Toc391016705"/>
      <w:bookmarkStart w:id="1834" w:name="_Toc391017818"/>
      <w:bookmarkStart w:id="1835" w:name="_Toc391018930"/>
      <w:bookmarkStart w:id="1836" w:name="_Toc391014582"/>
      <w:bookmarkStart w:id="1837" w:name="_Toc391015733"/>
      <w:bookmarkStart w:id="1838" w:name="_Toc391016706"/>
      <w:bookmarkStart w:id="1839" w:name="_Toc391017819"/>
      <w:bookmarkStart w:id="1840" w:name="_Toc391018931"/>
      <w:bookmarkStart w:id="1841" w:name="_Toc391014583"/>
      <w:bookmarkStart w:id="1842" w:name="_Toc391015734"/>
      <w:bookmarkStart w:id="1843" w:name="_Toc391016707"/>
      <w:bookmarkStart w:id="1844" w:name="_Toc391017820"/>
      <w:bookmarkStart w:id="1845" w:name="_Toc391018932"/>
      <w:bookmarkStart w:id="1846" w:name="_Toc391014584"/>
      <w:bookmarkStart w:id="1847" w:name="_Toc391015735"/>
      <w:bookmarkStart w:id="1848" w:name="_Toc391016708"/>
      <w:bookmarkStart w:id="1849" w:name="_Toc391017821"/>
      <w:bookmarkStart w:id="1850" w:name="_Toc391018933"/>
      <w:bookmarkStart w:id="1851" w:name="_Toc391014585"/>
      <w:bookmarkStart w:id="1852" w:name="_Toc391015736"/>
      <w:bookmarkStart w:id="1853" w:name="_Toc391016709"/>
      <w:bookmarkStart w:id="1854" w:name="_Toc391017822"/>
      <w:bookmarkStart w:id="1855" w:name="_Toc391018934"/>
      <w:bookmarkStart w:id="1856" w:name="_Toc391014586"/>
      <w:bookmarkStart w:id="1857" w:name="_Toc391015737"/>
      <w:bookmarkStart w:id="1858" w:name="_Toc391016710"/>
      <w:bookmarkStart w:id="1859" w:name="_Toc391017823"/>
      <w:bookmarkStart w:id="1860" w:name="_Toc391018935"/>
      <w:bookmarkStart w:id="1861" w:name="_Toc391014587"/>
      <w:bookmarkStart w:id="1862" w:name="_Toc391015738"/>
      <w:bookmarkStart w:id="1863" w:name="_Toc391016711"/>
      <w:bookmarkStart w:id="1864" w:name="_Toc391017824"/>
      <w:bookmarkStart w:id="1865" w:name="_Toc391018936"/>
      <w:bookmarkStart w:id="1866" w:name="_Toc391014588"/>
      <w:bookmarkStart w:id="1867" w:name="_Toc391015739"/>
      <w:bookmarkStart w:id="1868" w:name="_Toc391016712"/>
      <w:bookmarkStart w:id="1869" w:name="_Toc391017825"/>
      <w:bookmarkStart w:id="1870" w:name="_Toc391018937"/>
      <w:bookmarkStart w:id="1871" w:name="_Toc391014589"/>
      <w:bookmarkStart w:id="1872" w:name="_Toc391015740"/>
      <w:bookmarkStart w:id="1873" w:name="_Toc391016713"/>
      <w:bookmarkStart w:id="1874" w:name="_Toc391017826"/>
      <w:bookmarkStart w:id="1875" w:name="_Toc391018938"/>
      <w:bookmarkStart w:id="1876" w:name="_Toc391014590"/>
      <w:bookmarkStart w:id="1877" w:name="_Toc391015741"/>
      <w:bookmarkStart w:id="1878" w:name="_Toc391016714"/>
      <w:bookmarkStart w:id="1879" w:name="_Toc391017827"/>
      <w:bookmarkStart w:id="1880" w:name="_Toc391018939"/>
      <w:bookmarkStart w:id="1881" w:name="_Toc391014591"/>
      <w:bookmarkStart w:id="1882" w:name="_Toc391015742"/>
      <w:bookmarkStart w:id="1883" w:name="_Toc391016715"/>
      <w:bookmarkStart w:id="1884" w:name="_Toc391017828"/>
      <w:bookmarkStart w:id="1885" w:name="_Toc391018940"/>
      <w:bookmarkStart w:id="1886" w:name="_Toc391014592"/>
      <w:bookmarkStart w:id="1887" w:name="_Toc391015743"/>
      <w:bookmarkStart w:id="1888" w:name="_Toc391016716"/>
      <w:bookmarkStart w:id="1889" w:name="_Toc391017829"/>
      <w:bookmarkStart w:id="1890" w:name="_Toc391018941"/>
      <w:bookmarkStart w:id="1891" w:name="_Toc391014593"/>
      <w:bookmarkStart w:id="1892" w:name="_Toc391015744"/>
      <w:bookmarkStart w:id="1893" w:name="_Toc391016717"/>
      <w:bookmarkStart w:id="1894" w:name="_Toc391017830"/>
      <w:bookmarkStart w:id="1895" w:name="_Toc391018942"/>
      <w:bookmarkStart w:id="1896" w:name="_Toc391014594"/>
      <w:bookmarkStart w:id="1897" w:name="_Toc391015745"/>
      <w:bookmarkStart w:id="1898" w:name="_Toc391016718"/>
      <w:bookmarkStart w:id="1899" w:name="_Toc391017831"/>
      <w:bookmarkStart w:id="1900" w:name="_Toc391018943"/>
      <w:bookmarkStart w:id="1901" w:name="_Toc391014595"/>
      <w:bookmarkStart w:id="1902" w:name="_Toc391015746"/>
      <w:bookmarkStart w:id="1903" w:name="_Toc391016719"/>
      <w:bookmarkStart w:id="1904" w:name="_Toc391017832"/>
      <w:bookmarkStart w:id="1905" w:name="_Toc391018944"/>
      <w:bookmarkStart w:id="1906" w:name="_Toc391014596"/>
      <w:bookmarkStart w:id="1907" w:name="_Toc391015747"/>
      <w:bookmarkStart w:id="1908" w:name="_Toc391016720"/>
      <w:bookmarkStart w:id="1909" w:name="_Toc391017833"/>
      <w:bookmarkStart w:id="1910" w:name="_Toc391018945"/>
      <w:bookmarkStart w:id="1911" w:name="_Toc391014597"/>
      <w:bookmarkStart w:id="1912" w:name="_Toc391015748"/>
      <w:bookmarkStart w:id="1913" w:name="_Toc391016721"/>
      <w:bookmarkStart w:id="1914" w:name="_Toc391017834"/>
      <w:bookmarkStart w:id="1915" w:name="_Toc391018946"/>
      <w:bookmarkStart w:id="1916" w:name="_Toc391014598"/>
      <w:bookmarkStart w:id="1917" w:name="_Toc391015749"/>
      <w:bookmarkStart w:id="1918" w:name="_Toc391016722"/>
      <w:bookmarkStart w:id="1919" w:name="_Toc391017835"/>
      <w:bookmarkStart w:id="1920" w:name="_Toc391018947"/>
      <w:bookmarkStart w:id="1921" w:name="_Toc391014599"/>
      <w:bookmarkStart w:id="1922" w:name="_Toc391015750"/>
      <w:bookmarkStart w:id="1923" w:name="_Toc391016723"/>
      <w:bookmarkStart w:id="1924" w:name="_Toc391017836"/>
      <w:bookmarkStart w:id="1925" w:name="_Toc391018948"/>
      <w:bookmarkStart w:id="1926" w:name="_Toc391014600"/>
      <w:bookmarkStart w:id="1927" w:name="_Toc391015751"/>
      <w:bookmarkStart w:id="1928" w:name="_Toc391016724"/>
      <w:bookmarkStart w:id="1929" w:name="_Toc391017837"/>
      <w:bookmarkStart w:id="1930" w:name="_Toc391018949"/>
      <w:bookmarkStart w:id="1931" w:name="_Toc391014601"/>
      <w:bookmarkStart w:id="1932" w:name="_Toc391015752"/>
      <w:bookmarkStart w:id="1933" w:name="_Toc391016725"/>
      <w:bookmarkStart w:id="1934" w:name="_Toc391017838"/>
      <w:bookmarkStart w:id="1935" w:name="_Toc391018950"/>
      <w:bookmarkStart w:id="1936" w:name="_Toc391014602"/>
      <w:bookmarkStart w:id="1937" w:name="_Toc391015753"/>
      <w:bookmarkStart w:id="1938" w:name="_Toc391016726"/>
      <w:bookmarkStart w:id="1939" w:name="_Toc391017839"/>
      <w:bookmarkStart w:id="1940" w:name="_Toc391018951"/>
      <w:bookmarkStart w:id="1941" w:name="_Toc391014603"/>
      <w:bookmarkStart w:id="1942" w:name="_Toc391015754"/>
      <w:bookmarkStart w:id="1943" w:name="_Toc391016727"/>
      <w:bookmarkStart w:id="1944" w:name="_Toc391017840"/>
      <w:bookmarkStart w:id="1945" w:name="_Toc391018952"/>
      <w:bookmarkStart w:id="1946" w:name="_Toc391014604"/>
      <w:bookmarkStart w:id="1947" w:name="_Toc391015755"/>
      <w:bookmarkStart w:id="1948" w:name="_Toc391016728"/>
      <w:bookmarkStart w:id="1949" w:name="_Toc391017841"/>
      <w:bookmarkStart w:id="1950" w:name="_Toc391018953"/>
      <w:bookmarkStart w:id="1951" w:name="_Toc391014605"/>
      <w:bookmarkStart w:id="1952" w:name="_Toc391015756"/>
      <w:bookmarkStart w:id="1953" w:name="_Toc391016729"/>
      <w:bookmarkStart w:id="1954" w:name="_Toc391017842"/>
      <w:bookmarkStart w:id="1955" w:name="_Toc391018954"/>
      <w:bookmarkStart w:id="1956" w:name="_Toc391014606"/>
      <w:bookmarkStart w:id="1957" w:name="_Toc391015757"/>
      <w:bookmarkStart w:id="1958" w:name="_Toc391016730"/>
      <w:bookmarkStart w:id="1959" w:name="_Toc391017843"/>
      <w:bookmarkStart w:id="1960" w:name="_Toc391018955"/>
      <w:bookmarkStart w:id="1961" w:name="_Toc391014607"/>
      <w:bookmarkStart w:id="1962" w:name="_Toc391015758"/>
      <w:bookmarkStart w:id="1963" w:name="_Toc391016731"/>
      <w:bookmarkStart w:id="1964" w:name="_Toc391017844"/>
      <w:bookmarkStart w:id="1965" w:name="_Toc391018956"/>
      <w:bookmarkStart w:id="1966" w:name="_Toc391014608"/>
      <w:bookmarkStart w:id="1967" w:name="_Toc391015759"/>
      <w:bookmarkStart w:id="1968" w:name="_Toc391016732"/>
      <w:bookmarkStart w:id="1969" w:name="_Toc391017845"/>
      <w:bookmarkStart w:id="1970" w:name="_Toc391018957"/>
      <w:bookmarkStart w:id="1971" w:name="_Toc391014609"/>
      <w:bookmarkStart w:id="1972" w:name="_Toc391015760"/>
      <w:bookmarkStart w:id="1973" w:name="_Toc391016733"/>
      <w:bookmarkStart w:id="1974" w:name="_Toc391017846"/>
      <w:bookmarkStart w:id="1975" w:name="_Toc391018958"/>
      <w:bookmarkStart w:id="1976" w:name="_Toc391014610"/>
      <w:bookmarkStart w:id="1977" w:name="_Toc391015761"/>
      <w:bookmarkStart w:id="1978" w:name="_Toc391016734"/>
      <w:bookmarkStart w:id="1979" w:name="_Toc391017847"/>
      <w:bookmarkStart w:id="1980" w:name="_Toc391018959"/>
      <w:bookmarkStart w:id="1981" w:name="_Toc391014611"/>
      <w:bookmarkStart w:id="1982" w:name="_Toc391015762"/>
      <w:bookmarkStart w:id="1983" w:name="_Toc391016735"/>
      <w:bookmarkStart w:id="1984" w:name="_Toc391017848"/>
      <w:bookmarkStart w:id="1985" w:name="_Toc391018960"/>
      <w:bookmarkStart w:id="1986" w:name="_Toc391014612"/>
      <w:bookmarkStart w:id="1987" w:name="_Toc391015763"/>
      <w:bookmarkStart w:id="1988" w:name="_Toc391016736"/>
      <w:bookmarkStart w:id="1989" w:name="_Toc391017849"/>
      <w:bookmarkStart w:id="1990" w:name="_Toc391018961"/>
      <w:bookmarkStart w:id="1991" w:name="_Toc391014613"/>
      <w:bookmarkStart w:id="1992" w:name="_Toc391015764"/>
      <w:bookmarkStart w:id="1993" w:name="_Toc391016737"/>
      <w:bookmarkStart w:id="1994" w:name="_Toc391017850"/>
      <w:bookmarkStart w:id="1995" w:name="_Toc391018962"/>
      <w:bookmarkStart w:id="1996" w:name="_Toc391014614"/>
      <w:bookmarkStart w:id="1997" w:name="_Toc391015765"/>
      <w:bookmarkStart w:id="1998" w:name="_Toc391016738"/>
      <w:bookmarkStart w:id="1999" w:name="_Toc391017851"/>
      <w:bookmarkStart w:id="2000" w:name="_Toc391018963"/>
      <w:bookmarkStart w:id="2001" w:name="_Toc391014615"/>
      <w:bookmarkStart w:id="2002" w:name="_Toc391015766"/>
      <w:bookmarkStart w:id="2003" w:name="_Toc391016739"/>
      <w:bookmarkStart w:id="2004" w:name="_Toc391017852"/>
      <w:bookmarkStart w:id="2005" w:name="_Toc391018964"/>
      <w:bookmarkStart w:id="2006" w:name="_Toc391014617"/>
      <w:bookmarkStart w:id="2007" w:name="_Toc391015768"/>
      <w:bookmarkStart w:id="2008" w:name="_Toc391016741"/>
      <w:bookmarkStart w:id="2009" w:name="_Toc391017854"/>
      <w:bookmarkStart w:id="2010" w:name="_Toc391018966"/>
      <w:bookmarkStart w:id="2011" w:name="_Toc391014619"/>
      <w:bookmarkStart w:id="2012" w:name="_Toc391015770"/>
      <w:bookmarkStart w:id="2013" w:name="_Toc391016743"/>
      <w:bookmarkStart w:id="2014" w:name="_Toc391017856"/>
      <w:bookmarkStart w:id="2015" w:name="_Toc391018968"/>
      <w:bookmarkStart w:id="2016" w:name="_Toc391014620"/>
      <w:bookmarkStart w:id="2017" w:name="_Toc391015771"/>
      <w:bookmarkStart w:id="2018" w:name="_Toc391016744"/>
      <w:bookmarkStart w:id="2019" w:name="_Toc391017857"/>
      <w:bookmarkStart w:id="2020" w:name="_Toc391018969"/>
      <w:bookmarkStart w:id="2021" w:name="_Toc391014622"/>
      <w:bookmarkStart w:id="2022" w:name="_Toc391015773"/>
      <w:bookmarkStart w:id="2023" w:name="_Toc391016746"/>
      <w:bookmarkStart w:id="2024" w:name="_Toc391017859"/>
      <w:bookmarkStart w:id="2025" w:name="_Toc391018971"/>
      <w:bookmarkStart w:id="2026" w:name="_Toc391014623"/>
      <w:bookmarkStart w:id="2027" w:name="_Toc391015774"/>
      <w:bookmarkStart w:id="2028" w:name="_Toc391016747"/>
      <w:bookmarkStart w:id="2029" w:name="_Toc391017860"/>
      <w:bookmarkStart w:id="2030" w:name="_Toc391018972"/>
      <w:bookmarkStart w:id="2031" w:name="_Toc391014624"/>
      <w:bookmarkStart w:id="2032" w:name="_Toc391015775"/>
      <w:bookmarkStart w:id="2033" w:name="_Toc391016748"/>
      <w:bookmarkStart w:id="2034" w:name="_Toc391017861"/>
      <w:bookmarkStart w:id="2035" w:name="_Toc391018973"/>
      <w:bookmarkStart w:id="2036" w:name="_Toc391014625"/>
      <w:bookmarkStart w:id="2037" w:name="_Toc391015776"/>
      <w:bookmarkStart w:id="2038" w:name="_Toc391016749"/>
      <w:bookmarkStart w:id="2039" w:name="_Toc391017862"/>
      <w:bookmarkStart w:id="2040" w:name="_Toc391018974"/>
      <w:bookmarkStart w:id="2041" w:name="_Toc391014626"/>
      <w:bookmarkStart w:id="2042" w:name="_Toc391015777"/>
      <w:bookmarkStart w:id="2043" w:name="_Toc391016750"/>
      <w:bookmarkStart w:id="2044" w:name="_Toc391017863"/>
      <w:bookmarkStart w:id="2045" w:name="_Toc391018975"/>
      <w:bookmarkStart w:id="2046" w:name="_Toc391014627"/>
      <w:bookmarkStart w:id="2047" w:name="_Toc391015778"/>
      <w:bookmarkStart w:id="2048" w:name="_Toc391016751"/>
      <w:bookmarkStart w:id="2049" w:name="_Toc391017864"/>
      <w:bookmarkStart w:id="2050" w:name="_Toc391018976"/>
      <w:bookmarkStart w:id="2051" w:name="_Toc391014628"/>
      <w:bookmarkStart w:id="2052" w:name="_Toc391015779"/>
      <w:bookmarkStart w:id="2053" w:name="_Toc391016752"/>
      <w:bookmarkStart w:id="2054" w:name="_Toc391017865"/>
      <w:bookmarkStart w:id="2055" w:name="_Toc391018977"/>
      <w:bookmarkStart w:id="2056" w:name="_Toc391014629"/>
      <w:bookmarkStart w:id="2057" w:name="_Toc391015780"/>
      <w:bookmarkStart w:id="2058" w:name="_Toc391016753"/>
      <w:bookmarkStart w:id="2059" w:name="_Toc391017866"/>
      <w:bookmarkStart w:id="2060" w:name="_Toc391018978"/>
      <w:bookmarkStart w:id="2061" w:name="_Toc391014630"/>
      <w:bookmarkStart w:id="2062" w:name="_Toc391015781"/>
      <w:bookmarkStart w:id="2063" w:name="_Toc391016754"/>
      <w:bookmarkStart w:id="2064" w:name="_Toc391017867"/>
      <w:bookmarkStart w:id="2065" w:name="_Toc391018979"/>
      <w:bookmarkStart w:id="2066" w:name="_Toc391014631"/>
      <w:bookmarkStart w:id="2067" w:name="_Toc391015782"/>
      <w:bookmarkStart w:id="2068" w:name="_Toc391016755"/>
      <w:bookmarkStart w:id="2069" w:name="_Toc391017868"/>
      <w:bookmarkStart w:id="2070" w:name="_Toc391018980"/>
      <w:bookmarkStart w:id="2071" w:name="_Toc391014632"/>
      <w:bookmarkStart w:id="2072" w:name="_Toc391015783"/>
      <w:bookmarkStart w:id="2073" w:name="_Toc391016756"/>
      <w:bookmarkStart w:id="2074" w:name="_Toc391017869"/>
      <w:bookmarkStart w:id="2075" w:name="_Toc391018981"/>
      <w:bookmarkStart w:id="2076" w:name="_Toc391014633"/>
      <w:bookmarkStart w:id="2077" w:name="_Toc391015784"/>
      <w:bookmarkStart w:id="2078" w:name="_Toc391016757"/>
      <w:bookmarkStart w:id="2079" w:name="_Toc391017870"/>
      <w:bookmarkStart w:id="2080" w:name="_Toc391018982"/>
      <w:bookmarkStart w:id="2081" w:name="_Toc391014635"/>
      <w:bookmarkStart w:id="2082" w:name="_Toc391015786"/>
      <w:bookmarkStart w:id="2083" w:name="_Toc391016759"/>
      <w:bookmarkStart w:id="2084" w:name="_Toc391017872"/>
      <w:bookmarkStart w:id="2085" w:name="_Toc391018984"/>
      <w:bookmarkStart w:id="2086" w:name="_Toc391014638"/>
      <w:bookmarkStart w:id="2087" w:name="_Toc391015789"/>
      <w:bookmarkStart w:id="2088" w:name="_Toc391016762"/>
      <w:bookmarkStart w:id="2089" w:name="_Toc391017875"/>
      <w:bookmarkStart w:id="2090" w:name="_Toc391018987"/>
      <w:bookmarkStart w:id="2091" w:name="_Toc391014639"/>
      <w:bookmarkStart w:id="2092" w:name="_Toc391015790"/>
      <w:bookmarkStart w:id="2093" w:name="_Toc391016763"/>
      <w:bookmarkStart w:id="2094" w:name="_Toc391017876"/>
      <w:bookmarkStart w:id="2095" w:name="_Toc391018988"/>
      <w:bookmarkStart w:id="2096" w:name="_Toc391014640"/>
      <w:bookmarkStart w:id="2097" w:name="_Toc391015791"/>
      <w:bookmarkStart w:id="2098" w:name="_Toc391016764"/>
      <w:bookmarkStart w:id="2099" w:name="_Toc391017877"/>
      <w:bookmarkStart w:id="2100" w:name="_Toc391018989"/>
      <w:bookmarkStart w:id="2101" w:name="_Toc391014642"/>
      <w:bookmarkStart w:id="2102" w:name="_Toc391015793"/>
      <w:bookmarkStart w:id="2103" w:name="_Toc391016766"/>
      <w:bookmarkStart w:id="2104" w:name="_Toc391017879"/>
      <w:bookmarkStart w:id="2105" w:name="_Toc391018991"/>
      <w:bookmarkStart w:id="2106" w:name="_Toc391014643"/>
      <w:bookmarkStart w:id="2107" w:name="_Toc391015794"/>
      <w:bookmarkStart w:id="2108" w:name="_Toc391016767"/>
      <w:bookmarkStart w:id="2109" w:name="_Toc391017880"/>
      <w:bookmarkStart w:id="2110" w:name="_Toc391018992"/>
      <w:bookmarkStart w:id="2111" w:name="_Toc391014644"/>
      <w:bookmarkStart w:id="2112" w:name="_Toc391015795"/>
      <w:bookmarkStart w:id="2113" w:name="_Toc391016768"/>
      <w:bookmarkStart w:id="2114" w:name="_Toc391017881"/>
      <w:bookmarkStart w:id="2115" w:name="_Toc391018993"/>
      <w:bookmarkStart w:id="2116" w:name="_Toc391014645"/>
      <w:bookmarkStart w:id="2117" w:name="_Toc391015796"/>
      <w:bookmarkStart w:id="2118" w:name="_Toc391016769"/>
      <w:bookmarkStart w:id="2119" w:name="_Toc391017882"/>
      <w:bookmarkStart w:id="2120" w:name="_Toc391018994"/>
      <w:bookmarkStart w:id="2121" w:name="_Toc391014646"/>
      <w:bookmarkStart w:id="2122" w:name="_Toc391015797"/>
      <w:bookmarkStart w:id="2123" w:name="_Toc391016770"/>
      <w:bookmarkStart w:id="2124" w:name="_Toc391017883"/>
      <w:bookmarkStart w:id="2125" w:name="_Toc391018995"/>
      <w:bookmarkStart w:id="2126" w:name="_Toc391014647"/>
      <w:bookmarkStart w:id="2127" w:name="_Toc391015798"/>
      <w:bookmarkStart w:id="2128" w:name="_Toc391016771"/>
      <w:bookmarkStart w:id="2129" w:name="_Toc391017884"/>
      <w:bookmarkStart w:id="2130" w:name="_Toc391018996"/>
      <w:bookmarkStart w:id="2131" w:name="_Toc391014648"/>
      <w:bookmarkStart w:id="2132" w:name="_Toc391015799"/>
      <w:bookmarkStart w:id="2133" w:name="_Toc391016772"/>
      <w:bookmarkStart w:id="2134" w:name="_Toc391017885"/>
      <w:bookmarkStart w:id="2135" w:name="_Toc391018997"/>
      <w:bookmarkStart w:id="2136" w:name="_Toc391014649"/>
      <w:bookmarkStart w:id="2137" w:name="_Toc391015800"/>
      <w:bookmarkStart w:id="2138" w:name="_Toc391016773"/>
      <w:bookmarkStart w:id="2139" w:name="_Toc391017886"/>
      <w:bookmarkStart w:id="2140" w:name="_Toc391018998"/>
      <w:bookmarkStart w:id="2141" w:name="_Toc391014650"/>
      <w:bookmarkStart w:id="2142" w:name="_Toc391015801"/>
      <w:bookmarkStart w:id="2143" w:name="_Toc391016774"/>
      <w:bookmarkStart w:id="2144" w:name="_Toc391017887"/>
      <w:bookmarkStart w:id="2145" w:name="_Toc391018999"/>
      <w:bookmarkStart w:id="2146" w:name="_Toc391014651"/>
      <w:bookmarkStart w:id="2147" w:name="_Toc391015802"/>
      <w:bookmarkStart w:id="2148" w:name="_Toc391016775"/>
      <w:bookmarkStart w:id="2149" w:name="_Toc391017888"/>
      <w:bookmarkStart w:id="2150" w:name="_Toc391019000"/>
      <w:bookmarkStart w:id="2151" w:name="_Toc391014652"/>
      <w:bookmarkStart w:id="2152" w:name="_Toc391015803"/>
      <w:bookmarkStart w:id="2153" w:name="_Toc391016776"/>
      <w:bookmarkStart w:id="2154" w:name="_Toc391017889"/>
      <w:bookmarkStart w:id="2155" w:name="_Toc391019001"/>
      <w:bookmarkStart w:id="2156" w:name="_Toc391014653"/>
      <w:bookmarkStart w:id="2157" w:name="_Toc391015804"/>
      <w:bookmarkStart w:id="2158" w:name="_Toc391016777"/>
      <w:bookmarkStart w:id="2159" w:name="_Toc391017890"/>
      <w:bookmarkStart w:id="2160" w:name="_Toc391019002"/>
      <w:bookmarkStart w:id="2161" w:name="_Toc391014654"/>
      <w:bookmarkStart w:id="2162" w:name="_Toc391015805"/>
      <w:bookmarkStart w:id="2163" w:name="_Toc391016778"/>
      <w:bookmarkStart w:id="2164" w:name="_Toc391017891"/>
      <w:bookmarkStart w:id="2165" w:name="_Toc391019003"/>
      <w:bookmarkStart w:id="2166" w:name="_Toc391014655"/>
      <w:bookmarkStart w:id="2167" w:name="_Toc391015806"/>
      <w:bookmarkStart w:id="2168" w:name="_Toc391016779"/>
      <w:bookmarkStart w:id="2169" w:name="_Toc391017892"/>
      <w:bookmarkStart w:id="2170" w:name="_Toc391019004"/>
      <w:bookmarkStart w:id="2171" w:name="_Toc391014656"/>
      <w:bookmarkStart w:id="2172" w:name="_Toc391015807"/>
      <w:bookmarkStart w:id="2173" w:name="_Toc391016780"/>
      <w:bookmarkStart w:id="2174" w:name="_Toc391017893"/>
      <w:bookmarkStart w:id="2175" w:name="_Toc391019005"/>
      <w:bookmarkStart w:id="2176" w:name="_Toc391014657"/>
      <w:bookmarkStart w:id="2177" w:name="_Toc391015808"/>
      <w:bookmarkStart w:id="2178" w:name="_Toc391016781"/>
      <w:bookmarkStart w:id="2179" w:name="_Toc391017894"/>
      <w:bookmarkStart w:id="2180" w:name="_Toc391019006"/>
      <w:bookmarkStart w:id="2181" w:name="_Toc391014658"/>
      <w:bookmarkStart w:id="2182" w:name="_Toc391015809"/>
      <w:bookmarkStart w:id="2183" w:name="_Toc391016782"/>
      <w:bookmarkStart w:id="2184" w:name="_Toc391017895"/>
      <w:bookmarkStart w:id="2185" w:name="_Toc391019007"/>
      <w:bookmarkStart w:id="2186" w:name="_Toc391014659"/>
      <w:bookmarkStart w:id="2187" w:name="_Toc391015810"/>
      <w:bookmarkStart w:id="2188" w:name="_Toc391016783"/>
      <w:bookmarkStart w:id="2189" w:name="_Toc391017896"/>
      <w:bookmarkStart w:id="2190" w:name="_Toc391019008"/>
      <w:bookmarkStart w:id="2191" w:name="_Toc391014660"/>
      <w:bookmarkStart w:id="2192" w:name="_Toc391015811"/>
      <w:bookmarkStart w:id="2193" w:name="_Toc391016784"/>
      <w:bookmarkStart w:id="2194" w:name="_Toc391017897"/>
      <w:bookmarkStart w:id="2195" w:name="_Toc391019009"/>
      <w:bookmarkStart w:id="2196" w:name="_Toc391014661"/>
      <w:bookmarkStart w:id="2197" w:name="_Toc391015812"/>
      <w:bookmarkStart w:id="2198" w:name="_Toc391016785"/>
      <w:bookmarkStart w:id="2199" w:name="_Toc391017898"/>
      <w:bookmarkStart w:id="2200" w:name="_Toc391019010"/>
      <w:bookmarkStart w:id="2201" w:name="_Toc391014662"/>
      <w:bookmarkStart w:id="2202" w:name="_Toc391015813"/>
      <w:bookmarkStart w:id="2203" w:name="_Toc391016786"/>
      <w:bookmarkStart w:id="2204" w:name="_Toc391017899"/>
      <w:bookmarkStart w:id="2205" w:name="_Toc391019011"/>
      <w:bookmarkStart w:id="2206" w:name="_Toc39215097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r>
        <w:t>Strategie, na jejímž základě bude operační program přispívat ke strategii Unie pro inteligentní a udržitelný růst podporující začlenění a k dosažení hospodářské, sociální a územní soudržnosti</w:t>
      </w:r>
      <w:bookmarkEnd w:id="2206"/>
    </w:p>
    <w:p w:rsidR="00F43755" w:rsidRDefault="00F43755" w:rsidP="00F43755">
      <w:pPr>
        <w:rPr>
          <w:rFonts w:eastAsia="Times New Roman" w:cs="Times New Roman"/>
        </w:rPr>
      </w:pPr>
      <w:r w:rsidRPr="00373DD4">
        <w:rPr>
          <w:rFonts w:eastAsia="Times New Roman" w:cs="Times New Roman"/>
          <w:b/>
          <w:u w:color="000000"/>
        </w:rPr>
        <w:t>Hlavním cílem</w:t>
      </w:r>
      <w:r w:rsidRPr="00373DD4">
        <w:rPr>
          <w:rFonts w:eastAsia="Times New Roman" w:cs="Times New Roman"/>
          <w:u w:color="000000"/>
        </w:rPr>
        <w:t xml:space="preserve"> Operačního programu Životní prostředí 2014-2020</w:t>
      </w:r>
      <w:r w:rsidRPr="00373DD4">
        <w:rPr>
          <w:rFonts w:eastAsia="Times New Roman" w:cs="Times New Roman"/>
        </w:rPr>
        <w:t xml:space="preserve"> (dále „OP ŽP 2014-2020“) </w:t>
      </w:r>
      <w:r w:rsidRPr="00373DD4">
        <w:rPr>
          <w:rFonts w:eastAsia="Times New Roman" w:cs="Times New Roman"/>
          <w:u w:color="000000"/>
        </w:rPr>
        <w:t xml:space="preserve">je </w:t>
      </w:r>
      <w:r w:rsidRPr="00373DD4">
        <w:rPr>
          <w:rFonts w:eastAsia="Times New Roman" w:cs="Times New Roman"/>
          <w:b/>
          <w:u w:color="000000"/>
        </w:rPr>
        <w:t>ochrana a zajištění kvalitního prostředí pro život obyvatel České republiky</w:t>
      </w:r>
      <w:r w:rsidRPr="00373DD4">
        <w:rPr>
          <w:rFonts w:eastAsia="Times New Roman" w:cs="Times New Roman"/>
          <w:u w:color="000000"/>
        </w:rPr>
        <w:t xml:space="preserve"> (dále „ČR“), </w:t>
      </w:r>
      <w:r w:rsidRPr="00373DD4">
        <w:rPr>
          <w:rFonts w:eastAsia="Times New Roman" w:cs="Times New Roman"/>
          <w:b/>
          <w:u w:color="000000"/>
        </w:rPr>
        <w:t>podpora efektivního využívání zdrojů</w:t>
      </w:r>
      <w:r>
        <w:rPr>
          <w:rFonts w:eastAsia="Times New Roman" w:cs="Times New Roman"/>
          <w:b/>
          <w:u w:color="000000"/>
        </w:rPr>
        <w:t>,</w:t>
      </w:r>
      <w:r w:rsidRPr="00373DD4">
        <w:rPr>
          <w:rFonts w:eastAsia="Times New Roman" w:cs="Times New Roman"/>
          <w:b/>
          <w:u w:color="000000"/>
        </w:rPr>
        <w:t xml:space="preserve"> eliminace negati</w:t>
      </w:r>
      <w:r>
        <w:rPr>
          <w:rFonts w:eastAsia="Times New Roman" w:cs="Times New Roman"/>
          <w:b/>
          <w:u w:color="000000"/>
        </w:rPr>
        <w:t>vních dopadů lidské činnosti na </w:t>
      </w:r>
      <w:r w:rsidRPr="00373DD4">
        <w:rPr>
          <w:rFonts w:eastAsia="Times New Roman" w:cs="Times New Roman"/>
          <w:b/>
          <w:u w:color="000000"/>
        </w:rPr>
        <w:t xml:space="preserve">životní prostředí a zmírňování dopadů </w:t>
      </w:r>
      <w:r w:rsidRPr="00373DD4">
        <w:rPr>
          <w:rFonts w:eastAsia="Times New Roman" w:cs="Times New Roman"/>
          <w:b/>
        </w:rPr>
        <w:t>změny klimatu</w:t>
      </w:r>
      <w:r w:rsidRPr="00373DD4">
        <w:rPr>
          <w:rFonts w:eastAsia="Times New Roman" w:cs="Times New Roman"/>
        </w:rPr>
        <w:t xml:space="preserve">. </w:t>
      </w:r>
    </w:p>
    <w:p w:rsidR="00F43755" w:rsidRPr="00373DD4" w:rsidRDefault="00F43755" w:rsidP="00F43755">
      <w:pPr>
        <w:rPr>
          <w:rFonts w:eastAsia="Times New Roman" w:cs="Times New Roman"/>
        </w:rPr>
      </w:pPr>
      <w:r w:rsidRPr="00373DD4">
        <w:rPr>
          <w:rFonts w:eastAsia="Times New Roman" w:cs="Times New Roman"/>
        </w:rPr>
        <w:t>Na základě analýz dosavadního vývoje</w:t>
      </w:r>
      <w:r>
        <w:rPr>
          <w:rFonts w:eastAsia="Times New Roman" w:cs="Times New Roman"/>
        </w:rPr>
        <w:t>,</w:t>
      </w:r>
      <w:r w:rsidRPr="00373DD4">
        <w:rPr>
          <w:rFonts w:eastAsia="Times New Roman" w:cs="Times New Roman"/>
        </w:rPr>
        <w:t xml:space="preserve"> současného stavu </w:t>
      </w:r>
      <w:r>
        <w:rPr>
          <w:rFonts w:eastAsia="Times New Roman" w:cs="Times New Roman"/>
        </w:rPr>
        <w:t>a trendů</w:t>
      </w:r>
      <w:r w:rsidRPr="00373DD4">
        <w:rPr>
          <w:rFonts w:eastAsia="Times New Roman" w:cs="Times New Roman"/>
        </w:rPr>
        <w:t xml:space="preserve"> </w:t>
      </w:r>
      <w:r>
        <w:rPr>
          <w:rFonts w:eastAsia="Times New Roman" w:cs="Times New Roman"/>
        </w:rPr>
        <w:t xml:space="preserve">byly </w:t>
      </w:r>
      <w:r w:rsidRPr="00373DD4">
        <w:rPr>
          <w:rFonts w:eastAsia="Times New Roman" w:cs="Times New Roman"/>
        </w:rPr>
        <w:t xml:space="preserve">stanoveny následující </w:t>
      </w:r>
      <w:r w:rsidRPr="00373DD4">
        <w:rPr>
          <w:rFonts w:eastAsia="Times New Roman" w:cs="Times New Roman"/>
          <w:b/>
        </w:rPr>
        <w:t>priority</w:t>
      </w:r>
      <w:r w:rsidRPr="00373DD4">
        <w:rPr>
          <w:rFonts w:eastAsia="Times New Roman" w:cs="Times New Roman"/>
        </w:rPr>
        <w:t>:</w:t>
      </w:r>
    </w:p>
    <w:p w:rsidR="00F43755" w:rsidRPr="00373DD4" w:rsidRDefault="00F43755" w:rsidP="00F43755">
      <w:pPr>
        <w:numPr>
          <w:ilvl w:val="0"/>
          <w:numId w:val="68"/>
        </w:numPr>
        <w:contextualSpacing/>
        <w:rPr>
          <w:rFonts w:eastAsia="Times New Roman" w:cs="Times New Roman"/>
          <w:b/>
        </w:rPr>
      </w:pPr>
      <w:r w:rsidRPr="00373DD4">
        <w:rPr>
          <w:rFonts w:eastAsia="Times New Roman" w:cs="Times New Roman"/>
          <w:b/>
        </w:rPr>
        <w:t>Priorita 1: Zlepšování kvality vod a snižování rizika povodní,</w:t>
      </w:r>
    </w:p>
    <w:p w:rsidR="00F43755" w:rsidRPr="00373DD4" w:rsidRDefault="00F43755" w:rsidP="00F43755">
      <w:pPr>
        <w:numPr>
          <w:ilvl w:val="0"/>
          <w:numId w:val="68"/>
        </w:numPr>
        <w:contextualSpacing/>
        <w:rPr>
          <w:rFonts w:eastAsia="Times New Roman" w:cs="Times New Roman"/>
          <w:b/>
        </w:rPr>
      </w:pPr>
      <w:r w:rsidRPr="00373DD4">
        <w:rPr>
          <w:rFonts w:eastAsia="Times New Roman" w:cs="Times New Roman"/>
          <w:b/>
        </w:rPr>
        <w:t>Priorita 2: Zlepšování kvality ovzduší v lidských sídlech,</w:t>
      </w:r>
    </w:p>
    <w:p w:rsidR="00F43755" w:rsidRPr="00373DD4" w:rsidRDefault="00F43755" w:rsidP="00F43755">
      <w:pPr>
        <w:numPr>
          <w:ilvl w:val="0"/>
          <w:numId w:val="68"/>
        </w:numPr>
        <w:contextualSpacing/>
        <w:rPr>
          <w:rFonts w:eastAsia="Times New Roman" w:cs="Times New Roman"/>
          <w:b/>
        </w:rPr>
      </w:pPr>
      <w:r w:rsidRPr="00373DD4">
        <w:rPr>
          <w:rFonts w:eastAsia="Times New Roman" w:cs="Times New Roman"/>
          <w:b/>
        </w:rPr>
        <w:t>Priorita 3: Odpady a materiálové toky, ekologické zátěže a rizika,</w:t>
      </w:r>
    </w:p>
    <w:p w:rsidR="00F43755" w:rsidRPr="00373DD4" w:rsidRDefault="00F43755" w:rsidP="00F43755">
      <w:pPr>
        <w:numPr>
          <w:ilvl w:val="0"/>
          <w:numId w:val="68"/>
        </w:numPr>
        <w:contextualSpacing/>
        <w:rPr>
          <w:rFonts w:eastAsia="Times New Roman" w:cs="Times New Roman"/>
          <w:b/>
        </w:rPr>
      </w:pPr>
      <w:r w:rsidRPr="00373DD4">
        <w:rPr>
          <w:rFonts w:eastAsia="Times New Roman" w:cs="Times New Roman"/>
          <w:b/>
        </w:rPr>
        <w:t>Priorita 4: Ochrana a péče o přírodu a krajinu,</w:t>
      </w:r>
    </w:p>
    <w:p w:rsidR="00F43755" w:rsidRDefault="00F43755" w:rsidP="00F43755">
      <w:pPr>
        <w:numPr>
          <w:ilvl w:val="0"/>
          <w:numId w:val="68"/>
        </w:numPr>
        <w:contextualSpacing/>
        <w:rPr>
          <w:rFonts w:eastAsia="Times New Roman" w:cs="Times New Roman"/>
          <w:b/>
        </w:rPr>
      </w:pPr>
      <w:r w:rsidRPr="00373DD4">
        <w:rPr>
          <w:rFonts w:eastAsia="Times New Roman" w:cs="Times New Roman"/>
          <w:b/>
        </w:rPr>
        <w:t>Priorita 5: Energetické úspory</w:t>
      </w:r>
      <w:r>
        <w:rPr>
          <w:rFonts w:eastAsia="Times New Roman" w:cs="Times New Roman"/>
          <w:b/>
        </w:rPr>
        <w:t>.</w:t>
      </w:r>
    </w:p>
    <w:p w:rsidR="00F43755" w:rsidRDefault="00F43755" w:rsidP="00F43755">
      <w:pPr>
        <w:ind w:left="720"/>
        <w:contextualSpacing/>
        <w:rPr>
          <w:rFonts w:eastAsia="Times New Roman" w:cs="Times New Roman"/>
          <w:b/>
        </w:rPr>
      </w:pPr>
    </w:p>
    <w:p w:rsidR="00F43755" w:rsidRDefault="00F43755" w:rsidP="00F43755">
      <w:pPr>
        <w:contextualSpacing/>
        <w:rPr>
          <w:rFonts w:eastAsia="Times New Roman" w:cs="Times New Roman"/>
        </w:rPr>
      </w:pPr>
      <w:r w:rsidRPr="00373DD4">
        <w:rPr>
          <w:rFonts w:eastAsia="Times New Roman" w:cs="Times New Roman"/>
        </w:rPr>
        <w:t>Pro uvedené priority byly v </w:t>
      </w:r>
      <w:proofErr w:type="gramStart"/>
      <w:r w:rsidRPr="00373DD4">
        <w:rPr>
          <w:rFonts w:eastAsia="Times New Roman" w:cs="Times New Roman"/>
        </w:rPr>
        <w:t>OP</w:t>
      </w:r>
      <w:proofErr w:type="gramEnd"/>
      <w:r w:rsidRPr="00373DD4">
        <w:rPr>
          <w:rFonts w:eastAsia="Times New Roman" w:cs="Times New Roman"/>
        </w:rPr>
        <w:t xml:space="preserve"> ŽP 2014–2020  nastaveny příslušné prioritní osy.</w:t>
      </w:r>
    </w:p>
    <w:p w:rsidR="00F43755" w:rsidRPr="00373DD4" w:rsidRDefault="00F43755" w:rsidP="00F43755">
      <w:pPr>
        <w:contextualSpacing/>
        <w:rPr>
          <w:rFonts w:eastAsia="Times New Roman" w:cs="Times New Roman"/>
        </w:rPr>
      </w:pPr>
    </w:p>
    <w:p w:rsidR="00F43755" w:rsidRPr="00373DD4" w:rsidRDefault="00F43755" w:rsidP="00F43755">
      <w:pPr>
        <w:rPr>
          <w:rFonts w:eastAsia="Times New Roman" w:cs="Times New Roman"/>
        </w:rPr>
      </w:pPr>
      <w:r w:rsidRPr="00373DD4">
        <w:rPr>
          <w:rFonts w:eastAsia="Times New Roman" w:cs="Times New Roman"/>
        </w:rPr>
        <w:t xml:space="preserve">OP ŽP 2014-2020 je v souladu s relevantními strategickými dokumenty EU </w:t>
      </w:r>
      <w:r>
        <w:rPr>
          <w:rFonts w:eastAsia="Times New Roman" w:cs="Times New Roman"/>
        </w:rPr>
        <w:t xml:space="preserve">(viz tab. </w:t>
      </w:r>
      <w:proofErr w:type="gramStart"/>
      <w:r>
        <w:rPr>
          <w:rFonts w:eastAsia="Times New Roman" w:cs="Times New Roman"/>
        </w:rPr>
        <w:t>č.</w:t>
      </w:r>
      <w:proofErr w:type="gramEnd"/>
      <w:r>
        <w:rPr>
          <w:rFonts w:eastAsia="Times New Roman" w:cs="Times New Roman"/>
        </w:rPr>
        <w:t xml:space="preserve"> 1 Příloha 1), </w:t>
      </w:r>
      <w:r w:rsidRPr="00373DD4">
        <w:rPr>
          <w:rFonts w:eastAsia="Times New Roman" w:cs="Times New Roman"/>
        </w:rPr>
        <w:t>bere v potaz koncept „zeleného růstu“</w:t>
      </w:r>
      <w:r>
        <w:rPr>
          <w:rFonts w:eastAsia="Times New Roman" w:cs="Times New Roman"/>
        </w:rPr>
        <w:t xml:space="preserve"> </w:t>
      </w:r>
      <w:r w:rsidRPr="00373DD4">
        <w:rPr>
          <w:rFonts w:eastAsia="Times New Roman" w:cs="Times New Roman"/>
        </w:rPr>
        <w:t xml:space="preserve">a </w:t>
      </w:r>
      <w:r>
        <w:rPr>
          <w:rFonts w:eastAsia="Times New Roman" w:cs="Times New Roman"/>
        </w:rPr>
        <w:t xml:space="preserve">mezinárodní </w:t>
      </w:r>
      <w:r w:rsidRPr="00373DD4">
        <w:rPr>
          <w:rFonts w:eastAsia="Times New Roman" w:cs="Times New Roman"/>
        </w:rPr>
        <w:t>závazky</w:t>
      </w:r>
      <w:r>
        <w:rPr>
          <w:rFonts w:eastAsia="Times New Roman" w:cs="Times New Roman"/>
        </w:rPr>
        <w:t xml:space="preserve"> </w:t>
      </w:r>
      <w:r w:rsidRPr="00373DD4">
        <w:rPr>
          <w:rFonts w:eastAsia="Times New Roman" w:cs="Times New Roman"/>
        </w:rPr>
        <w:t xml:space="preserve">ČR </w:t>
      </w:r>
      <w:r>
        <w:rPr>
          <w:rFonts w:eastAsia="Times New Roman" w:cs="Times New Roman"/>
        </w:rPr>
        <w:t xml:space="preserve">a cílí na </w:t>
      </w:r>
      <w:r w:rsidRPr="00373DD4">
        <w:rPr>
          <w:rFonts w:eastAsia="Times New Roman" w:cs="Times New Roman"/>
        </w:rPr>
        <w:t>nastavení efektivního systému ochrany životního prostředí podporující</w:t>
      </w:r>
      <w:r>
        <w:rPr>
          <w:rFonts w:eastAsia="Times New Roman" w:cs="Times New Roman"/>
        </w:rPr>
        <w:t>ho směřování k inteligentnímu a </w:t>
      </w:r>
      <w:r w:rsidRPr="00373DD4">
        <w:rPr>
          <w:rFonts w:eastAsia="Times New Roman" w:cs="Times New Roman"/>
        </w:rPr>
        <w:t xml:space="preserve">udržitelnému růstu a ke zvýšení ekonomické, sociální a územní koheze. </w:t>
      </w:r>
    </w:p>
    <w:p w:rsidR="00F43755" w:rsidRPr="00373DD4" w:rsidRDefault="00F43755" w:rsidP="00F43755">
      <w:pPr>
        <w:rPr>
          <w:rFonts w:eastAsia="Times New Roman" w:cs="Times New Roman"/>
        </w:rPr>
      </w:pPr>
      <w:r w:rsidRPr="00373DD4">
        <w:rPr>
          <w:rFonts w:eastAsia="Times New Roman" w:cs="Times New Roman"/>
        </w:rPr>
        <w:t xml:space="preserve">OP ŽP 2014-2020 reaguje na </w:t>
      </w:r>
      <w:r w:rsidRPr="00373DD4">
        <w:rPr>
          <w:rFonts w:eastAsia="Times New Roman" w:cs="Times New Roman"/>
          <w:b/>
        </w:rPr>
        <w:t>aktuální environmentální výzvy, spojené zejména se zvyšujícím se rizikem dopadů změny klimatu</w:t>
      </w:r>
      <w:r w:rsidRPr="00373DD4">
        <w:rPr>
          <w:rFonts w:eastAsia="Times New Roman" w:cs="Times New Roman"/>
        </w:rPr>
        <w:t xml:space="preserve"> a klade proto velký důraz na opatření v oblastech </w:t>
      </w:r>
      <w:proofErr w:type="spellStart"/>
      <w:r w:rsidRPr="00373DD4">
        <w:rPr>
          <w:rFonts w:eastAsia="Times New Roman" w:cs="Times New Roman"/>
          <w:b/>
        </w:rPr>
        <w:t>mitigace</w:t>
      </w:r>
      <w:proofErr w:type="spellEnd"/>
      <w:r w:rsidRPr="00373DD4">
        <w:rPr>
          <w:rFonts w:eastAsia="Times New Roman" w:cs="Times New Roman"/>
        </w:rPr>
        <w:t xml:space="preserve"> i</w:t>
      </w:r>
      <w:r>
        <w:rPr>
          <w:rFonts w:eastAsia="Times New Roman" w:cs="Times New Roman"/>
        </w:rPr>
        <w:t> </w:t>
      </w:r>
      <w:r w:rsidRPr="00373DD4">
        <w:rPr>
          <w:rFonts w:eastAsia="Times New Roman" w:cs="Times New Roman"/>
          <w:b/>
        </w:rPr>
        <w:t>adaptace na očekávané dopady změny klimatu</w:t>
      </w:r>
      <w:r w:rsidRPr="00373DD4">
        <w:rPr>
          <w:rFonts w:eastAsia="Times New Roman" w:cs="Times New Roman"/>
        </w:rPr>
        <w:t xml:space="preserve">. </w:t>
      </w:r>
    </w:p>
    <w:p w:rsidR="00F43755" w:rsidRPr="00373DD4" w:rsidRDefault="00F43755" w:rsidP="00F43755">
      <w:pPr>
        <w:rPr>
          <w:rFonts w:eastAsia="Times New Roman" w:cs="Times New Roman"/>
        </w:rPr>
      </w:pPr>
      <w:r w:rsidRPr="00373DD4">
        <w:rPr>
          <w:rFonts w:eastAsia="Times New Roman" w:cs="Times New Roman"/>
        </w:rPr>
        <w:t>OP ŽP 2014-2020 je koordinován s operačními programy v relevantních oblastech, zejména s Integrovaným operačním programem (IROP) a Operačním programem Doprava (OP</w:t>
      </w:r>
      <w:r>
        <w:rPr>
          <w:rFonts w:eastAsia="Times New Roman" w:cs="Times New Roman"/>
        </w:rPr>
        <w:t xml:space="preserve"> </w:t>
      </w:r>
      <w:r w:rsidRPr="00373DD4">
        <w:rPr>
          <w:rFonts w:eastAsia="Times New Roman" w:cs="Times New Roman"/>
        </w:rPr>
        <w:t>D).</w:t>
      </w:r>
    </w:p>
    <w:p w:rsidR="00F43755" w:rsidRPr="00373DD4" w:rsidRDefault="00F43755" w:rsidP="00F43755">
      <w:pPr>
        <w:rPr>
          <w:rFonts w:eastAsia="Times New Roman" w:cs="Times New Roman"/>
        </w:rPr>
      </w:pPr>
      <w:r w:rsidRPr="00373DD4">
        <w:rPr>
          <w:rFonts w:eastAsia="Times New Roman" w:cs="Times New Roman"/>
        </w:rPr>
        <w:t xml:space="preserve">OP ŽP 2014-2020 se soustředí </w:t>
      </w:r>
      <w:r>
        <w:rPr>
          <w:rFonts w:eastAsia="Times New Roman" w:cs="Times New Roman"/>
        </w:rPr>
        <w:t>zejména</w:t>
      </w:r>
      <w:r w:rsidRPr="00373DD4">
        <w:rPr>
          <w:rFonts w:eastAsia="Times New Roman" w:cs="Times New Roman"/>
        </w:rPr>
        <w:t xml:space="preserve"> na ty </w:t>
      </w:r>
      <w:r w:rsidRPr="00373DD4">
        <w:rPr>
          <w:rFonts w:eastAsia="Times New Roman" w:cs="Times New Roman"/>
          <w:b/>
        </w:rPr>
        <w:t xml:space="preserve">problémy, kdy ČR nedodržela ve stanovených termínech závazky </w:t>
      </w:r>
      <w:r>
        <w:rPr>
          <w:rFonts w:eastAsia="Times New Roman" w:cs="Times New Roman"/>
          <w:b/>
        </w:rPr>
        <w:t xml:space="preserve">plynoucí z </w:t>
      </w:r>
      <w:r w:rsidRPr="00373DD4">
        <w:rPr>
          <w:rFonts w:eastAsia="Times New Roman" w:cs="Times New Roman"/>
          <w:b/>
        </w:rPr>
        <w:t>právních předpisů ES/EU</w:t>
      </w:r>
      <w:r w:rsidRPr="00373DD4">
        <w:rPr>
          <w:rFonts w:eastAsia="Times New Roman" w:cs="Times New Roman"/>
        </w:rPr>
        <w:t>, nebo kde bylo riziko budoucího nedodržení závazků identifikováno:</w:t>
      </w:r>
    </w:p>
    <w:p w:rsidR="00F43755" w:rsidRPr="00373DD4" w:rsidRDefault="00F43755" w:rsidP="00F43755">
      <w:pPr>
        <w:numPr>
          <w:ilvl w:val="0"/>
          <w:numId w:val="69"/>
        </w:numPr>
        <w:contextualSpacing/>
        <w:rPr>
          <w:rFonts w:eastAsia="Times New Roman" w:cs="Times New Roman"/>
        </w:rPr>
      </w:pPr>
      <w:r w:rsidRPr="00373DD4">
        <w:rPr>
          <w:rFonts w:eastAsia="Times New Roman" w:cs="Times New Roman"/>
        </w:rPr>
        <w:t xml:space="preserve">Směrnice Rady 91/271/EHS o čištění městských odpadních vod, </w:t>
      </w:r>
    </w:p>
    <w:p w:rsidR="00F43755" w:rsidRPr="00373DD4" w:rsidRDefault="00F43755" w:rsidP="00F43755">
      <w:pPr>
        <w:numPr>
          <w:ilvl w:val="0"/>
          <w:numId w:val="69"/>
        </w:numPr>
        <w:contextualSpacing/>
        <w:rPr>
          <w:rFonts w:eastAsia="Times New Roman" w:cs="Times New Roman"/>
        </w:rPr>
      </w:pPr>
      <w:r w:rsidRPr="00373DD4">
        <w:rPr>
          <w:rFonts w:eastAsia="Times New Roman" w:cs="Times New Roman"/>
        </w:rPr>
        <w:lastRenderedPageBreak/>
        <w:t>Směrnice Evropského parlamentu a Rady 2008/50/ES o kvalitě venkovního ovzduší a čistším ovzduší pro Evropu,</w:t>
      </w:r>
    </w:p>
    <w:p w:rsidR="00F43755" w:rsidRPr="00373DD4" w:rsidRDefault="00F43755" w:rsidP="00F43755">
      <w:pPr>
        <w:numPr>
          <w:ilvl w:val="0"/>
          <w:numId w:val="69"/>
        </w:numPr>
        <w:contextualSpacing/>
        <w:rPr>
          <w:rFonts w:eastAsia="Times New Roman" w:cs="Times New Roman"/>
        </w:rPr>
      </w:pPr>
      <w:r w:rsidRPr="00373DD4">
        <w:rPr>
          <w:rFonts w:eastAsia="Times New Roman" w:cs="Times New Roman"/>
        </w:rPr>
        <w:t>Směrnice Evropského parlamentu a Rady 2004/107/ES o arsenu, kadmiu, rtuti, niklu a polycyklických aromatických uhlovodících ve venkovním ovzduší,</w:t>
      </w:r>
    </w:p>
    <w:p w:rsidR="00F43755" w:rsidRPr="00373DD4" w:rsidRDefault="00F43755" w:rsidP="00F43755">
      <w:pPr>
        <w:numPr>
          <w:ilvl w:val="0"/>
          <w:numId w:val="69"/>
        </w:numPr>
        <w:contextualSpacing/>
        <w:rPr>
          <w:rFonts w:eastAsia="Times New Roman" w:cs="Times New Roman"/>
        </w:rPr>
      </w:pPr>
      <w:r w:rsidRPr="00373DD4">
        <w:rPr>
          <w:rFonts w:eastAsia="Times New Roman" w:cs="Times New Roman"/>
        </w:rPr>
        <w:t>Směrnice Rady 1999/31/ES o skládkách odpadů,</w:t>
      </w:r>
    </w:p>
    <w:p w:rsidR="00F43755" w:rsidRPr="00373DD4" w:rsidRDefault="00F43755" w:rsidP="00F43755">
      <w:pPr>
        <w:numPr>
          <w:ilvl w:val="0"/>
          <w:numId w:val="69"/>
        </w:numPr>
        <w:contextualSpacing/>
        <w:rPr>
          <w:rFonts w:eastAsia="Times New Roman" w:cs="Times New Roman"/>
        </w:rPr>
      </w:pPr>
      <w:r w:rsidRPr="00373DD4">
        <w:rPr>
          <w:rFonts w:eastAsia="Times New Roman" w:cs="Times New Roman"/>
        </w:rPr>
        <w:t xml:space="preserve">Směrnice Evropského parlamentu a Rady 2000/60/ES </w:t>
      </w:r>
      <w:r w:rsidRPr="00373DD4">
        <w:rPr>
          <w:rFonts w:eastAsia="Times New Roman" w:cs="Times New Roman"/>
          <w:bCs/>
        </w:rPr>
        <w:t>ustavující rámec pro činnost Společenství v oblasti vodní politiky,</w:t>
      </w:r>
    </w:p>
    <w:p w:rsidR="00F43755" w:rsidRDefault="00F43755" w:rsidP="00F43755">
      <w:pPr>
        <w:numPr>
          <w:ilvl w:val="0"/>
          <w:numId w:val="69"/>
        </w:numPr>
        <w:contextualSpacing/>
        <w:rPr>
          <w:rFonts w:eastAsia="Times New Roman" w:cs="Times New Roman"/>
        </w:rPr>
      </w:pPr>
      <w:r w:rsidRPr="00373DD4">
        <w:rPr>
          <w:rFonts w:eastAsia="Times New Roman" w:cs="Times New Roman"/>
        </w:rPr>
        <w:t>Směrnice Evropského parlamentu a Rady 2007/60/ES o vyhodnocování a zvládání povodňových rizik.</w:t>
      </w:r>
    </w:p>
    <w:p w:rsidR="00F43755" w:rsidRPr="00373DD4" w:rsidRDefault="00F43755" w:rsidP="00F43755">
      <w:pPr>
        <w:tabs>
          <w:tab w:val="left" w:pos="5445"/>
        </w:tabs>
        <w:ind w:left="720"/>
        <w:contextualSpacing/>
        <w:rPr>
          <w:rFonts w:eastAsia="Times New Roman" w:cs="Times New Roman"/>
        </w:rPr>
      </w:pPr>
      <w:r>
        <w:rPr>
          <w:rFonts w:eastAsia="Times New Roman" w:cs="Times New Roman"/>
        </w:rPr>
        <w:tab/>
      </w:r>
    </w:p>
    <w:p w:rsidR="00F43755" w:rsidRPr="00F43755" w:rsidRDefault="00F43755" w:rsidP="00F43755">
      <w:pPr>
        <w:rPr>
          <w:rFonts w:eastAsia="Times New Roman" w:cs="Times New Roman"/>
        </w:rPr>
      </w:pPr>
      <w:r w:rsidRPr="00373DD4">
        <w:rPr>
          <w:rFonts w:eastAsia="Times New Roman" w:cs="Times New Roman"/>
        </w:rPr>
        <w:t xml:space="preserve">Doplňující informace (tabulky, obrázky a grafy, na které je v dalším textu odkazováno) jsou uvedeny v nepovinné </w:t>
      </w:r>
      <w:r>
        <w:rPr>
          <w:rFonts w:eastAsia="Times New Roman" w:cs="Times New Roman"/>
        </w:rPr>
        <w:t>Příloze 1.</w:t>
      </w:r>
    </w:p>
    <w:p w:rsidR="00B17192" w:rsidRDefault="00B17192" w:rsidP="00F43755">
      <w:pPr>
        <w:pStyle w:val="Nadpis3"/>
        <w:rPr>
          <w:rFonts w:eastAsia="Times New Roman"/>
        </w:rPr>
      </w:pPr>
      <w:bookmarkStart w:id="2207" w:name="_Toc386194837"/>
      <w:bookmarkStart w:id="2208" w:name="_Toc392150971"/>
      <w:r w:rsidRPr="00373DD4">
        <w:rPr>
          <w:rFonts w:eastAsia="Times New Roman"/>
        </w:rPr>
        <w:t xml:space="preserve">Strategický </w:t>
      </w:r>
      <w:r w:rsidRPr="00F43755">
        <w:t>rámec</w:t>
      </w:r>
      <w:r w:rsidRPr="00373DD4">
        <w:rPr>
          <w:rFonts w:eastAsia="Times New Roman"/>
        </w:rPr>
        <w:t xml:space="preserve"> OP ŽP 2014-2020</w:t>
      </w:r>
      <w:bookmarkEnd w:id="2207"/>
      <w:bookmarkEnd w:id="2208"/>
    </w:p>
    <w:p w:rsidR="00B17192" w:rsidRPr="00373DD4" w:rsidRDefault="00B17192" w:rsidP="00B17192">
      <w:pPr>
        <w:rPr>
          <w:rFonts w:eastAsia="Times New Roman" w:cs="Times New Roman"/>
          <w:b/>
        </w:rPr>
      </w:pPr>
      <w:r w:rsidRPr="00373DD4">
        <w:rPr>
          <w:rFonts w:eastAsia="Times New Roman" w:cs="Times New Roman"/>
          <w:b/>
        </w:rPr>
        <w:t>V širším měřítku je OP ŽP 2014-2020 zacílen na příspěvek k dosažení základních cílů strategie Evropa 2020 v oblasti životního prostředí, tedy na snižování emisí, zvyšování energetické účinnosti a zvyšování podílu energie z obnovitelných zdrojů a dále k d</w:t>
      </w:r>
      <w:r>
        <w:rPr>
          <w:rFonts w:eastAsia="Times New Roman" w:cs="Times New Roman"/>
          <w:b/>
        </w:rPr>
        <w:t>osažení cílů</w:t>
      </w:r>
      <w:r w:rsidRPr="00373DD4">
        <w:rPr>
          <w:rFonts w:eastAsia="Times New Roman" w:cs="Times New Roman"/>
          <w:b/>
        </w:rPr>
        <w:t xml:space="preserve"> její stěžejní iniciativy Evropa účinněji využívající zdroje. </w:t>
      </w:r>
    </w:p>
    <w:p w:rsidR="00B17192" w:rsidRPr="00373DD4" w:rsidRDefault="00B17192" w:rsidP="00B17192">
      <w:pPr>
        <w:rPr>
          <w:rFonts w:eastAsia="Times New Roman" w:cs="Times New Roman"/>
        </w:rPr>
      </w:pPr>
      <w:r w:rsidRPr="00373DD4">
        <w:rPr>
          <w:rFonts w:eastAsia="Times New Roman" w:cs="Times New Roman"/>
          <w:b/>
        </w:rPr>
        <w:t>OP ŽP 2014-2020  se opírá o základní principy, stanovené Smlouvou o fungování Evropské unie</w:t>
      </w:r>
      <w:r w:rsidRPr="00373DD4">
        <w:rPr>
          <w:rFonts w:eastAsia="Times New Roman" w:cs="Times New Roman"/>
        </w:rPr>
        <w:t xml:space="preserve"> (článek 191)</w:t>
      </w:r>
      <w:r>
        <w:rPr>
          <w:rFonts w:eastAsia="Times New Roman" w:cs="Times New Roman"/>
        </w:rPr>
        <w:t xml:space="preserve"> </w:t>
      </w:r>
      <w:r w:rsidRPr="00373DD4">
        <w:rPr>
          <w:rFonts w:eastAsia="Times New Roman" w:cs="Times New Roman"/>
        </w:rPr>
        <w:t xml:space="preserve">a </w:t>
      </w:r>
      <w:r w:rsidRPr="00373DD4">
        <w:rPr>
          <w:rFonts w:eastAsia="Times New Roman" w:cs="Times New Roman"/>
          <w:b/>
        </w:rPr>
        <w:t xml:space="preserve">směřuje k naplňování </w:t>
      </w:r>
      <w:r>
        <w:rPr>
          <w:rFonts w:eastAsia="Times New Roman" w:cs="Times New Roman"/>
          <w:b/>
        </w:rPr>
        <w:t xml:space="preserve">vybraných </w:t>
      </w:r>
      <w:r w:rsidRPr="00373DD4">
        <w:rPr>
          <w:rFonts w:eastAsia="Times New Roman" w:cs="Times New Roman"/>
          <w:b/>
        </w:rPr>
        <w:t>prioritních cílů 7.</w:t>
      </w:r>
      <w:r>
        <w:rPr>
          <w:rFonts w:eastAsia="Times New Roman" w:cs="Times New Roman"/>
          <w:b/>
        </w:rPr>
        <w:t> A</w:t>
      </w:r>
      <w:r w:rsidRPr="00373DD4">
        <w:rPr>
          <w:rFonts w:eastAsia="Times New Roman" w:cs="Times New Roman"/>
          <w:b/>
        </w:rPr>
        <w:t>kčního programu Evropské unie v oblasti životního prostředí</w:t>
      </w:r>
      <w:r w:rsidRPr="00373DD4">
        <w:rPr>
          <w:rFonts w:eastAsia="Times New Roman" w:cs="Times New Roman"/>
        </w:rPr>
        <w:t>:</w:t>
      </w:r>
    </w:p>
    <w:p w:rsidR="00B17192" w:rsidRDefault="00B17192" w:rsidP="00B17192">
      <w:pPr>
        <w:pStyle w:val="Odstavecseseznamem"/>
        <w:keepNext/>
        <w:keepLines/>
        <w:numPr>
          <w:ilvl w:val="0"/>
          <w:numId w:val="112"/>
        </w:numPr>
        <w:overflowPunct w:val="0"/>
        <w:autoSpaceDE w:val="0"/>
        <w:autoSpaceDN w:val="0"/>
        <w:adjustRightInd w:val="0"/>
        <w:textAlignment w:val="baseline"/>
        <w:rPr>
          <w:rFonts w:eastAsia="Times New Roman" w:cs="Times New Roman"/>
          <w:szCs w:val="24"/>
        </w:rPr>
      </w:pPr>
      <w:r w:rsidRPr="00D47305">
        <w:rPr>
          <w:rFonts w:eastAsia="Times New Roman" w:cs="Times New Roman"/>
          <w:szCs w:val="24"/>
        </w:rPr>
        <w:t xml:space="preserve">chránit, zachovávat a zvětšovat přírodní bohatství </w:t>
      </w:r>
      <w:r>
        <w:rPr>
          <w:rFonts w:eastAsia="Times New Roman" w:cs="Times New Roman"/>
          <w:szCs w:val="24"/>
        </w:rPr>
        <w:t>EU</w:t>
      </w:r>
      <w:r w:rsidRPr="00D47305">
        <w:rPr>
          <w:rFonts w:eastAsia="Times New Roman" w:cs="Times New Roman"/>
          <w:szCs w:val="24"/>
        </w:rPr>
        <w:t>,</w:t>
      </w:r>
    </w:p>
    <w:p w:rsidR="00B17192" w:rsidRDefault="00B17192" w:rsidP="00B17192">
      <w:pPr>
        <w:pStyle w:val="Odstavecseseznamem"/>
        <w:numPr>
          <w:ilvl w:val="0"/>
          <w:numId w:val="112"/>
        </w:numPr>
        <w:overflowPunct w:val="0"/>
        <w:autoSpaceDE w:val="0"/>
        <w:autoSpaceDN w:val="0"/>
        <w:adjustRightInd w:val="0"/>
        <w:textAlignment w:val="baseline"/>
        <w:rPr>
          <w:rFonts w:eastAsia="Times New Roman" w:cs="Times New Roman"/>
          <w:szCs w:val="24"/>
        </w:rPr>
      </w:pPr>
      <w:r w:rsidRPr="00D47305">
        <w:rPr>
          <w:rFonts w:eastAsia="Times New Roman" w:cs="Times New Roman"/>
          <w:szCs w:val="24"/>
        </w:rPr>
        <w:t xml:space="preserve">přeměnit </w:t>
      </w:r>
      <w:r>
        <w:rPr>
          <w:rFonts w:eastAsia="Times New Roman" w:cs="Times New Roman"/>
          <w:szCs w:val="24"/>
        </w:rPr>
        <w:t>EU</w:t>
      </w:r>
      <w:r w:rsidRPr="00D47305">
        <w:rPr>
          <w:rFonts w:eastAsia="Times New Roman" w:cs="Times New Roman"/>
          <w:szCs w:val="24"/>
        </w:rPr>
        <w:t xml:space="preserve"> v zelené a konkurenceschopné nízkouhlíkové hospodářství účinně využívající zdroje,</w:t>
      </w:r>
    </w:p>
    <w:p w:rsidR="00B17192" w:rsidRDefault="00B17192" w:rsidP="00B17192">
      <w:pPr>
        <w:pStyle w:val="Odstavecseseznamem"/>
        <w:numPr>
          <w:ilvl w:val="0"/>
          <w:numId w:val="112"/>
        </w:numPr>
        <w:overflowPunct w:val="0"/>
        <w:autoSpaceDE w:val="0"/>
        <w:autoSpaceDN w:val="0"/>
        <w:adjustRightInd w:val="0"/>
        <w:textAlignment w:val="baseline"/>
        <w:rPr>
          <w:rFonts w:eastAsia="Times New Roman" w:cs="Times New Roman"/>
          <w:szCs w:val="24"/>
        </w:rPr>
      </w:pPr>
      <w:r w:rsidRPr="00D47305">
        <w:rPr>
          <w:rFonts w:eastAsia="Times New Roman" w:cs="Times New Roman"/>
          <w:szCs w:val="24"/>
        </w:rPr>
        <w:t xml:space="preserve">chránit občany </w:t>
      </w:r>
      <w:r>
        <w:rPr>
          <w:rFonts w:eastAsia="Times New Roman" w:cs="Times New Roman"/>
          <w:szCs w:val="24"/>
        </w:rPr>
        <w:t>EU</w:t>
      </w:r>
      <w:r w:rsidRPr="00D47305">
        <w:rPr>
          <w:rFonts w:eastAsia="Times New Roman" w:cs="Times New Roman"/>
          <w:szCs w:val="24"/>
        </w:rPr>
        <w:t xml:space="preserve"> před environmentálními tlaky a riziky ovlivňujícími jejich zdraví a dobré životní podmínky,</w:t>
      </w:r>
    </w:p>
    <w:p w:rsidR="00B17192" w:rsidRDefault="00B17192" w:rsidP="00B17192">
      <w:pPr>
        <w:pStyle w:val="Odstavecseseznamem"/>
        <w:numPr>
          <w:ilvl w:val="0"/>
          <w:numId w:val="112"/>
        </w:numPr>
        <w:overflowPunct w:val="0"/>
        <w:autoSpaceDE w:val="0"/>
        <w:autoSpaceDN w:val="0"/>
        <w:adjustRightInd w:val="0"/>
        <w:textAlignment w:val="baseline"/>
        <w:rPr>
          <w:rFonts w:eastAsia="Times New Roman" w:cs="Times New Roman"/>
          <w:szCs w:val="24"/>
        </w:rPr>
      </w:pPr>
      <w:r w:rsidRPr="00D47305">
        <w:rPr>
          <w:rFonts w:eastAsia="Times New Roman" w:cs="Times New Roman"/>
          <w:szCs w:val="24"/>
        </w:rPr>
        <w:t>zlepšit znalostní a faktickou základnu v oblasti politiky životního prostředí,</w:t>
      </w:r>
    </w:p>
    <w:p w:rsidR="00B17192" w:rsidRDefault="00B17192" w:rsidP="00B17192">
      <w:pPr>
        <w:pStyle w:val="Odstavecseseznamem"/>
        <w:numPr>
          <w:ilvl w:val="0"/>
          <w:numId w:val="112"/>
        </w:numPr>
        <w:overflowPunct w:val="0"/>
        <w:autoSpaceDE w:val="0"/>
        <w:autoSpaceDN w:val="0"/>
        <w:adjustRightInd w:val="0"/>
        <w:textAlignment w:val="baseline"/>
        <w:rPr>
          <w:rFonts w:eastAsia="Times New Roman" w:cs="Times New Roman"/>
          <w:szCs w:val="24"/>
        </w:rPr>
      </w:pPr>
      <w:r w:rsidRPr="00D47305">
        <w:rPr>
          <w:rFonts w:eastAsia="Times New Roman" w:cs="Times New Roman"/>
          <w:szCs w:val="24"/>
        </w:rPr>
        <w:t>maximalizovat přínos právních předpisů na základě efektivnější implementace,</w:t>
      </w:r>
    </w:p>
    <w:p w:rsidR="00B17192" w:rsidRDefault="00B17192" w:rsidP="00B17192">
      <w:pPr>
        <w:pStyle w:val="Odstavecseseznamem"/>
        <w:numPr>
          <w:ilvl w:val="0"/>
          <w:numId w:val="112"/>
        </w:numPr>
        <w:overflowPunct w:val="0"/>
        <w:autoSpaceDE w:val="0"/>
        <w:autoSpaceDN w:val="0"/>
        <w:adjustRightInd w:val="0"/>
        <w:textAlignment w:val="baseline"/>
        <w:rPr>
          <w:rFonts w:eastAsia="Times New Roman" w:cs="Times New Roman"/>
          <w:szCs w:val="24"/>
        </w:rPr>
      </w:pPr>
      <w:r w:rsidRPr="00DC500E">
        <w:rPr>
          <w:rFonts w:eastAsia="Times New Roman" w:cs="Times New Roman"/>
          <w:szCs w:val="24"/>
        </w:rPr>
        <w:t>zajistit investice pro politiku v oblasti životního prostře</w:t>
      </w:r>
      <w:r w:rsidRPr="00215444">
        <w:rPr>
          <w:rFonts w:eastAsia="Times New Roman" w:cs="Times New Roman"/>
          <w:szCs w:val="24"/>
        </w:rPr>
        <w:t>dí a klimatu,</w:t>
      </w:r>
    </w:p>
    <w:p w:rsidR="00B17192" w:rsidRDefault="00B17192" w:rsidP="00B17192">
      <w:pPr>
        <w:pStyle w:val="Odstavecseseznamem"/>
        <w:numPr>
          <w:ilvl w:val="0"/>
          <w:numId w:val="112"/>
        </w:numPr>
        <w:rPr>
          <w:rFonts w:eastAsia="Times New Roman" w:cs="Times New Roman"/>
          <w:bCs/>
        </w:rPr>
      </w:pPr>
      <w:r w:rsidRPr="00A85B3B">
        <w:rPr>
          <w:rFonts w:eastAsia="Times New Roman" w:cs="Times New Roman"/>
          <w:bCs/>
        </w:rPr>
        <w:t>zlepšit začlenění problematiky životního prostředí a soudržnost politik,</w:t>
      </w:r>
    </w:p>
    <w:p w:rsidR="00B17192" w:rsidRPr="00D47305" w:rsidRDefault="00B17192" w:rsidP="00B17192">
      <w:pPr>
        <w:pStyle w:val="Odstavecseseznamem"/>
        <w:numPr>
          <w:ilvl w:val="0"/>
          <w:numId w:val="112"/>
        </w:numPr>
        <w:rPr>
          <w:rFonts w:eastAsia="Times New Roman" w:cs="Times New Roman"/>
        </w:rPr>
      </w:pPr>
      <w:r w:rsidRPr="00791622">
        <w:rPr>
          <w:rFonts w:eastAsia="Times New Roman" w:cs="Times New Roman"/>
          <w:bCs/>
        </w:rPr>
        <w:t xml:space="preserve">posílit udržitelnost měst </w:t>
      </w:r>
      <w:r>
        <w:rPr>
          <w:rFonts w:eastAsia="Times New Roman" w:cs="Times New Roman"/>
          <w:bCs/>
        </w:rPr>
        <w:t>E</w:t>
      </w:r>
      <w:r w:rsidRPr="00791622">
        <w:rPr>
          <w:rFonts w:eastAsia="Times New Roman" w:cs="Times New Roman"/>
          <w:bCs/>
        </w:rPr>
        <w:t>U,</w:t>
      </w:r>
    </w:p>
    <w:p w:rsidR="00B17192" w:rsidRPr="00811984" w:rsidRDefault="00B17192" w:rsidP="00B17192">
      <w:pPr>
        <w:pStyle w:val="Odstavecseseznamem"/>
        <w:numPr>
          <w:ilvl w:val="0"/>
          <w:numId w:val="112"/>
        </w:numPr>
        <w:rPr>
          <w:rFonts w:eastAsia="Times New Roman" w:cs="Times New Roman"/>
        </w:rPr>
      </w:pPr>
      <w:r w:rsidRPr="00D47305">
        <w:rPr>
          <w:rFonts w:eastAsia="Times New Roman" w:cs="Times New Roman"/>
          <w:bCs/>
        </w:rPr>
        <w:t xml:space="preserve">zvýšit efektivnost </w:t>
      </w:r>
      <w:r>
        <w:rPr>
          <w:rFonts w:eastAsia="Times New Roman" w:cs="Times New Roman"/>
          <w:bCs/>
        </w:rPr>
        <w:t>EU</w:t>
      </w:r>
      <w:r w:rsidRPr="00D47305">
        <w:rPr>
          <w:rFonts w:eastAsia="Times New Roman" w:cs="Times New Roman"/>
          <w:bCs/>
        </w:rPr>
        <w:t xml:space="preserve"> při řešení mezinárodních problémů v oblasti životního prostředí a klimatu.</w:t>
      </w:r>
    </w:p>
    <w:p w:rsidR="00B17192" w:rsidRPr="00373DD4" w:rsidRDefault="00B17192" w:rsidP="00B17192">
      <w:pPr>
        <w:rPr>
          <w:rFonts w:eastAsia="Times New Roman" w:cs="Times New Roman"/>
        </w:rPr>
      </w:pPr>
      <w:r w:rsidRPr="00373DD4">
        <w:rPr>
          <w:rFonts w:eastAsia="Times New Roman" w:cs="Times New Roman"/>
          <w:b/>
        </w:rPr>
        <w:t>Základní vazby mezi prioritními osami OP ŽP 2014-2020 a prioritními cíli definovanými v hlavních strategiích EU a OECD</w:t>
      </w:r>
      <w:r w:rsidRPr="00373DD4">
        <w:rPr>
          <w:rFonts w:eastAsia="Times New Roman" w:cs="Times New Roman"/>
        </w:rPr>
        <w:t xml:space="preserve"> jsou uvedeny v  tabulce č. 1 v Příloze 1.</w:t>
      </w:r>
    </w:p>
    <w:p w:rsidR="00B17192" w:rsidRPr="00373DD4" w:rsidRDefault="00B17192" w:rsidP="00B17192">
      <w:pPr>
        <w:rPr>
          <w:rFonts w:eastAsia="Times New Roman" w:cs="Times New Roman"/>
          <w:b/>
        </w:rPr>
      </w:pPr>
      <w:r w:rsidRPr="00373DD4">
        <w:rPr>
          <w:rFonts w:eastAsia="Times New Roman" w:cs="Times New Roman"/>
        </w:rPr>
        <w:t xml:space="preserve">Z údajů uvedených v tabulce vyplývá, že </w:t>
      </w:r>
      <w:r w:rsidRPr="00373DD4">
        <w:rPr>
          <w:rFonts w:eastAsia="Times New Roman" w:cs="Times New Roman"/>
          <w:b/>
        </w:rPr>
        <w:t>investiční strategie</w:t>
      </w:r>
      <w:r w:rsidRPr="00373DD4">
        <w:rPr>
          <w:rFonts w:eastAsia="Times New Roman" w:cs="Times New Roman"/>
        </w:rPr>
        <w:t xml:space="preserve"> </w:t>
      </w:r>
      <w:r w:rsidRPr="00373DD4">
        <w:rPr>
          <w:rFonts w:eastAsia="Times New Roman" w:cs="Times New Roman"/>
          <w:b/>
        </w:rPr>
        <w:t xml:space="preserve">OP ŽP 2014-2020 alespoň částečně přispívá k řešení všech prioritních cílů stanovených základními strategickými dokumenty EU. </w:t>
      </w:r>
    </w:p>
    <w:p w:rsidR="00B17192" w:rsidRPr="00373DD4" w:rsidRDefault="00B17192" w:rsidP="00B17192">
      <w:pPr>
        <w:rPr>
          <w:rFonts w:eastAsia="Times New Roman" w:cs="Times New Roman"/>
        </w:rPr>
      </w:pPr>
      <w:r w:rsidRPr="00373DD4">
        <w:rPr>
          <w:rFonts w:eastAsia="Times New Roman" w:cs="Times New Roman"/>
          <w:b/>
        </w:rPr>
        <w:lastRenderedPageBreak/>
        <w:t xml:space="preserve">Základní Strategický rámec OP ŽP 2014-2020 na národní úrovni </w:t>
      </w:r>
      <w:r w:rsidRPr="00373DD4">
        <w:rPr>
          <w:rFonts w:eastAsia="Times New Roman" w:cs="Times New Roman"/>
        </w:rPr>
        <w:t>je dán</w:t>
      </w:r>
      <w:r>
        <w:rPr>
          <w:rFonts w:eastAsia="Times New Roman" w:cs="Times New Roman"/>
          <w:b/>
        </w:rPr>
        <w:t xml:space="preserve"> Dohodou o </w:t>
      </w:r>
      <w:r w:rsidRPr="00373DD4">
        <w:rPr>
          <w:rFonts w:eastAsia="Times New Roman" w:cs="Times New Roman"/>
          <w:b/>
        </w:rPr>
        <w:t xml:space="preserve">partnerství </w:t>
      </w:r>
      <w:r w:rsidRPr="00373DD4">
        <w:rPr>
          <w:rFonts w:eastAsia="Times New Roman" w:cs="Times New Roman"/>
        </w:rPr>
        <w:t>(včetně Stanoviska útvarů Komise k vývoji ob</w:t>
      </w:r>
      <w:r>
        <w:rPr>
          <w:rFonts w:eastAsia="Times New Roman" w:cs="Times New Roman"/>
        </w:rPr>
        <w:t>lastí Dohody o partnerství a </w:t>
      </w:r>
      <w:r w:rsidRPr="00373DD4">
        <w:rPr>
          <w:rFonts w:eastAsia="Times New Roman" w:cs="Times New Roman"/>
        </w:rPr>
        <w:t>programů v ČR pro období 2014–2020).</w:t>
      </w:r>
    </w:p>
    <w:p w:rsidR="00B17192" w:rsidRPr="00373DD4" w:rsidRDefault="00B17192" w:rsidP="00B17192">
      <w:pPr>
        <w:rPr>
          <w:rFonts w:eastAsia="Times New Roman" w:cs="Times New Roman"/>
          <w:b/>
        </w:rPr>
      </w:pPr>
      <w:r w:rsidRPr="00373DD4">
        <w:rPr>
          <w:rFonts w:eastAsia="Times New Roman" w:cs="Times New Roman"/>
          <w:b/>
        </w:rPr>
        <w:t>Širší strategický rámec OP ŽP 2014-2020</w:t>
      </w:r>
      <w:r w:rsidRPr="00373DD4">
        <w:rPr>
          <w:rFonts w:eastAsia="Times New Roman" w:cs="Times New Roman"/>
        </w:rPr>
        <w:t xml:space="preserve"> je tvořen vládou schválenými dokumenty:  </w:t>
      </w:r>
      <w:r w:rsidRPr="00373DD4">
        <w:rPr>
          <w:rFonts w:eastAsia="Times New Roman" w:cs="Times New Roman"/>
          <w:b/>
        </w:rPr>
        <w:t xml:space="preserve">Národním programem reforem ČR 2013, Strategií mezinárodní konkurenceschopnosti ČR </w:t>
      </w:r>
      <w:r w:rsidRPr="00373DD4">
        <w:rPr>
          <w:rFonts w:eastAsia="Times New Roman" w:cs="Times New Roman"/>
        </w:rPr>
        <w:t>a</w:t>
      </w:r>
      <w:r>
        <w:rPr>
          <w:rFonts w:eastAsia="Times New Roman" w:cs="Times New Roman"/>
        </w:rPr>
        <w:t> </w:t>
      </w:r>
      <w:r w:rsidRPr="00373DD4">
        <w:rPr>
          <w:rFonts w:eastAsia="Times New Roman" w:cs="Times New Roman"/>
          <w:b/>
        </w:rPr>
        <w:t>Strategickým rámcem udržitelného rozvoje ČR.</w:t>
      </w:r>
    </w:p>
    <w:p w:rsidR="00B17192" w:rsidRPr="00373DD4" w:rsidRDefault="00B17192" w:rsidP="00B17192">
      <w:pPr>
        <w:rPr>
          <w:rFonts w:eastAsia="Times New Roman" w:cs="Times New Roman"/>
          <w:b/>
        </w:rPr>
      </w:pPr>
      <w:r w:rsidRPr="00373DD4">
        <w:rPr>
          <w:rFonts w:eastAsia="Times New Roman" w:cs="Times New Roman"/>
          <w:b/>
        </w:rPr>
        <w:t>Podrobný strategický rámec OP ŽP 2014-2020</w:t>
      </w:r>
      <w:r w:rsidRPr="00373DD4">
        <w:rPr>
          <w:rFonts w:eastAsia="Times New Roman" w:cs="Times New Roman"/>
        </w:rPr>
        <w:t xml:space="preserve"> je určen</w:t>
      </w:r>
      <w:r w:rsidRPr="00373DD4">
        <w:rPr>
          <w:rFonts w:eastAsia="Times New Roman" w:cs="Times New Roman"/>
          <w:b/>
        </w:rPr>
        <w:t xml:space="preserve"> Státní politikou životního prostředí ČR 2012-2020, schválenou vládou ČR dne 9. 1. 2013, která stanovuje následující priority:</w:t>
      </w:r>
    </w:p>
    <w:p w:rsidR="00B17192" w:rsidRPr="00373DD4" w:rsidRDefault="00B17192" w:rsidP="00B17192">
      <w:pPr>
        <w:numPr>
          <w:ilvl w:val="0"/>
          <w:numId w:val="78"/>
        </w:numPr>
        <w:contextualSpacing/>
        <w:rPr>
          <w:rFonts w:eastAsia="Times New Roman" w:cs="Times New Roman"/>
        </w:rPr>
      </w:pPr>
      <w:r>
        <w:rPr>
          <w:rFonts w:eastAsia="Times New Roman" w:cs="Times New Roman"/>
        </w:rPr>
        <w:t>z</w:t>
      </w:r>
      <w:r w:rsidRPr="00373DD4">
        <w:rPr>
          <w:rFonts w:eastAsia="Times New Roman" w:cs="Times New Roman"/>
        </w:rPr>
        <w:t>ajištění ochrany vod a zlepšování jejich stavu,</w:t>
      </w:r>
    </w:p>
    <w:p w:rsidR="00B17192" w:rsidRPr="00373DD4" w:rsidRDefault="00B17192" w:rsidP="00B17192">
      <w:pPr>
        <w:numPr>
          <w:ilvl w:val="0"/>
          <w:numId w:val="78"/>
        </w:numPr>
        <w:contextualSpacing/>
        <w:rPr>
          <w:rFonts w:eastAsia="Times New Roman" w:cs="Times New Roman"/>
        </w:rPr>
      </w:pPr>
      <w:r>
        <w:rPr>
          <w:rFonts w:eastAsia="Times New Roman" w:cs="Times New Roman"/>
        </w:rPr>
        <w:t>p</w:t>
      </w:r>
      <w:r w:rsidRPr="00373DD4">
        <w:rPr>
          <w:rFonts w:eastAsia="Times New Roman" w:cs="Times New Roman"/>
        </w:rPr>
        <w:t>revence a omezování vzniku odpadů a jejich negativního vlivu na životní prostředí, podpora jejich využívání jako náhrady přírodních surovin,</w:t>
      </w:r>
    </w:p>
    <w:p w:rsidR="00B17192" w:rsidRPr="00373DD4" w:rsidRDefault="00B17192" w:rsidP="00B17192">
      <w:pPr>
        <w:numPr>
          <w:ilvl w:val="0"/>
          <w:numId w:val="78"/>
        </w:numPr>
        <w:contextualSpacing/>
        <w:rPr>
          <w:rFonts w:eastAsia="Times New Roman" w:cs="Times New Roman"/>
        </w:rPr>
      </w:pPr>
      <w:r>
        <w:rPr>
          <w:rFonts w:eastAsia="Times New Roman" w:cs="Times New Roman"/>
        </w:rPr>
        <w:t>o</w:t>
      </w:r>
      <w:r w:rsidRPr="00373DD4">
        <w:rPr>
          <w:rFonts w:eastAsia="Times New Roman" w:cs="Times New Roman"/>
        </w:rPr>
        <w:t>chrana a udržitelné využívání půdního a horninového prostředí,</w:t>
      </w:r>
    </w:p>
    <w:p w:rsidR="00B17192" w:rsidRPr="00373DD4" w:rsidRDefault="00B17192" w:rsidP="00B17192">
      <w:pPr>
        <w:numPr>
          <w:ilvl w:val="0"/>
          <w:numId w:val="78"/>
        </w:numPr>
        <w:contextualSpacing/>
        <w:rPr>
          <w:rFonts w:eastAsia="Times New Roman" w:cs="Times New Roman"/>
        </w:rPr>
      </w:pPr>
      <w:r>
        <w:rPr>
          <w:rFonts w:eastAsia="Times New Roman" w:cs="Times New Roman"/>
        </w:rPr>
        <w:t>s</w:t>
      </w:r>
      <w:r w:rsidRPr="00373DD4">
        <w:rPr>
          <w:rFonts w:eastAsia="Times New Roman" w:cs="Times New Roman"/>
        </w:rPr>
        <w:t>nižování emisí skleníkových plynů a omezování dopadů klimatické změny,</w:t>
      </w:r>
    </w:p>
    <w:p w:rsidR="00B17192" w:rsidRPr="00373DD4" w:rsidRDefault="00B17192" w:rsidP="00B17192">
      <w:pPr>
        <w:numPr>
          <w:ilvl w:val="0"/>
          <w:numId w:val="78"/>
        </w:numPr>
        <w:contextualSpacing/>
        <w:rPr>
          <w:rFonts w:eastAsia="Times New Roman" w:cs="Times New Roman"/>
        </w:rPr>
      </w:pPr>
      <w:r>
        <w:rPr>
          <w:rFonts w:eastAsia="Times New Roman" w:cs="Times New Roman"/>
        </w:rPr>
        <w:t>s</w:t>
      </w:r>
      <w:r w:rsidRPr="00373DD4">
        <w:rPr>
          <w:rFonts w:eastAsia="Times New Roman" w:cs="Times New Roman"/>
        </w:rPr>
        <w:t>nížení úrovně znečištění ovzduší,</w:t>
      </w:r>
    </w:p>
    <w:p w:rsidR="00B17192" w:rsidRPr="00373DD4" w:rsidRDefault="00B17192" w:rsidP="00B17192">
      <w:pPr>
        <w:numPr>
          <w:ilvl w:val="0"/>
          <w:numId w:val="78"/>
        </w:numPr>
        <w:contextualSpacing/>
        <w:rPr>
          <w:rFonts w:eastAsia="Times New Roman" w:cs="Times New Roman"/>
        </w:rPr>
      </w:pPr>
      <w:r>
        <w:rPr>
          <w:rFonts w:eastAsia="Times New Roman" w:cs="Times New Roman"/>
        </w:rPr>
        <w:t>e</w:t>
      </w:r>
      <w:r w:rsidRPr="00373DD4">
        <w:rPr>
          <w:rFonts w:eastAsia="Times New Roman" w:cs="Times New Roman"/>
        </w:rPr>
        <w:t>fektivní a k přírodě šetrné využívání obnovitelných zdrojů energie,</w:t>
      </w:r>
    </w:p>
    <w:p w:rsidR="00B17192" w:rsidRPr="00373DD4" w:rsidRDefault="00B17192" w:rsidP="00B17192">
      <w:pPr>
        <w:numPr>
          <w:ilvl w:val="0"/>
          <w:numId w:val="78"/>
        </w:numPr>
        <w:contextualSpacing/>
        <w:rPr>
          <w:rFonts w:eastAsia="Times New Roman" w:cs="Times New Roman"/>
        </w:rPr>
      </w:pPr>
      <w:r>
        <w:rPr>
          <w:rFonts w:eastAsia="Times New Roman" w:cs="Times New Roman"/>
        </w:rPr>
        <w:t>o</w:t>
      </w:r>
      <w:r w:rsidRPr="00373DD4">
        <w:rPr>
          <w:rFonts w:eastAsia="Times New Roman" w:cs="Times New Roman"/>
        </w:rPr>
        <w:t>chrana a posílení ekologických funkcí krajiny,</w:t>
      </w:r>
    </w:p>
    <w:p w:rsidR="00B17192" w:rsidRPr="00373DD4" w:rsidRDefault="00B17192" w:rsidP="00B17192">
      <w:pPr>
        <w:numPr>
          <w:ilvl w:val="0"/>
          <w:numId w:val="78"/>
        </w:numPr>
        <w:contextualSpacing/>
        <w:rPr>
          <w:rFonts w:eastAsia="Times New Roman" w:cs="Times New Roman"/>
        </w:rPr>
      </w:pPr>
      <w:r>
        <w:rPr>
          <w:rFonts w:eastAsia="Times New Roman" w:cs="Times New Roman"/>
        </w:rPr>
        <w:t>z</w:t>
      </w:r>
      <w:r w:rsidRPr="00373DD4">
        <w:rPr>
          <w:rFonts w:eastAsia="Times New Roman" w:cs="Times New Roman"/>
        </w:rPr>
        <w:t>achování přírodních a krajinných hodnot,</w:t>
      </w:r>
    </w:p>
    <w:p w:rsidR="00B17192" w:rsidRPr="00373DD4" w:rsidRDefault="00B17192" w:rsidP="00B17192">
      <w:pPr>
        <w:numPr>
          <w:ilvl w:val="0"/>
          <w:numId w:val="78"/>
        </w:numPr>
        <w:contextualSpacing/>
        <w:rPr>
          <w:rFonts w:eastAsia="Times New Roman" w:cs="Times New Roman"/>
        </w:rPr>
      </w:pPr>
      <w:r>
        <w:rPr>
          <w:rFonts w:eastAsia="Times New Roman" w:cs="Times New Roman"/>
        </w:rPr>
        <w:t>z</w:t>
      </w:r>
      <w:r w:rsidRPr="00373DD4">
        <w:rPr>
          <w:rFonts w:eastAsia="Times New Roman" w:cs="Times New Roman"/>
        </w:rPr>
        <w:t>lepšení kvality prostředí v sídlech,</w:t>
      </w:r>
    </w:p>
    <w:p w:rsidR="00B17192" w:rsidRPr="00373DD4" w:rsidRDefault="00B17192" w:rsidP="00B17192">
      <w:pPr>
        <w:numPr>
          <w:ilvl w:val="0"/>
          <w:numId w:val="78"/>
        </w:numPr>
        <w:contextualSpacing/>
        <w:rPr>
          <w:rFonts w:eastAsia="Times New Roman" w:cs="Times New Roman"/>
        </w:rPr>
      </w:pPr>
      <w:r>
        <w:rPr>
          <w:rFonts w:eastAsia="Times New Roman" w:cs="Times New Roman"/>
        </w:rPr>
        <w:t>p</w:t>
      </w:r>
      <w:r w:rsidRPr="00373DD4">
        <w:rPr>
          <w:rFonts w:eastAsia="Times New Roman" w:cs="Times New Roman"/>
        </w:rPr>
        <w:t>ředcházení rizik,</w:t>
      </w:r>
    </w:p>
    <w:p w:rsidR="00B17192" w:rsidRDefault="00B17192" w:rsidP="00B17192">
      <w:pPr>
        <w:numPr>
          <w:ilvl w:val="0"/>
          <w:numId w:val="78"/>
        </w:numPr>
        <w:contextualSpacing/>
        <w:rPr>
          <w:rFonts w:eastAsia="Times New Roman" w:cs="Times New Roman"/>
        </w:rPr>
      </w:pPr>
      <w:r>
        <w:rPr>
          <w:rFonts w:eastAsia="Times New Roman" w:cs="Times New Roman"/>
        </w:rPr>
        <w:t>o</w:t>
      </w:r>
      <w:r w:rsidRPr="00373DD4">
        <w:rPr>
          <w:rFonts w:eastAsia="Times New Roman" w:cs="Times New Roman"/>
        </w:rPr>
        <w:t>chrana prostředí před negativními dopady krizových situací způsobených antropogenními nebo přírodními hrozbami.</w:t>
      </w:r>
    </w:p>
    <w:p w:rsidR="00B17192" w:rsidRDefault="00B17192" w:rsidP="00B17192">
      <w:pPr>
        <w:ind w:left="720"/>
        <w:contextualSpacing/>
        <w:rPr>
          <w:rFonts w:eastAsia="Times New Roman" w:cs="Times New Roman"/>
        </w:rPr>
      </w:pPr>
    </w:p>
    <w:p w:rsidR="00B17192" w:rsidRPr="00373DD4" w:rsidRDefault="00B17192" w:rsidP="00B17192">
      <w:pPr>
        <w:rPr>
          <w:rFonts w:eastAsia="Times New Roman" w:cs="Times New Roman"/>
        </w:rPr>
      </w:pPr>
      <w:r w:rsidRPr="00373DD4">
        <w:rPr>
          <w:rFonts w:eastAsia="Times New Roman" w:cs="Times New Roman"/>
        </w:rPr>
        <w:t xml:space="preserve">Pro každou z uvedených priorit jsou stanoveny </w:t>
      </w:r>
      <w:r w:rsidRPr="00373DD4">
        <w:rPr>
          <w:rFonts w:eastAsia="Times New Roman" w:cs="Times New Roman"/>
          <w:b/>
        </w:rPr>
        <w:t>cíle</w:t>
      </w:r>
      <w:r w:rsidRPr="00373DD4">
        <w:rPr>
          <w:rFonts w:eastAsia="Times New Roman" w:cs="Times New Roman"/>
        </w:rPr>
        <w:t xml:space="preserve"> a pro každý ze stanovených cílů jsou navržena </w:t>
      </w:r>
      <w:r w:rsidRPr="00373DD4">
        <w:rPr>
          <w:rFonts w:eastAsia="Times New Roman" w:cs="Times New Roman"/>
          <w:b/>
        </w:rPr>
        <w:t>konkrétní opatření</w:t>
      </w:r>
      <w:r w:rsidRPr="00373DD4">
        <w:rPr>
          <w:rFonts w:eastAsia="Times New Roman" w:cs="Times New Roman"/>
        </w:rPr>
        <w:t xml:space="preserve"> včetně termínu realizace, odpovědnosti orgánů státní správy (zejména relevantních ministerstev) za implementaci a indikátorů.</w:t>
      </w:r>
    </w:p>
    <w:p w:rsidR="00B17192" w:rsidRDefault="00B17192" w:rsidP="00B17192">
      <w:pPr>
        <w:pStyle w:val="Nadpis3"/>
        <w:rPr>
          <w:rFonts w:eastAsia="Times New Roman"/>
        </w:rPr>
      </w:pPr>
      <w:bookmarkStart w:id="2209" w:name="_Toc386194838"/>
      <w:bookmarkStart w:id="2210" w:name="_Toc392150972"/>
      <w:r w:rsidRPr="00373DD4">
        <w:rPr>
          <w:rFonts w:eastAsia="Times New Roman"/>
        </w:rPr>
        <w:t>Analýza problémů a identifikace příčin a potřeb v oblasti životního prostředí v ČR</w:t>
      </w:r>
      <w:bookmarkEnd w:id="2209"/>
      <w:bookmarkEnd w:id="2210"/>
    </w:p>
    <w:p w:rsidR="00B17192" w:rsidRPr="0073559C" w:rsidRDefault="00B17192" w:rsidP="00B17192">
      <w:pPr>
        <w:rPr>
          <w:rFonts w:eastAsia="Times New Roman" w:cs="Times New Roman"/>
          <w:b/>
          <w:i/>
          <w:color w:val="76923C" w:themeColor="accent3" w:themeShade="BF"/>
          <w:sz w:val="24"/>
          <w:szCs w:val="24"/>
          <w:u w:val="single"/>
        </w:rPr>
      </w:pPr>
      <w:r w:rsidRPr="0033290F">
        <w:rPr>
          <w:rFonts w:eastAsia="Times New Roman" w:cs="Times New Roman"/>
          <w:b/>
          <w:i/>
          <w:color w:val="76923C" w:themeColor="accent3" w:themeShade="BF"/>
          <w:sz w:val="24"/>
          <w:szCs w:val="24"/>
          <w:u w:val="single"/>
        </w:rPr>
        <w:t>Priorita 1: Zlepšování kvality vod a snížení rizika povodní</w:t>
      </w:r>
    </w:p>
    <w:p w:rsidR="00B17192" w:rsidRPr="00373DD4" w:rsidRDefault="00B17192" w:rsidP="00B17192">
      <w:pPr>
        <w:rPr>
          <w:rFonts w:eastAsia="Times New Roman" w:cs="Times New Roman"/>
          <w:b/>
        </w:rPr>
      </w:pPr>
      <w:r w:rsidRPr="00373DD4">
        <w:rPr>
          <w:rFonts w:eastAsia="Times New Roman" w:cs="Times New Roman"/>
          <w:b/>
        </w:rPr>
        <w:t>Aktuální stav – Problémy</w:t>
      </w:r>
    </w:p>
    <w:p w:rsidR="00B17192" w:rsidRPr="00373DD4" w:rsidRDefault="00B17192" w:rsidP="00B17192">
      <w:pPr>
        <w:rPr>
          <w:rFonts w:eastAsia="Times New Roman" w:cs="Times New Roman"/>
        </w:rPr>
      </w:pPr>
      <w:r w:rsidRPr="00373DD4">
        <w:rPr>
          <w:rFonts w:eastAsia="Times New Roman" w:cs="Times New Roman"/>
        </w:rPr>
        <w:t>Priorit</w:t>
      </w:r>
      <w:r>
        <w:rPr>
          <w:rFonts w:eastAsia="Times New Roman" w:cs="Times New Roman"/>
        </w:rPr>
        <w:t xml:space="preserve">ou </w:t>
      </w:r>
      <w:r w:rsidRPr="00373DD4">
        <w:rPr>
          <w:rFonts w:eastAsia="Times New Roman" w:cs="Times New Roman"/>
        </w:rPr>
        <w:t>je dosažení cílů Směrnice 2000/60/ES o v</w:t>
      </w:r>
      <w:r w:rsidR="00F43755">
        <w:rPr>
          <w:rFonts w:eastAsia="Times New Roman" w:cs="Times New Roman"/>
        </w:rPr>
        <w:t xml:space="preserve">odní politice a související </w:t>
      </w:r>
      <w:r w:rsidRPr="00373DD4">
        <w:rPr>
          <w:rFonts w:eastAsia="Times New Roman" w:cs="Times New Roman"/>
        </w:rPr>
        <w:t xml:space="preserve">legislativy, tedy dosažení dobrého stavu vod, popsaného ekologickým stavem (resp. ekologickým potenciálem pro silně ovlivněné vodní útvary) a chemickým stavem. Dobrý stav vod </w:t>
      </w:r>
      <w:r>
        <w:rPr>
          <w:rFonts w:eastAsia="Times New Roman" w:cs="Times New Roman"/>
        </w:rPr>
        <w:t>lze</w:t>
      </w:r>
      <w:r w:rsidRPr="00373DD4">
        <w:rPr>
          <w:rFonts w:eastAsia="Times New Roman" w:cs="Times New Roman"/>
        </w:rPr>
        <w:t xml:space="preserve"> dosáhnout opatřeními v rámci jednotlivých povodí, v nichž byly identifikovány významné problémy nakládání s vodami, zejména významné látkové zatížení vod, morfologické změny vodních toků a potenciální nedostatek vody. Další</w:t>
      </w:r>
      <w:r>
        <w:rPr>
          <w:rFonts w:eastAsia="Times New Roman" w:cs="Times New Roman"/>
        </w:rPr>
        <w:t xml:space="preserve"> p</w:t>
      </w:r>
      <w:r w:rsidRPr="00373DD4">
        <w:rPr>
          <w:rFonts w:eastAsia="Times New Roman" w:cs="Times New Roman"/>
        </w:rPr>
        <w:t>riorit</w:t>
      </w:r>
      <w:r>
        <w:rPr>
          <w:rFonts w:eastAsia="Times New Roman" w:cs="Times New Roman"/>
        </w:rPr>
        <w:t>ou</w:t>
      </w:r>
      <w:r w:rsidRPr="00373DD4">
        <w:rPr>
          <w:rFonts w:eastAsia="Times New Roman" w:cs="Times New Roman"/>
        </w:rPr>
        <w:t xml:space="preserve"> je dosažení cílů Směrnice 2007/60/ES o vyhodnocování a zvládání povodňových rizik, tedy omezení rizika nepříznivých dopadů </w:t>
      </w:r>
      <w:r w:rsidRPr="00373DD4">
        <w:rPr>
          <w:rFonts w:eastAsia="Times New Roman" w:cs="Times New Roman"/>
        </w:rPr>
        <w:lastRenderedPageBreak/>
        <w:t>povodní na</w:t>
      </w:r>
      <w:r>
        <w:rPr>
          <w:rFonts w:eastAsia="Times New Roman" w:cs="Times New Roman"/>
        </w:rPr>
        <w:t> </w:t>
      </w:r>
      <w:r w:rsidRPr="00373DD4">
        <w:rPr>
          <w:rFonts w:eastAsia="Times New Roman" w:cs="Times New Roman"/>
        </w:rPr>
        <w:t xml:space="preserve">lidské zdraví, životní prostředí, kulturní dědictví, hospodářskou činnost a infrastrukturu. </w:t>
      </w:r>
    </w:p>
    <w:p w:rsidR="00B17192" w:rsidRPr="00373DD4" w:rsidRDefault="00B17192" w:rsidP="00B17192">
      <w:pPr>
        <w:rPr>
          <w:rFonts w:eastAsia="Times New Roman" w:cs="Times New Roman"/>
          <w:b/>
        </w:rPr>
      </w:pPr>
      <w:r w:rsidRPr="00373DD4">
        <w:rPr>
          <w:rFonts w:eastAsia="Times New Roman" w:cs="Times New Roman"/>
        </w:rPr>
        <w:t xml:space="preserve">Z hodnocení, uvedeného </w:t>
      </w:r>
      <w:r>
        <w:rPr>
          <w:rFonts w:eastAsia="Times New Roman" w:cs="Times New Roman"/>
        </w:rPr>
        <w:t>v obrázcích č. 1 a 2 v Příloze 1</w:t>
      </w:r>
      <w:r w:rsidRPr="00373DD4">
        <w:rPr>
          <w:rFonts w:eastAsia="Times New Roman" w:cs="Times New Roman"/>
        </w:rPr>
        <w:t xml:space="preserve">, vyplývá, že </w:t>
      </w:r>
      <w:r w:rsidRPr="00373DD4">
        <w:rPr>
          <w:rFonts w:eastAsia="Times New Roman" w:cs="Times New Roman"/>
          <w:b/>
        </w:rPr>
        <w:t>z hlediska ekologického a</w:t>
      </w:r>
      <w:r>
        <w:rPr>
          <w:rFonts w:eastAsia="Times New Roman" w:cs="Times New Roman"/>
          <w:b/>
        </w:rPr>
        <w:t> </w:t>
      </w:r>
      <w:r w:rsidRPr="00373DD4">
        <w:rPr>
          <w:rFonts w:eastAsia="Times New Roman" w:cs="Times New Roman"/>
          <w:b/>
        </w:rPr>
        <w:t>do</w:t>
      </w:r>
      <w:r>
        <w:rPr>
          <w:rFonts w:eastAsia="Times New Roman" w:cs="Times New Roman"/>
          <w:b/>
        </w:rPr>
        <w:t> </w:t>
      </w:r>
      <w:r w:rsidRPr="00373DD4">
        <w:rPr>
          <w:rFonts w:eastAsia="Times New Roman" w:cs="Times New Roman"/>
          <w:b/>
        </w:rPr>
        <w:t>určité míry také chemického stavu povrchových vod v ČR nebylo dosud v řadě vodních útvarů dosaženo dobrého stavu.</w:t>
      </w:r>
    </w:p>
    <w:p w:rsidR="00B17192" w:rsidRPr="00373DD4" w:rsidRDefault="00B17192" w:rsidP="00B17192">
      <w:pPr>
        <w:rPr>
          <w:rFonts w:eastAsia="Times New Roman" w:cs="Times New Roman"/>
        </w:rPr>
      </w:pPr>
      <w:r w:rsidRPr="00373DD4">
        <w:rPr>
          <w:rFonts w:eastAsia="Times New Roman" w:cs="Times New Roman"/>
          <w:b/>
        </w:rPr>
        <w:t xml:space="preserve">Významným rizikem pro kvalitu povrchových i podzemních vod jsou kromě vypouštěného znečištění z bodových zdrojů také znečištění z plošných (difuzních) zdrojů </w:t>
      </w:r>
      <w:r w:rsidRPr="00373DD4">
        <w:rPr>
          <w:rFonts w:eastAsia="Times New Roman" w:cs="Times New Roman"/>
        </w:rPr>
        <w:t>a</w:t>
      </w:r>
      <w:r w:rsidRPr="00373DD4">
        <w:rPr>
          <w:rFonts w:eastAsia="Times New Roman" w:cs="Times New Roman"/>
          <w:b/>
        </w:rPr>
        <w:t xml:space="preserve"> staré ekologické zátěže</w:t>
      </w:r>
      <w:r w:rsidRPr="00373DD4">
        <w:rPr>
          <w:rFonts w:eastAsia="Times New Roman" w:cs="Times New Roman"/>
        </w:rPr>
        <w:t xml:space="preserve"> (staré skládky odpadu, kontaminovaná území).</w:t>
      </w:r>
    </w:p>
    <w:p w:rsidR="00B17192" w:rsidRPr="00373DD4" w:rsidRDefault="00B17192" w:rsidP="00B17192">
      <w:pPr>
        <w:rPr>
          <w:rFonts w:eastAsia="Times New Roman" w:cs="Times New Roman"/>
        </w:rPr>
      </w:pPr>
      <w:r w:rsidRPr="00373DD4">
        <w:rPr>
          <w:rFonts w:eastAsia="Times New Roman" w:cs="Times New Roman"/>
        </w:rPr>
        <w:t xml:space="preserve">Na území ČR se nachází </w:t>
      </w:r>
      <w:r w:rsidRPr="00373DD4">
        <w:rPr>
          <w:rFonts w:eastAsia="Times New Roman" w:cs="Times New Roman"/>
          <w:b/>
        </w:rPr>
        <w:t>množství nevyužívaných průzkumných vrtů, které nejsou zajištěny proti vniknutí cizorodých látek do podzemní vody</w:t>
      </w:r>
      <w:r w:rsidRPr="00373DD4">
        <w:rPr>
          <w:rFonts w:eastAsia="Times New Roman" w:cs="Times New Roman"/>
        </w:rPr>
        <w:t xml:space="preserve"> a jejich odborné uzavírání je proto velmi žádoucí. Celkový počet vrtů je 360 (viz obrázek č. 3 v Příloze 1), stanovení priorit bude vycházet z Plánů povodí.</w:t>
      </w:r>
    </w:p>
    <w:p w:rsidR="00B17192" w:rsidRPr="00BA0FDA" w:rsidRDefault="00B17192" w:rsidP="00B17192">
      <w:r w:rsidRPr="00373DD4">
        <w:rPr>
          <w:rFonts w:eastAsia="Times New Roman" w:cs="Times New Roman"/>
        </w:rPr>
        <w:t xml:space="preserve">V současnosti představuje </w:t>
      </w:r>
      <w:r w:rsidRPr="00373DD4">
        <w:rPr>
          <w:rFonts w:eastAsia="Times New Roman" w:cs="Times New Roman"/>
          <w:b/>
        </w:rPr>
        <w:t>počet lidí zásobovaných nezávadnou pitnou vodou 93 % obyvatelstva</w:t>
      </w:r>
      <w:r w:rsidRPr="00BA0FDA">
        <w:t>. V blízké budoucnosti se očekává vzhledem ke změ</w:t>
      </w:r>
      <w:r w:rsidR="00F43755">
        <w:t>ně klimatu problém s kvalitou i </w:t>
      </w:r>
      <w:r w:rsidRPr="00BA0FDA">
        <w:t>kvantitou současných vodních zdrojů určených k zásobování obyvatelstva.</w:t>
      </w:r>
    </w:p>
    <w:p w:rsidR="00B17192" w:rsidRPr="00373DD4" w:rsidRDefault="00B17192" w:rsidP="00B17192">
      <w:pPr>
        <w:rPr>
          <w:rFonts w:eastAsia="Times New Roman" w:cs="Times New Roman"/>
        </w:rPr>
      </w:pPr>
      <w:r w:rsidRPr="00373DD4">
        <w:rPr>
          <w:rFonts w:eastAsia="Times New Roman" w:cs="Times New Roman"/>
        </w:rPr>
        <w:t xml:space="preserve">V ČR je dále značný </w:t>
      </w:r>
      <w:r w:rsidRPr="00373DD4">
        <w:rPr>
          <w:rFonts w:eastAsia="Times New Roman" w:cs="Times New Roman"/>
          <w:b/>
        </w:rPr>
        <w:t>problém s vodním režimem krajiny, protože snížená retenční schopnost krajiny a urbanizace území podél vodního toku má významný vliv na vznik a průběh povodní</w:t>
      </w:r>
      <w:r w:rsidRPr="00373DD4">
        <w:rPr>
          <w:rFonts w:eastAsia="Times New Roman" w:cs="Times New Roman"/>
        </w:rPr>
        <w:t xml:space="preserve">, které se v poslední dekádě </w:t>
      </w:r>
      <w:r>
        <w:rPr>
          <w:rFonts w:eastAsia="Times New Roman" w:cs="Times New Roman"/>
        </w:rPr>
        <w:t xml:space="preserve">často </w:t>
      </w:r>
      <w:r w:rsidRPr="00373DD4">
        <w:rPr>
          <w:rFonts w:eastAsia="Times New Roman" w:cs="Times New Roman"/>
        </w:rPr>
        <w:t xml:space="preserve">opakují. </w:t>
      </w:r>
      <w:r>
        <w:rPr>
          <w:rFonts w:eastAsia="Times New Roman" w:cs="Times New Roman"/>
        </w:rPr>
        <w:t xml:space="preserve">Podle Směrnice 2007/60/ES bylo </w:t>
      </w:r>
      <w:r w:rsidRPr="00373DD4">
        <w:rPr>
          <w:rFonts w:eastAsia="Times New Roman" w:cs="Times New Roman"/>
        </w:rPr>
        <w:t>vymezeno 298 oblastí s významným povodňovým rizikem (</w:t>
      </w:r>
      <w:proofErr w:type="gramStart"/>
      <w:r w:rsidRPr="00373DD4">
        <w:rPr>
          <w:rFonts w:eastAsia="Times New Roman" w:cs="Times New Roman"/>
        </w:rPr>
        <w:t>ASPFR) (viz</w:t>
      </w:r>
      <w:proofErr w:type="gramEnd"/>
      <w:r w:rsidRPr="00373DD4">
        <w:rPr>
          <w:rFonts w:eastAsia="Times New Roman" w:cs="Times New Roman"/>
        </w:rPr>
        <w:t xml:space="preserve"> obr. 4 v Příloze</w:t>
      </w:r>
      <w:r>
        <w:rPr>
          <w:rFonts w:eastAsia="Times New Roman" w:cs="Times New Roman"/>
        </w:rPr>
        <w:t xml:space="preserve"> 1</w:t>
      </w:r>
      <w:r w:rsidRPr="00373DD4">
        <w:rPr>
          <w:rFonts w:eastAsia="Times New Roman" w:cs="Times New Roman"/>
        </w:rPr>
        <w:t>).</w:t>
      </w:r>
    </w:p>
    <w:p w:rsidR="00B17192" w:rsidRPr="00373DD4" w:rsidRDefault="00B17192" w:rsidP="00B17192">
      <w:pPr>
        <w:rPr>
          <w:rFonts w:eastAsia="Times New Roman" w:cs="Times New Roman"/>
          <w:b/>
        </w:rPr>
      </w:pPr>
      <w:r w:rsidRPr="00373DD4">
        <w:rPr>
          <w:rFonts w:eastAsia="Times New Roman" w:cs="Times New Roman"/>
          <w:b/>
        </w:rPr>
        <w:t>Aktuální stav – Příčiny</w:t>
      </w:r>
    </w:p>
    <w:p w:rsidR="00B17192" w:rsidRPr="00373DD4" w:rsidRDefault="00B17192" w:rsidP="00B17192">
      <w:pPr>
        <w:rPr>
          <w:rFonts w:eastAsia="Times New Roman" w:cs="Times New Roman"/>
        </w:rPr>
      </w:pPr>
      <w:r w:rsidRPr="00373DD4">
        <w:rPr>
          <w:rFonts w:eastAsia="Times New Roman" w:cs="Times New Roman"/>
          <w:b/>
        </w:rPr>
        <w:t>Jednou z hlavních příčin znečištění vod je vypouštění odpadních vod z bodových zdrojů</w:t>
      </w:r>
      <w:r w:rsidRPr="00373DD4">
        <w:rPr>
          <w:rFonts w:eastAsia="Times New Roman" w:cs="Times New Roman"/>
        </w:rPr>
        <w:t>. V</w:t>
      </w:r>
      <w:r>
        <w:rPr>
          <w:rFonts w:eastAsia="Times New Roman" w:cs="Times New Roman"/>
        </w:rPr>
        <w:t> </w:t>
      </w:r>
      <w:r w:rsidRPr="00373DD4">
        <w:rPr>
          <w:rFonts w:eastAsia="Times New Roman" w:cs="Times New Roman"/>
        </w:rPr>
        <w:t>r</w:t>
      </w:r>
      <w:r>
        <w:rPr>
          <w:rFonts w:eastAsia="Times New Roman" w:cs="Times New Roman"/>
        </w:rPr>
        <w:t>.</w:t>
      </w:r>
      <w:r w:rsidR="00A371DE">
        <w:rPr>
          <w:rFonts w:eastAsia="Times New Roman" w:cs="Times New Roman"/>
        </w:rPr>
        <w:t xml:space="preserve"> </w:t>
      </w:r>
      <w:r w:rsidRPr="00373DD4">
        <w:rPr>
          <w:rFonts w:eastAsia="Times New Roman" w:cs="Times New Roman"/>
        </w:rPr>
        <w:t xml:space="preserve">2010 vypršelo přechodné období pro splnění požadavků </w:t>
      </w:r>
      <w:r w:rsidRPr="00373DD4">
        <w:rPr>
          <w:rFonts w:eastAsia="Times New Roman" w:cs="Arial"/>
        </w:rPr>
        <w:t>Směrnice Rady č. 91/271/EHS o čištění městských odpadních vod, tzn. vyřešení čištění a odkanalizování u všech aglomerací nad 2000 ekvivalentních obyvatel (dále „EO“).</w:t>
      </w:r>
    </w:p>
    <w:p w:rsidR="00B17192" w:rsidRPr="00373DD4" w:rsidRDefault="00B17192" w:rsidP="00B17192">
      <w:pPr>
        <w:rPr>
          <w:rFonts w:eastAsia="Times New Roman" w:cs="Times New Roman"/>
        </w:rPr>
      </w:pPr>
      <w:r w:rsidRPr="00373DD4">
        <w:rPr>
          <w:rFonts w:eastAsia="Times New Roman" w:cs="Times New Roman"/>
        </w:rPr>
        <w:t>V ČR bylo identifikováno 633 aglomerací</w:t>
      </w:r>
      <w:r>
        <w:rPr>
          <w:rFonts w:eastAsia="Times New Roman" w:cs="Times New Roman"/>
        </w:rPr>
        <w:t xml:space="preserve">, </w:t>
      </w:r>
      <w:r w:rsidRPr="00373DD4">
        <w:rPr>
          <w:rFonts w:eastAsia="Times New Roman" w:cs="Times New Roman"/>
        </w:rPr>
        <w:t xml:space="preserve">zároveň je celá ČR vyhlášena jako citlivá oblast, což vyžaduje </w:t>
      </w:r>
      <w:r>
        <w:rPr>
          <w:rFonts w:eastAsia="Times New Roman" w:cs="Times New Roman"/>
        </w:rPr>
        <w:t>terciární</w:t>
      </w:r>
      <w:r w:rsidRPr="00373DD4">
        <w:rPr>
          <w:rFonts w:eastAsia="Times New Roman" w:cs="Times New Roman"/>
        </w:rPr>
        <w:t xml:space="preserve"> čištění odpadních vod u aglomerací nad</w:t>
      </w:r>
      <w:r>
        <w:rPr>
          <w:rFonts w:eastAsia="Times New Roman" w:cs="Times New Roman"/>
        </w:rPr>
        <w:t> </w:t>
      </w:r>
      <w:r w:rsidRPr="00373DD4">
        <w:rPr>
          <w:rFonts w:eastAsia="Times New Roman" w:cs="Times New Roman"/>
        </w:rPr>
        <w:t xml:space="preserve">10 000 EO. V minulých letech byla z prostředků fondů EU a národních zdrojů realizována výstavba a rekonstrukce kanalizací a ČOV u většiny aglomerací (viz graf č. 1 v Příloze 1). </w:t>
      </w:r>
      <w:r w:rsidRPr="00373DD4">
        <w:rPr>
          <w:rFonts w:eastAsia="Times New Roman" w:cs="Times New Roman"/>
          <w:b/>
        </w:rPr>
        <w:t>Všechny aglomerace nad 10 000 EO mají zajištěno terciární čištění, ne všechny</w:t>
      </w:r>
      <w:r>
        <w:rPr>
          <w:rFonts w:eastAsia="Times New Roman" w:cs="Times New Roman"/>
          <w:b/>
        </w:rPr>
        <w:t xml:space="preserve"> však</w:t>
      </w:r>
      <w:r w:rsidRPr="00373DD4">
        <w:rPr>
          <w:rFonts w:eastAsia="Times New Roman" w:cs="Times New Roman"/>
          <w:b/>
        </w:rPr>
        <w:t xml:space="preserve"> plní požadavky na jakost vypouštěných odpadních vod</w:t>
      </w:r>
      <w:r w:rsidRPr="00373DD4">
        <w:rPr>
          <w:rFonts w:eastAsia="Times New Roman" w:cs="Times New Roman"/>
        </w:rPr>
        <w:t>,</w:t>
      </w:r>
      <w:r w:rsidRPr="00373DD4">
        <w:rPr>
          <w:rFonts w:eastAsia="Times New Roman" w:cs="Times New Roman"/>
          <w:b/>
        </w:rPr>
        <w:t xml:space="preserve"> nejproblematičtější zůstává ústřední č</w:t>
      </w:r>
      <w:r w:rsidR="00F43755">
        <w:rPr>
          <w:rFonts w:eastAsia="Times New Roman" w:cs="Times New Roman"/>
          <w:b/>
        </w:rPr>
        <w:t>istírna odpadních vod Praha. Ke </w:t>
      </w:r>
      <w:r w:rsidRPr="00373DD4">
        <w:rPr>
          <w:rFonts w:eastAsia="Times New Roman" w:cs="Times New Roman"/>
          <w:b/>
        </w:rPr>
        <w:t>konci r</w:t>
      </w:r>
      <w:r>
        <w:rPr>
          <w:rFonts w:eastAsia="Times New Roman" w:cs="Times New Roman"/>
          <w:b/>
        </w:rPr>
        <w:t xml:space="preserve">. </w:t>
      </w:r>
      <w:r w:rsidRPr="00373DD4">
        <w:rPr>
          <w:rFonts w:eastAsia="Times New Roman" w:cs="Times New Roman"/>
          <w:b/>
        </w:rPr>
        <w:t xml:space="preserve">2013 chyběly odpovídající ČOV u 11 aglomerací mezi 2000 a 10 000 </w:t>
      </w:r>
      <w:r w:rsidR="00A371DE">
        <w:rPr>
          <w:rFonts w:eastAsia="Times New Roman" w:cs="Times New Roman"/>
        </w:rPr>
        <w:t>EO (Byšice – Liblice,</w:t>
      </w:r>
      <w:r w:rsidRPr="00373DD4">
        <w:rPr>
          <w:rFonts w:eastAsia="Times New Roman" w:cs="Times New Roman"/>
        </w:rPr>
        <w:t xml:space="preserve"> Bánov, Dolní Újezd, Hať, Týnec nad Labem, Horní Jiřetín, Zlechov, Dětmarovice, Hrádek u Sušice, Hroznová Lhota – Tasov, Píšť).</w:t>
      </w:r>
      <w:r w:rsidRPr="00847FDA">
        <w:t xml:space="preserve"> </w:t>
      </w:r>
      <w:r>
        <w:t>Náklady se odhadují na 0,5 mld. Kč.</w:t>
      </w:r>
      <w:r w:rsidRPr="00373DD4">
        <w:rPr>
          <w:rFonts w:eastAsia="Times New Roman" w:cs="Times New Roman"/>
        </w:rPr>
        <w:t xml:space="preserve"> </w:t>
      </w:r>
      <w:r>
        <w:t>Očekává se, že do </w:t>
      </w:r>
      <w:r w:rsidRPr="007008D8">
        <w:t>konce r</w:t>
      </w:r>
      <w:r>
        <w:t>.</w:t>
      </w:r>
      <w:r w:rsidRPr="007008D8">
        <w:t xml:space="preserve"> 2015 budou i tyto aglomerace splňovat požadavky Směrnice 91/271/EHS.</w:t>
      </w:r>
    </w:p>
    <w:p w:rsidR="00B17192" w:rsidRPr="00373DD4" w:rsidRDefault="00B17192" w:rsidP="00B17192">
      <w:pPr>
        <w:rPr>
          <w:rFonts w:eastAsia="Times New Roman" w:cs="Times New Roman"/>
        </w:rPr>
      </w:pPr>
      <w:r w:rsidRPr="00373DD4">
        <w:rPr>
          <w:rFonts w:eastAsia="Times New Roman" w:cs="Times New Roman"/>
        </w:rPr>
        <w:t xml:space="preserve">Přetrvávají </w:t>
      </w:r>
      <w:r w:rsidRPr="00373DD4">
        <w:rPr>
          <w:rFonts w:eastAsia="Times New Roman" w:cs="Times New Roman"/>
          <w:b/>
        </w:rPr>
        <w:t>problémy s eutrofizací povrchových vod</w:t>
      </w:r>
      <w:r w:rsidRPr="00373DD4">
        <w:rPr>
          <w:rFonts w:eastAsia="Times New Roman" w:cs="Times New Roman"/>
        </w:rPr>
        <w:t>, způsoben</w:t>
      </w:r>
      <w:r>
        <w:rPr>
          <w:rFonts w:eastAsia="Times New Roman" w:cs="Times New Roman"/>
        </w:rPr>
        <w:t>é</w:t>
      </w:r>
      <w:r w:rsidRPr="00373DD4">
        <w:rPr>
          <w:rFonts w:eastAsia="Times New Roman" w:cs="Times New Roman"/>
        </w:rPr>
        <w:t xml:space="preserve"> zejména nadměrným množstvím nutrietů, pocházejících z různých zdrojů. Eutrofizace působí problémy s využitím </w:t>
      </w:r>
      <w:r w:rsidRPr="00373DD4">
        <w:rPr>
          <w:rFonts w:eastAsia="Times New Roman" w:cs="Times New Roman"/>
        </w:rPr>
        <w:lastRenderedPageBreak/>
        <w:t>vody pro lidskou potřebu – výrobu pitné vody a koupání. V ČR se 50 % zdrojů pitné vody čerpá z povrchových vod.</w:t>
      </w:r>
    </w:p>
    <w:p w:rsidR="00B17192" w:rsidRPr="00373DD4" w:rsidRDefault="00B17192" w:rsidP="00B17192">
      <w:pPr>
        <w:rPr>
          <w:rFonts w:eastAsia="Times New Roman" w:cs="Times New Roman"/>
        </w:rPr>
      </w:pPr>
      <w:r w:rsidRPr="00373DD4">
        <w:rPr>
          <w:rFonts w:eastAsia="Times New Roman" w:cs="Times New Roman"/>
          <w:b/>
        </w:rPr>
        <w:t>Vodní režim krajiny je ovlivněn technickými úpravami vodních toků, nevhodným obhospodařováním zemědělské půdy a nárůstem zastavěných ploch, kdy není řešena otázka výrazného zvýšení průtoku vody.</w:t>
      </w:r>
      <w:r w:rsidRPr="00373DD4">
        <w:rPr>
          <w:rFonts w:eastAsia="Times New Roman" w:cs="Times New Roman"/>
        </w:rPr>
        <w:t xml:space="preserve"> Mnoho obcí převádí dešťové vody ze zpevněných ploch kanalizací přímo do vodoteče a urychluje tím odtok. Urbanizace navíc na</w:t>
      </w:r>
      <w:r>
        <w:rPr>
          <w:rFonts w:eastAsia="Times New Roman" w:cs="Times New Roman"/>
        </w:rPr>
        <w:t>bývá na </w:t>
      </w:r>
      <w:r w:rsidRPr="00373DD4">
        <w:rPr>
          <w:rFonts w:eastAsia="Times New Roman" w:cs="Times New Roman"/>
        </w:rPr>
        <w:t xml:space="preserve">intenzitě a výrazné zlepšení vodního režimu krajiny prozatím nelze očekávat.  </w:t>
      </w:r>
      <w:r>
        <w:rPr>
          <w:rFonts w:eastAsia="Times New Roman" w:cs="Times New Roman"/>
        </w:rPr>
        <w:t xml:space="preserve">Tyto </w:t>
      </w:r>
      <w:r w:rsidRPr="00373DD4">
        <w:rPr>
          <w:rFonts w:eastAsia="Times New Roman" w:cs="Times New Roman"/>
        </w:rPr>
        <w:t>faktory významně zhoršují retenční schopnosti krajiny, která není schopna reagovat na výkyvy počasí, například přívalové deště v letním období nebo dlouhotrvající srážky (jak tomu bylo u povodní v roce 2009, 2010 a 2013). Povodně jsou navíc faktorem, výrazně zv</w:t>
      </w:r>
      <w:r>
        <w:rPr>
          <w:rFonts w:eastAsia="Times New Roman" w:cs="Times New Roman"/>
        </w:rPr>
        <w:t>yšujícím</w:t>
      </w:r>
      <w:r w:rsidRPr="00373DD4">
        <w:rPr>
          <w:rFonts w:eastAsia="Times New Roman" w:cs="Times New Roman"/>
        </w:rPr>
        <w:t xml:space="preserve"> riziko svahových nestabilit </w:t>
      </w:r>
      <w:r>
        <w:rPr>
          <w:rFonts w:eastAsia="Times New Roman" w:cs="Times New Roman"/>
        </w:rPr>
        <w:t xml:space="preserve">vedoucích </w:t>
      </w:r>
      <w:r w:rsidRPr="00373DD4">
        <w:rPr>
          <w:rFonts w:eastAsia="Times New Roman" w:cs="Times New Roman"/>
        </w:rPr>
        <w:t xml:space="preserve">k sesuvům půdy či skalním řícením. Nutné je soustředit se </w:t>
      </w:r>
      <w:r>
        <w:rPr>
          <w:rFonts w:eastAsia="Times New Roman" w:cs="Times New Roman"/>
        </w:rPr>
        <w:t>jak na </w:t>
      </w:r>
      <w:r w:rsidRPr="00373DD4">
        <w:rPr>
          <w:rFonts w:eastAsia="Times New Roman" w:cs="Times New Roman"/>
        </w:rPr>
        <w:t xml:space="preserve">preventivní opatření, </w:t>
      </w:r>
      <w:r>
        <w:rPr>
          <w:rFonts w:eastAsia="Times New Roman" w:cs="Times New Roman"/>
        </w:rPr>
        <w:t>tak</w:t>
      </w:r>
      <w:r w:rsidRPr="00373DD4">
        <w:rPr>
          <w:rFonts w:eastAsia="Times New Roman" w:cs="Times New Roman"/>
        </w:rPr>
        <w:t xml:space="preserve"> i na realiz</w:t>
      </w:r>
      <w:r>
        <w:rPr>
          <w:rFonts w:eastAsia="Times New Roman" w:cs="Times New Roman"/>
        </w:rPr>
        <w:t>aci přírodě blízkých opatření a </w:t>
      </w:r>
      <w:r w:rsidRPr="00373DD4">
        <w:rPr>
          <w:rFonts w:eastAsia="Times New Roman" w:cs="Times New Roman"/>
        </w:rPr>
        <w:t>technických opatření (včetně sanace svahových nestabilit) či jejich kombinaci</w:t>
      </w:r>
      <w:r>
        <w:rPr>
          <w:rFonts w:eastAsia="Times New Roman" w:cs="Times New Roman"/>
        </w:rPr>
        <w:t xml:space="preserve"> </w:t>
      </w:r>
      <w:r w:rsidRPr="00373DD4">
        <w:rPr>
          <w:rFonts w:eastAsia="Times New Roman" w:cs="Times New Roman"/>
        </w:rPr>
        <w:t>v </w:t>
      </w:r>
      <w:proofErr w:type="spellStart"/>
      <w:r w:rsidRPr="00373DD4">
        <w:rPr>
          <w:rFonts w:eastAsia="Times New Roman" w:cs="Times New Roman"/>
        </w:rPr>
        <w:t>intravilánu</w:t>
      </w:r>
      <w:proofErr w:type="spellEnd"/>
      <w:r w:rsidRPr="00373DD4">
        <w:rPr>
          <w:rFonts w:eastAsia="Times New Roman" w:cs="Times New Roman"/>
        </w:rPr>
        <w:t xml:space="preserve"> obcí a měst</w:t>
      </w:r>
      <w:r>
        <w:rPr>
          <w:rFonts w:eastAsia="Times New Roman" w:cs="Times New Roman"/>
        </w:rPr>
        <w:t xml:space="preserve"> </w:t>
      </w:r>
      <w:r w:rsidRPr="00373DD4">
        <w:rPr>
          <w:rFonts w:eastAsia="Times New Roman" w:cs="Times New Roman"/>
        </w:rPr>
        <w:t>i ve volné krajině. Ve městech ležících na významných vodních tocích jsou ve velké míře vybudovány lokální varovné systémy a řeší se lokální protipovodňová opatření, tyto systémy však stále chybí v obcích, které jsou ohroženy přívalovými povodněmi a toto nebezpečí je vyjádřeno kritickými body (viz Obrázek č. 5 v Příloze 1).</w:t>
      </w:r>
    </w:p>
    <w:p w:rsidR="00B17192" w:rsidRPr="00373DD4" w:rsidRDefault="00B17192" w:rsidP="00B17192">
      <w:pPr>
        <w:rPr>
          <w:rFonts w:eastAsia="Times New Roman" w:cs="Times New Roman"/>
          <w:b/>
        </w:rPr>
      </w:pPr>
      <w:r w:rsidRPr="00373DD4">
        <w:rPr>
          <w:rFonts w:eastAsia="Times New Roman" w:cs="Times New Roman"/>
          <w:b/>
        </w:rPr>
        <w:t>Hodnocení přínosu OP ŽP 2007–2013</w:t>
      </w:r>
    </w:p>
    <w:p w:rsidR="00B17192" w:rsidRPr="00373DD4" w:rsidRDefault="00B17192" w:rsidP="00B17192">
      <w:pPr>
        <w:rPr>
          <w:rFonts w:eastAsia="Times New Roman" w:cs="Times New Roman"/>
        </w:rPr>
      </w:pPr>
      <w:r w:rsidRPr="00373DD4">
        <w:rPr>
          <w:rFonts w:eastAsia="Times New Roman" w:cs="Times New Roman"/>
        </w:rPr>
        <w:t>OP ŽP 2007–2013 byl zaměřen na zlepšení vodohospodářské infrastruktury a snižování rizika povodní. Mezi hlavní cíle patřilo snížení znečištění vod jako naplnění přechodného období vyjednaného pro implementaci Směrnice 91/271/EHS a naplnění požadavků Směrnice 2000/60/ES. Podporovány byly projekty výstavb</w:t>
      </w:r>
      <w:r>
        <w:rPr>
          <w:rFonts w:eastAsia="Times New Roman" w:cs="Times New Roman"/>
        </w:rPr>
        <w:t>y</w:t>
      </w:r>
      <w:r w:rsidRPr="00373DD4">
        <w:rPr>
          <w:rFonts w:eastAsia="Times New Roman" w:cs="Times New Roman"/>
        </w:rPr>
        <w:t xml:space="preserve">, rekonstrukce a intenzifikace centrálních ČOV v aglomeracích nad 2000 EO, výstavba a dostavba stokových systémů v aglomeracích nad 2000 EO a jejich kombinace, stejné aktivity byly podporovány v aglomeracích pod 2000 EO, které se nacházely v územích vyžadujících zvláštní ochranu (např. národní parky a CHKO).  Do konce r. 2013 bylo vybudováno 120 čistíren odpadních vod a 2 575 km kanalizačních sítí. Odstraněné znečištění v parametru BSK činilo v r. 2013 3 250 tun. </w:t>
      </w:r>
    </w:p>
    <w:p w:rsidR="00B17192" w:rsidRPr="00373DD4" w:rsidRDefault="00B17192" w:rsidP="00B17192">
      <w:pPr>
        <w:rPr>
          <w:rFonts w:eastAsia="Times New Roman" w:cs="Times New Roman"/>
        </w:rPr>
      </w:pPr>
      <w:r w:rsidRPr="00373DD4">
        <w:rPr>
          <w:rFonts w:eastAsia="Times New Roman" w:cs="Times New Roman"/>
        </w:rPr>
        <w:t>Prioritním úkolem bylo též zajištění zásobování obyvatelstva</w:t>
      </w:r>
      <w:r>
        <w:rPr>
          <w:rFonts w:eastAsia="Times New Roman" w:cs="Times New Roman"/>
        </w:rPr>
        <w:t xml:space="preserve"> </w:t>
      </w:r>
      <w:r w:rsidRPr="00373DD4">
        <w:rPr>
          <w:rFonts w:eastAsia="Times New Roman" w:cs="Times New Roman"/>
        </w:rPr>
        <w:t>pitnou vodou</w:t>
      </w:r>
      <w:r>
        <w:rPr>
          <w:rFonts w:eastAsia="Times New Roman" w:cs="Times New Roman"/>
        </w:rPr>
        <w:t xml:space="preserve">, odpovídající požadavkům </w:t>
      </w:r>
      <w:r w:rsidRPr="00373DD4">
        <w:rPr>
          <w:rFonts w:eastAsia="Times New Roman" w:cs="Times New Roman"/>
        </w:rPr>
        <w:t>Směrnic</w:t>
      </w:r>
      <w:r>
        <w:rPr>
          <w:rFonts w:eastAsia="Times New Roman" w:cs="Times New Roman"/>
        </w:rPr>
        <w:t>e</w:t>
      </w:r>
      <w:r w:rsidRPr="00373DD4">
        <w:rPr>
          <w:rFonts w:eastAsia="Times New Roman" w:cs="Times New Roman"/>
        </w:rPr>
        <w:t xml:space="preserve"> 98/83/ES</w:t>
      </w:r>
      <w:r>
        <w:rPr>
          <w:rFonts w:eastAsia="Times New Roman" w:cs="Times New Roman"/>
        </w:rPr>
        <w:t>,</w:t>
      </w:r>
      <w:r w:rsidRPr="00373DD4">
        <w:rPr>
          <w:rFonts w:eastAsia="Times New Roman" w:cs="Times New Roman"/>
        </w:rPr>
        <w:t xml:space="preserve"> rozšířením vodovodních sí</w:t>
      </w:r>
      <w:r>
        <w:rPr>
          <w:rFonts w:eastAsia="Times New Roman" w:cs="Times New Roman"/>
        </w:rPr>
        <w:t>tí sloužících veřejné potřebě a </w:t>
      </w:r>
      <w:r w:rsidRPr="00373DD4">
        <w:rPr>
          <w:rFonts w:eastAsia="Times New Roman" w:cs="Times New Roman"/>
        </w:rPr>
        <w:t>rekonstrukcí sítí stávajících; stejně tak byla n</w:t>
      </w:r>
      <w:r>
        <w:rPr>
          <w:rFonts w:eastAsia="Times New Roman" w:cs="Times New Roman"/>
        </w:rPr>
        <w:t>utná</w:t>
      </w:r>
      <w:r w:rsidRPr="00373DD4">
        <w:rPr>
          <w:rFonts w:eastAsia="Times New Roman" w:cs="Times New Roman"/>
        </w:rPr>
        <w:t xml:space="preserve"> i rekonstrukce úpraven vod. Ke konci r. 2013 bylo vybudováno 214 km vodovodních sítí a k vodovodům nově připojeno téměř 7000 obyvatel.</w:t>
      </w:r>
    </w:p>
    <w:p w:rsidR="00B17192" w:rsidRDefault="00B17192" w:rsidP="00B17192">
      <w:pPr>
        <w:rPr>
          <w:rFonts w:eastAsia="Times New Roman" w:cs="Times New Roman"/>
        </w:rPr>
      </w:pPr>
      <w:r w:rsidRPr="00373DD4">
        <w:rPr>
          <w:rFonts w:eastAsia="Times New Roman" w:cs="Times New Roman"/>
        </w:rPr>
        <w:t>Zkušenosti z katastrofálních povodní v rocích 1997 a 2002 a řady menších povodní v posledních 10 letech vyvolaly zvýšenou potřebu realizace systémových opatření pro ochranu a prevenci, dostupnost informací o povodňovém riziku a nezbytnost vybudování a zajištění nepřetržitého provozu kvalitního informačního systému předpovědní a hlásné povodňové služby. Dále bylo předmětem podpory zpracování map povodňového rizika, vypra</w:t>
      </w:r>
      <w:r>
        <w:rPr>
          <w:rFonts w:eastAsia="Times New Roman" w:cs="Times New Roman"/>
        </w:rPr>
        <w:t>cování a realizace podkladů pro </w:t>
      </w:r>
      <w:r w:rsidRPr="00373DD4">
        <w:rPr>
          <w:rFonts w:eastAsia="Times New Roman" w:cs="Times New Roman"/>
        </w:rPr>
        <w:t>plány zvládání rizik povodní v souladu s legislativou EU a realizace vybraných protipovodňových opatření.  Schváleno k financování bylo 474 projektů.</w:t>
      </w:r>
    </w:p>
    <w:p w:rsidR="00B17192" w:rsidRPr="00373DD4" w:rsidRDefault="00B17192" w:rsidP="00B17192">
      <w:pPr>
        <w:rPr>
          <w:rFonts w:eastAsia="Times New Roman" w:cs="Times New Roman"/>
        </w:rPr>
      </w:pPr>
    </w:p>
    <w:p w:rsidR="00B17192" w:rsidRPr="00373DD4" w:rsidRDefault="00B17192" w:rsidP="00B17192">
      <w:pPr>
        <w:rPr>
          <w:rFonts w:eastAsia="Times New Roman" w:cs="Times New Roman"/>
          <w:b/>
        </w:rPr>
      </w:pPr>
      <w:r w:rsidRPr="00373DD4">
        <w:rPr>
          <w:rFonts w:eastAsia="Times New Roman" w:cs="Times New Roman"/>
          <w:b/>
        </w:rPr>
        <w:lastRenderedPageBreak/>
        <w:t>Strategický přístup</w:t>
      </w:r>
    </w:p>
    <w:p w:rsidR="00B17192" w:rsidRPr="00373DD4" w:rsidRDefault="00B17192" w:rsidP="00B17192">
      <w:pPr>
        <w:rPr>
          <w:rFonts w:eastAsia="Calibri" w:cs="Times New Roman"/>
        </w:rPr>
      </w:pPr>
      <w:r w:rsidRPr="00373DD4">
        <w:rPr>
          <w:rFonts w:eastAsia="Times New Roman" w:cs="Times New Roman"/>
        </w:rPr>
        <w:t xml:space="preserve">Prioritní osa 1: Zlepšování kvality vod a snižování rizika povodní (dále jen „PO 1“) je formulována v souladu s </w:t>
      </w:r>
      <w:r w:rsidRPr="00373DD4">
        <w:rPr>
          <w:rFonts w:eastAsia="Times New Roman" w:cs="Times New Roman"/>
          <w:b/>
        </w:rPr>
        <w:t>Plánem na ochranu vodních zdrojů Evropy</w:t>
      </w:r>
      <w:r w:rsidRPr="00373DD4">
        <w:rPr>
          <w:rFonts w:eastAsia="Times New Roman" w:cs="Times New Roman"/>
        </w:rPr>
        <w:t>, který</w:t>
      </w:r>
      <w:r w:rsidRPr="00373DD4">
        <w:rPr>
          <w:rFonts w:eastAsia="Times New Roman" w:cs="Times New Roman"/>
          <w:b/>
        </w:rPr>
        <w:t xml:space="preserve"> </w:t>
      </w:r>
      <w:r w:rsidRPr="00373DD4">
        <w:rPr>
          <w:rFonts w:eastAsia="Times New Roman" w:cs="Times New Roman"/>
        </w:rPr>
        <w:t>v</w:t>
      </w:r>
      <w:r w:rsidRPr="00373DD4">
        <w:rPr>
          <w:rFonts w:eastAsia="Calibri" w:cs="Times New Roman"/>
        </w:rPr>
        <w:t xml:space="preserve"> rámci </w:t>
      </w:r>
      <w:r w:rsidRPr="00373DD4">
        <w:rPr>
          <w:rFonts w:eastAsia="Calibri" w:cs="Times New Roman"/>
          <w:b/>
        </w:rPr>
        <w:t>opatření doporučených k financování ze strukturálních fondů a Fondu soudržnosti</w:t>
      </w:r>
      <w:r w:rsidRPr="00373DD4">
        <w:rPr>
          <w:rFonts w:eastAsia="Calibri" w:cs="Times New Roman"/>
        </w:rPr>
        <w:t xml:space="preserve"> zahrnuje:</w:t>
      </w:r>
    </w:p>
    <w:p w:rsidR="00B17192" w:rsidRPr="00373DD4" w:rsidRDefault="00B17192" w:rsidP="00B17192">
      <w:pPr>
        <w:numPr>
          <w:ilvl w:val="0"/>
          <w:numId w:val="67"/>
        </w:numPr>
        <w:ind w:left="426" w:hanging="426"/>
        <w:contextualSpacing/>
        <w:rPr>
          <w:rFonts w:eastAsia="Calibri" w:cs="Times New Roman"/>
        </w:rPr>
      </w:pPr>
      <w:r w:rsidRPr="00373DD4">
        <w:rPr>
          <w:rFonts w:eastAsia="Calibri" w:cs="Times New Roman"/>
        </w:rPr>
        <w:t>opatření pro přirozené zadržování vody,</w:t>
      </w:r>
    </w:p>
    <w:p w:rsidR="00B17192" w:rsidRPr="00373DD4" w:rsidRDefault="00B17192" w:rsidP="00B17192">
      <w:pPr>
        <w:numPr>
          <w:ilvl w:val="0"/>
          <w:numId w:val="67"/>
        </w:numPr>
        <w:ind w:left="426" w:hanging="426"/>
        <w:contextualSpacing/>
        <w:rPr>
          <w:rFonts w:eastAsia="Calibri" w:cs="Times New Roman"/>
        </w:rPr>
      </w:pPr>
      <w:r w:rsidRPr="00373DD4">
        <w:rPr>
          <w:rFonts w:eastAsia="Calibri" w:cs="Times New Roman"/>
        </w:rPr>
        <w:t>opatření k maximalizaci opětovného využití vody,</w:t>
      </w:r>
    </w:p>
    <w:p w:rsidR="00B17192" w:rsidRPr="00373DD4" w:rsidRDefault="00B17192" w:rsidP="00B17192">
      <w:pPr>
        <w:numPr>
          <w:ilvl w:val="0"/>
          <w:numId w:val="67"/>
        </w:numPr>
        <w:ind w:left="426" w:hanging="426"/>
        <w:contextualSpacing/>
        <w:rPr>
          <w:rFonts w:eastAsia="Calibri" w:cs="Times New Roman"/>
        </w:rPr>
      </w:pPr>
      <w:r w:rsidRPr="00373DD4">
        <w:rPr>
          <w:rFonts w:eastAsia="Calibri" w:cs="Times New Roman"/>
        </w:rPr>
        <w:t>opatření k implementaci rámcové směrnice o vodě, směrnic o standardech kvality vod, prioritních látkách, dusičnanech, o čištění městských odpadních vod a o průmyslových emisích.</w:t>
      </w:r>
    </w:p>
    <w:p w:rsidR="00B17192" w:rsidRPr="00373DD4" w:rsidRDefault="00B17192" w:rsidP="00B17192">
      <w:pPr>
        <w:contextualSpacing/>
        <w:rPr>
          <w:rFonts w:eastAsia="Calibri" w:cs="Times New Roman"/>
        </w:rPr>
      </w:pPr>
    </w:p>
    <w:p w:rsidR="00B17192" w:rsidRPr="00373DD4" w:rsidRDefault="00B17192" w:rsidP="00B17192">
      <w:pPr>
        <w:rPr>
          <w:rFonts w:eastAsia="Times New Roman" w:cs="Times New Roman"/>
          <w:b/>
        </w:rPr>
      </w:pPr>
      <w:r w:rsidRPr="00373DD4">
        <w:rPr>
          <w:rFonts w:eastAsia="Calibri" w:cs="Times New Roman"/>
        </w:rPr>
        <w:t xml:space="preserve">Na národní úrovni je PO 1 formulována v souladu se </w:t>
      </w:r>
      <w:r w:rsidRPr="00373DD4">
        <w:rPr>
          <w:rFonts w:eastAsia="Calibri" w:cs="Times New Roman"/>
          <w:b/>
        </w:rPr>
        <w:t xml:space="preserve">Státní politikou životního prostředí ČR </w:t>
      </w:r>
      <w:r w:rsidRPr="00373DD4">
        <w:rPr>
          <w:rFonts w:eastAsia="Times New Roman" w:cs="Times New Roman"/>
          <w:b/>
        </w:rPr>
        <w:t>2012</w:t>
      </w:r>
      <w:r>
        <w:rPr>
          <w:rFonts w:eastAsia="Times New Roman" w:cs="Times New Roman"/>
          <w:b/>
        </w:rPr>
        <w:noBreakHyphen/>
      </w:r>
      <w:r w:rsidRPr="00373DD4">
        <w:rPr>
          <w:rFonts w:eastAsia="Times New Roman" w:cs="Times New Roman"/>
          <w:b/>
        </w:rPr>
        <w:t xml:space="preserve">2020, schválenou vládou ČR dne 9. 1. 2013, </w:t>
      </w:r>
      <w:r w:rsidRPr="00373DD4">
        <w:rPr>
          <w:rFonts w:eastAsia="Times New Roman" w:cs="Times New Roman"/>
        </w:rPr>
        <w:t xml:space="preserve">která stanovuje pro oblast ochrany vod a oblasti související následující </w:t>
      </w:r>
      <w:r w:rsidRPr="00373DD4">
        <w:rPr>
          <w:rFonts w:eastAsia="Times New Roman" w:cs="Times New Roman"/>
          <w:b/>
        </w:rPr>
        <w:t>cíle:</w:t>
      </w:r>
    </w:p>
    <w:p w:rsidR="00B17192" w:rsidRPr="00373DD4" w:rsidRDefault="00B17192" w:rsidP="00B17192">
      <w:pPr>
        <w:numPr>
          <w:ilvl w:val="0"/>
          <w:numId w:val="79"/>
        </w:numPr>
        <w:contextualSpacing/>
        <w:rPr>
          <w:rFonts w:eastAsia="Times New Roman" w:cs="Times New Roman"/>
        </w:rPr>
      </w:pPr>
      <w:r>
        <w:rPr>
          <w:rFonts w:eastAsia="Times New Roman" w:cs="Times New Roman"/>
        </w:rPr>
        <w:t>z</w:t>
      </w:r>
      <w:r w:rsidRPr="00373DD4">
        <w:rPr>
          <w:rFonts w:eastAsia="Times New Roman" w:cs="Times New Roman"/>
        </w:rPr>
        <w:t>ajištění realizace Programů monitoringu povrchových a podzemních vod pro vyhodnocení všech opatření prováděných podle Rámcové směrnice o vodní politice, jako základního nástroje pro vyhodnocení jejich efektivity</w:t>
      </w:r>
      <w:r>
        <w:rPr>
          <w:rFonts w:eastAsia="Times New Roman" w:cs="Times New Roman"/>
        </w:rPr>
        <w:t>,</w:t>
      </w:r>
    </w:p>
    <w:p w:rsidR="00B17192" w:rsidRPr="00373DD4" w:rsidRDefault="00B17192" w:rsidP="00B17192">
      <w:pPr>
        <w:numPr>
          <w:ilvl w:val="0"/>
          <w:numId w:val="79"/>
        </w:numPr>
        <w:contextualSpacing/>
        <w:rPr>
          <w:rFonts w:eastAsia="Times New Roman" w:cs="Times New Roman"/>
        </w:rPr>
      </w:pPr>
      <w:r>
        <w:rPr>
          <w:rFonts w:eastAsia="Times New Roman" w:cs="Times New Roman"/>
        </w:rPr>
        <w:t>d</w:t>
      </w:r>
      <w:r w:rsidRPr="00373DD4">
        <w:rPr>
          <w:rFonts w:eastAsia="Times New Roman" w:cs="Times New Roman"/>
        </w:rPr>
        <w:t>osažení alespoň dobrého ekologického stavu nebo potenciálu a dobrého chemického stavu útvarů povrchových vod, dosažení dobrého chemického a kvantitativního stavu útvarů podzemních vod a zajištění ochrany vod v chráněných územích vymezených dle Rámcové směrnice</w:t>
      </w:r>
      <w:r>
        <w:rPr>
          <w:rFonts w:eastAsia="Times New Roman" w:cs="Times New Roman"/>
        </w:rPr>
        <w:t>,</w:t>
      </w:r>
    </w:p>
    <w:p w:rsidR="00B17192" w:rsidRPr="00373DD4" w:rsidRDefault="00B17192" w:rsidP="00B17192">
      <w:pPr>
        <w:numPr>
          <w:ilvl w:val="0"/>
          <w:numId w:val="79"/>
        </w:numPr>
        <w:contextualSpacing/>
        <w:rPr>
          <w:rFonts w:eastAsia="Times New Roman" w:cs="Times New Roman"/>
        </w:rPr>
      </w:pPr>
      <w:r>
        <w:rPr>
          <w:rFonts w:eastAsia="Times New Roman" w:cs="Times New Roman"/>
        </w:rPr>
        <w:t>s</w:t>
      </w:r>
      <w:r w:rsidRPr="00373DD4">
        <w:rPr>
          <w:rFonts w:eastAsia="Times New Roman" w:cs="Times New Roman"/>
        </w:rPr>
        <w:t>nižování ohrožení zemědělské a lesní půdy a hornin erozí</w:t>
      </w:r>
      <w:r>
        <w:rPr>
          <w:rFonts w:eastAsia="Times New Roman" w:cs="Times New Roman"/>
        </w:rPr>
        <w:t>,</w:t>
      </w:r>
    </w:p>
    <w:p w:rsidR="00B17192" w:rsidRPr="00373DD4" w:rsidRDefault="00B17192" w:rsidP="00B17192">
      <w:pPr>
        <w:numPr>
          <w:ilvl w:val="0"/>
          <w:numId w:val="79"/>
        </w:numPr>
        <w:contextualSpacing/>
        <w:rPr>
          <w:rFonts w:eastAsia="Times New Roman" w:cs="Times New Roman"/>
        </w:rPr>
      </w:pPr>
      <w:r>
        <w:rPr>
          <w:rFonts w:eastAsia="Times New Roman" w:cs="Times New Roman"/>
        </w:rPr>
        <w:t>z</w:t>
      </w:r>
      <w:r w:rsidRPr="00373DD4">
        <w:rPr>
          <w:rFonts w:eastAsia="Times New Roman" w:cs="Times New Roman"/>
        </w:rPr>
        <w:t>výšení schopnosti přizpůsobení se změnám klimatu</w:t>
      </w:r>
      <w:r>
        <w:rPr>
          <w:rFonts w:eastAsia="Times New Roman" w:cs="Times New Roman"/>
        </w:rPr>
        <w:t>,</w:t>
      </w:r>
    </w:p>
    <w:p w:rsidR="00B17192" w:rsidRPr="00373DD4" w:rsidRDefault="00B17192" w:rsidP="00B17192">
      <w:pPr>
        <w:numPr>
          <w:ilvl w:val="0"/>
          <w:numId w:val="79"/>
        </w:numPr>
        <w:contextualSpacing/>
        <w:rPr>
          <w:rFonts w:eastAsia="Times New Roman" w:cs="Times New Roman"/>
        </w:rPr>
      </w:pPr>
      <w:r>
        <w:rPr>
          <w:rFonts w:eastAsia="Times New Roman" w:cs="Times New Roman"/>
        </w:rPr>
        <w:t>o</w:t>
      </w:r>
      <w:r w:rsidRPr="00373DD4">
        <w:rPr>
          <w:rFonts w:eastAsia="Times New Roman" w:cs="Times New Roman"/>
        </w:rPr>
        <w:t>bnovení vodního režimu krajiny</w:t>
      </w:r>
      <w:r>
        <w:rPr>
          <w:rFonts w:eastAsia="Times New Roman" w:cs="Times New Roman"/>
        </w:rPr>
        <w:t>,</w:t>
      </w:r>
    </w:p>
    <w:p w:rsidR="00B17192" w:rsidRPr="00373DD4" w:rsidRDefault="00B17192" w:rsidP="00B17192">
      <w:pPr>
        <w:numPr>
          <w:ilvl w:val="0"/>
          <w:numId w:val="79"/>
        </w:numPr>
        <w:contextualSpacing/>
        <w:rPr>
          <w:rFonts w:eastAsia="Times New Roman" w:cs="Times New Roman"/>
        </w:rPr>
      </w:pPr>
      <w:r>
        <w:rPr>
          <w:rFonts w:eastAsia="Times New Roman" w:cs="Times New Roman"/>
        </w:rPr>
        <w:t>z</w:t>
      </w:r>
      <w:r w:rsidRPr="00373DD4">
        <w:rPr>
          <w:rFonts w:eastAsia="Times New Roman" w:cs="Times New Roman"/>
        </w:rPr>
        <w:t>ajištění šetrného hospodaření s vodou v sídelních útvarech</w:t>
      </w:r>
      <w:r>
        <w:rPr>
          <w:rFonts w:eastAsia="Times New Roman" w:cs="Times New Roman"/>
        </w:rPr>
        <w:t>,</w:t>
      </w:r>
    </w:p>
    <w:p w:rsidR="00B17192" w:rsidRPr="00373DD4" w:rsidRDefault="00B17192" w:rsidP="00B17192">
      <w:pPr>
        <w:numPr>
          <w:ilvl w:val="0"/>
          <w:numId w:val="79"/>
        </w:numPr>
        <w:contextualSpacing/>
        <w:rPr>
          <w:rFonts w:eastAsia="Times New Roman" w:cs="Times New Roman"/>
        </w:rPr>
      </w:pPr>
      <w:r>
        <w:rPr>
          <w:rFonts w:eastAsia="Times New Roman" w:cs="Times New Roman"/>
        </w:rPr>
        <w:t>p</w:t>
      </w:r>
      <w:r w:rsidRPr="00373DD4">
        <w:rPr>
          <w:rFonts w:eastAsia="Times New Roman" w:cs="Times New Roman"/>
        </w:rPr>
        <w:t xml:space="preserve">ředcházení následkům přírodních nebezpečí (povodně, sucha, svahové nestability, skalní řícení, eroze, silný vítr, emanace radonu a </w:t>
      </w:r>
      <w:proofErr w:type="spellStart"/>
      <w:r w:rsidRPr="00373DD4">
        <w:rPr>
          <w:rFonts w:eastAsia="Times New Roman" w:cs="Times New Roman"/>
        </w:rPr>
        <w:t>methanu</w:t>
      </w:r>
      <w:proofErr w:type="spellEnd"/>
      <w:r w:rsidRPr="00373DD4">
        <w:rPr>
          <w:rFonts w:eastAsia="Times New Roman" w:cs="Times New Roman"/>
        </w:rPr>
        <w:t>)</w:t>
      </w:r>
      <w:r>
        <w:rPr>
          <w:rFonts w:eastAsia="Times New Roman" w:cs="Times New Roman"/>
        </w:rPr>
        <w:t>.</w:t>
      </w:r>
    </w:p>
    <w:p w:rsidR="00B17192" w:rsidRDefault="00B17192" w:rsidP="00B17192">
      <w:pPr>
        <w:ind w:left="720"/>
        <w:contextualSpacing/>
        <w:rPr>
          <w:rFonts w:eastAsia="Times New Roman" w:cs="Times New Roman"/>
        </w:rPr>
      </w:pPr>
    </w:p>
    <w:p w:rsidR="00B17192" w:rsidRPr="00FB1B00" w:rsidRDefault="00B17192" w:rsidP="00B17192">
      <w:pPr>
        <w:rPr>
          <w:rFonts w:eastAsia="Times New Roman" w:cs="Times New Roman"/>
        </w:rPr>
      </w:pPr>
      <w:r w:rsidRPr="00373DD4">
        <w:rPr>
          <w:rFonts w:eastAsia="Times New Roman" w:cs="Times New Roman"/>
        </w:rPr>
        <w:t>Pro každý z cílů jsou navržena konkrétní opatření včetně termínu realizace, odpovědnosti orgánů státní správy (zejména relevantních ministerstev</w:t>
      </w:r>
      <w:r>
        <w:rPr>
          <w:rFonts w:eastAsia="Times New Roman" w:cs="Times New Roman"/>
        </w:rPr>
        <w:t>) za implementaci a indikátorů.</w:t>
      </w:r>
    </w:p>
    <w:p w:rsidR="00B17192" w:rsidRDefault="00B17192" w:rsidP="00B17192">
      <w:pPr>
        <w:autoSpaceDE w:val="0"/>
        <w:autoSpaceDN w:val="0"/>
        <w:adjustRightInd w:val="0"/>
        <w:rPr>
          <w:rFonts w:eastAsia="Times New Roman" w:cs="Times New Roman"/>
        </w:rPr>
      </w:pPr>
      <w:r w:rsidRPr="00373DD4">
        <w:rPr>
          <w:rFonts w:eastAsia="Times New Roman" w:cs="Times New Roman"/>
        </w:rPr>
        <w:t xml:space="preserve">Strategický rámec PO 1 je upřesněn </w:t>
      </w:r>
      <w:r w:rsidRPr="00373DD4">
        <w:rPr>
          <w:rFonts w:eastAsia="Times New Roman" w:cs="Times New Roman"/>
          <w:b/>
        </w:rPr>
        <w:t>Plánem hlavních povodí ČR</w:t>
      </w:r>
      <w:r w:rsidRPr="00373DD4">
        <w:rPr>
          <w:rFonts w:eastAsia="Times New Roman" w:cs="Times New Roman"/>
        </w:rPr>
        <w:t>, přijatým vládou ČR v</w:t>
      </w:r>
      <w:r>
        <w:rPr>
          <w:rFonts w:eastAsia="Times New Roman" w:cs="Times New Roman"/>
        </w:rPr>
        <w:t xml:space="preserve"> r. </w:t>
      </w:r>
      <w:r w:rsidRPr="00373DD4">
        <w:rPr>
          <w:rFonts w:eastAsia="Times New Roman" w:cs="Times New Roman"/>
        </w:rPr>
        <w:t xml:space="preserve">2007, který </w:t>
      </w:r>
      <w:r>
        <w:rPr>
          <w:rFonts w:eastAsia="Times New Roman" w:cs="Times New Roman"/>
        </w:rPr>
        <w:t xml:space="preserve">je </w:t>
      </w:r>
      <w:r w:rsidRPr="00373DD4">
        <w:rPr>
          <w:rFonts w:eastAsia="Times New Roman" w:cs="Times New Roman"/>
        </w:rPr>
        <w:t>dlouhodobou koncepc</w:t>
      </w:r>
      <w:r>
        <w:rPr>
          <w:rFonts w:eastAsia="Times New Roman" w:cs="Times New Roman"/>
        </w:rPr>
        <w:t>í</w:t>
      </w:r>
      <w:r w:rsidRPr="00373DD4">
        <w:rPr>
          <w:rFonts w:eastAsia="Times New Roman" w:cs="Times New Roman"/>
        </w:rPr>
        <w:t xml:space="preserve"> v oblasti vod integruj</w:t>
      </w:r>
      <w:r>
        <w:rPr>
          <w:rFonts w:eastAsia="Times New Roman" w:cs="Times New Roman"/>
        </w:rPr>
        <w:t>ící</w:t>
      </w:r>
      <w:r w:rsidRPr="00373DD4">
        <w:rPr>
          <w:rFonts w:eastAsia="Times New Roman" w:cs="Times New Roman"/>
        </w:rPr>
        <w:t xml:space="preserve"> záměry a cíle ústředních vodoprávních úřadů. Navazujícími jsou </w:t>
      </w:r>
      <w:r w:rsidRPr="00373DD4">
        <w:rPr>
          <w:rFonts w:eastAsia="Times New Roman" w:cs="Times New Roman"/>
          <w:b/>
        </w:rPr>
        <w:t>plány národní části mezinárodní oblasti povodí</w:t>
      </w:r>
      <w:r w:rsidRPr="00373DD4">
        <w:rPr>
          <w:rFonts w:eastAsia="Times New Roman" w:cs="Times New Roman"/>
        </w:rPr>
        <w:t xml:space="preserve"> a </w:t>
      </w:r>
      <w:r w:rsidRPr="00373DD4">
        <w:rPr>
          <w:rFonts w:eastAsia="Times New Roman" w:cs="Times New Roman"/>
          <w:b/>
        </w:rPr>
        <w:t>plány oblastí povodí</w:t>
      </w:r>
      <w:r w:rsidRPr="00373DD4">
        <w:rPr>
          <w:rFonts w:eastAsia="Times New Roman" w:cs="Times New Roman"/>
        </w:rPr>
        <w:t xml:space="preserve"> včetně programů opatření (období do 22. 12. 2015), respektive plány pro zvládání povodňových rizik a národními plány povodí včetně programů opatření (období od 22. 12. 2015).</w:t>
      </w:r>
    </w:p>
    <w:p w:rsidR="00B17192" w:rsidRDefault="00B17192" w:rsidP="00B17192">
      <w:pPr>
        <w:autoSpaceDE w:val="0"/>
        <w:autoSpaceDN w:val="0"/>
        <w:adjustRightInd w:val="0"/>
        <w:rPr>
          <w:rFonts w:eastAsia="Times New Roman" w:cs="Times New Roman"/>
        </w:rPr>
      </w:pPr>
    </w:p>
    <w:p w:rsidR="00B17192" w:rsidRDefault="00B17192" w:rsidP="00B17192">
      <w:pPr>
        <w:autoSpaceDE w:val="0"/>
        <w:autoSpaceDN w:val="0"/>
        <w:adjustRightInd w:val="0"/>
        <w:rPr>
          <w:rFonts w:eastAsia="Times New Roman" w:cs="Times New Roman"/>
        </w:rPr>
      </w:pPr>
    </w:p>
    <w:p w:rsidR="00B17192" w:rsidRPr="00373DD4" w:rsidRDefault="00B17192" w:rsidP="00B17192">
      <w:pPr>
        <w:autoSpaceDE w:val="0"/>
        <w:autoSpaceDN w:val="0"/>
        <w:adjustRightInd w:val="0"/>
        <w:rPr>
          <w:rFonts w:eastAsia="Times New Roman" w:cs="Arial"/>
        </w:rPr>
      </w:pPr>
    </w:p>
    <w:p w:rsidR="00B17192" w:rsidRPr="00373DD4" w:rsidRDefault="00B17192" w:rsidP="00B17192">
      <w:pPr>
        <w:rPr>
          <w:rFonts w:eastAsia="Times New Roman" w:cs="Times New Roman"/>
          <w:b/>
        </w:rPr>
      </w:pPr>
      <w:r w:rsidRPr="00373DD4">
        <w:rPr>
          <w:rFonts w:eastAsia="Times New Roman" w:cs="Times New Roman"/>
          <w:b/>
        </w:rPr>
        <w:lastRenderedPageBreak/>
        <w:t>Příspěvek k řešení v rámci OP ŽP 2014-2020</w:t>
      </w:r>
    </w:p>
    <w:p w:rsidR="00B17192" w:rsidRPr="00373DD4" w:rsidRDefault="00B17192" w:rsidP="00B17192">
      <w:pPr>
        <w:rPr>
          <w:rFonts w:eastAsia="Times New Roman" w:cs="Times New Roman"/>
        </w:rPr>
      </w:pPr>
      <w:r w:rsidRPr="00373DD4">
        <w:rPr>
          <w:rFonts w:eastAsia="Times New Roman" w:cs="Times New Roman"/>
        </w:rPr>
        <w:t xml:space="preserve">V zájmu příspěvku OP ŽP 2014-2020 k řešení výše specifikovaných problémů jsou v rámci PO 1 navrženy následující </w:t>
      </w:r>
      <w:r w:rsidRPr="00373DD4">
        <w:rPr>
          <w:rFonts w:eastAsia="Times New Roman" w:cs="Times New Roman"/>
          <w:b/>
        </w:rPr>
        <w:t>specifické cíle</w:t>
      </w:r>
      <w:r w:rsidRPr="00373DD4">
        <w:rPr>
          <w:rFonts w:eastAsia="Times New Roman" w:cs="Times New Roman"/>
        </w:rPr>
        <w:t xml:space="preserve"> (SC):</w:t>
      </w:r>
    </w:p>
    <w:p w:rsidR="00B17192" w:rsidRPr="00373DD4" w:rsidRDefault="00B17192" w:rsidP="00B17192">
      <w:pPr>
        <w:numPr>
          <w:ilvl w:val="0"/>
          <w:numId w:val="70"/>
        </w:numPr>
        <w:contextualSpacing/>
        <w:rPr>
          <w:rFonts w:eastAsia="Times New Roman" w:cs="Times New Roman"/>
        </w:rPr>
      </w:pPr>
      <w:r w:rsidRPr="00373DD4">
        <w:rPr>
          <w:rFonts w:eastAsia="Times New Roman" w:cs="Times New Roman"/>
        </w:rPr>
        <w:t xml:space="preserve">SC 1.1: </w:t>
      </w:r>
      <w:r w:rsidRPr="00373DD4">
        <w:rPr>
          <w:rFonts w:eastAsia="Times New Roman" w:cs="Times New Roman"/>
          <w:b/>
        </w:rPr>
        <w:t>Snížit množství vypouštěného znečištění do povrchových a podzemních vod z komunálních zdrojů a zajistit dodávky pitné vody v odpovídající jakosti a množství</w:t>
      </w:r>
      <w:r w:rsidRPr="00373DD4">
        <w:rPr>
          <w:rFonts w:eastAsia="Times New Roman" w:cs="Times New Roman"/>
        </w:rPr>
        <w:t>,</w:t>
      </w:r>
    </w:p>
    <w:p w:rsidR="00B17192" w:rsidRPr="00373DD4" w:rsidRDefault="00B17192" w:rsidP="00B17192">
      <w:pPr>
        <w:numPr>
          <w:ilvl w:val="0"/>
          <w:numId w:val="70"/>
        </w:numPr>
        <w:contextualSpacing/>
        <w:rPr>
          <w:rFonts w:eastAsia="Times New Roman" w:cs="Times New Roman"/>
        </w:rPr>
      </w:pPr>
      <w:r w:rsidRPr="00373DD4">
        <w:rPr>
          <w:rFonts w:eastAsia="Times New Roman" w:cs="Times New Roman"/>
        </w:rPr>
        <w:t xml:space="preserve">SC 1.2: </w:t>
      </w:r>
      <w:r w:rsidRPr="00373DD4">
        <w:rPr>
          <w:rFonts w:eastAsia="Times New Roman" w:cs="Times New Roman"/>
          <w:b/>
        </w:rPr>
        <w:t>Snížit vnos znečišťujících látek do povrchových a podzemních vod</w:t>
      </w:r>
      <w:r w:rsidRPr="00373DD4">
        <w:rPr>
          <w:rFonts w:eastAsia="Times New Roman" w:cs="Times New Roman"/>
        </w:rPr>
        <w:t>,</w:t>
      </w:r>
    </w:p>
    <w:p w:rsidR="00B17192" w:rsidRPr="00373DD4" w:rsidRDefault="00B17192" w:rsidP="00B17192">
      <w:pPr>
        <w:numPr>
          <w:ilvl w:val="0"/>
          <w:numId w:val="70"/>
        </w:numPr>
        <w:contextualSpacing/>
        <w:rPr>
          <w:rFonts w:eastAsia="Times New Roman" w:cs="Times New Roman"/>
        </w:rPr>
      </w:pPr>
      <w:r w:rsidRPr="00373DD4">
        <w:rPr>
          <w:rFonts w:eastAsia="Times New Roman" w:cs="Times New Roman"/>
        </w:rPr>
        <w:t xml:space="preserve">SC 1.3: </w:t>
      </w:r>
      <w:r w:rsidRPr="00373DD4">
        <w:rPr>
          <w:rFonts w:eastAsia="Times New Roman" w:cs="Times New Roman"/>
          <w:b/>
        </w:rPr>
        <w:t xml:space="preserve">Zajistit povodňovou ochranu </w:t>
      </w:r>
      <w:r>
        <w:rPr>
          <w:rFonts w:eastAsia="Times New Roman" w:cs="Times New Roman"/>
          <w:b/>
        </w:rPr>
        <w:t> </w:t>
      </w:r>
      <w:proofErr w:type="spellStart"/>
      <w:r w:rsidRPr="00373DD4">
        <w:rPr>
          <w:rFonts w:eastAsia="Times New Roman" w:cs="Times New Roman"/>
          <w:b/>
        </w:rPr>
        <w:t>intravilánu</w:t>
      </w:r>
      <w:proofErr w:type="spellEnd"/>
      <w:r>
        <w:rPr>
          <w:rFonts w:eastAsia="Times New Roman" w:cs="Times New Roman"/>
          <w:b/>
        </w:rPr>
        <w:t>,</w:t>
      </w:r>
    </w:p>
    <w:p w:rsidR="00B17192" w:rsidRDefault="00B17192" w:rsidP="00B17192">
      <w:pPr>
        <w:numPr>
          <w:ilvl w:val="0"/>
          <w:numId w:val="70"/>
        </w:numPr>
        <w:contextualSpacing/>
        <w:rPr>
          <w:rFonts w:eastAsia="Times New Roman" w:cs="Times New Roman"/>
        </w:rPr>
      </w:pPr>
      <w:r w:rsidRPr="00373DD4">
        <w:rPr>
          <w:rFonts w:eastAsia="Times New Roman" w:cs="Times New Roman"/>
        </w:rPr>
        <w:t xml:space="preserve">SC 1.4: </w:t>
      </w:r>
      <w:r w:rsidRPr="00373DD4">
        <w:rPr>
          <w:rFonts w:eastAsia="Times New Roman" w:cs="Times New Roman"/>
          <w:b/>
        </w:rPr>
        <w:t>Podpořit preventivní protipovodňová opatření</w:t>
      </w:r>
      <w:r w:rsidRPr="00373DD4">
        <w:rPr>
          <w:rFonts w:eastAsia="Times New Roman" w:cs="Times New Roman"/>
        </w:rPr>
        <w:t>.</w:t>
      </w:r>
    </w:p>
    <w:p w:rsidR="00B17192" w:rsidRDefault="00B17192" w:rsidP="00B17192">
      <w:pPr>
        <w:ind w:left="720"/>
        <w:contextualSpacing/>
        <w:rPr>
          <w:rFonts w:eastAsia="Times New Roman" w:cs="Times New Roman"/>
        </w:rPr>
      </w:pPr>
    </w:p>
    <w:p w:rsidR="00B17192" w:rsidRDefault="00B17192" w:rsidP="00B17192">
      <w:pPr>
        <w:contextualSpacing/>
        <w:rPr>
          <w:rFonts w:eastAsia="Times New Roman" w:cs="Times New Roman"/>
        </w:rPr>
      </w:pPr>
      <w:r w:rsidRPr="00373DD4">
        <w:rPr>
          <w:rFonts w:eastAsia="Times New Roman" w:cs="Times New Roman"/>
        </w:rPr>
        <w:t>Základní vazby mezi identifikovanými problémy, jejich příčinami a specifickými cíli PO 1 jsou uvedeny v tabulce č. 2 v Příloze 1.</w:t>
      </w:r>
    </w:p>
    <w:p w:rsidR="00B17192" w:rsidRPr="00373DD4" w:rsidRDefault="00B17192" w:rsidP="00B17192">
      <w:pPr>
        <w:contextualSpacing/>
        <w:rPr>
          <w:rFonts w:eastAsia="Times New Roman" w:cs="Times New Roman"/>
        </w:rPr>
      </w:pPr>
    </w:p>
    <w:p w:rsidR="00B17192" w:rsidRPr="00373DD4" w:rsidRDefault="00B17192" w:rsidP="00B17192">
      <w:pPr>
        <w:rPr>
          <w:rFonts w:eastAsia="Times New Roman" w:cs="Times New Roman"/>
        </w:rPr>
      </w:pPr>
      <w:r w:rsidRPr="00373DD4">
        <w:rPr>
          <w:rFonts w:eastAsia="Times New Roman" w:cs="Times New Roman"/>
        </w:rPr>
        <w:t xml:space="preserve">Druhý plánovací cyklus je zaměřen na dořešení </w:t>
      </w:r>
      <w:r>
        <w:rPr>
          <w:rFonts w:eastAsia="Times New Roman" w:cs="Times New Roman"/>
        </w:rPr>
        <w:t xml:space="preserve">přetrvávajících </w:t>
      </w:r>
      <w:r w:rsidRPr="00373DD4">
        <w:rPr>
          <w:rFonts w:eastAsia="Times New Roman" w:cs="Times New Roman"/>
        </w:rPr>
        <w:t>vodohospodářských problémů. Podpora z </w:t>
      </w:r>
      <w:proofErr w:type="gramStart"/>
      <w:r w:rsidRPr="00373DD4">
        <w:rPr>
          <w:rFonts w:eastAsia="Times New Roman" w:cs="Times New Roman"/>
        </w:rPr>
        <w:t>OP</w:t>
      </w:r>
      <w:proofErr w:type="gramEnd"/>
      <w:r w:rsidRPr="00373DD4">
        <w:rPr>
          <w:rFonts w:eastAsia="Times New Roman" w:cs="Times New Roman"/>
        </w:rPr>
        <w:t xml:space="preserve"> ŽP 2014-2020 bude problémy identifikované v rámci aktualizace plánů povodí respektovat a</w:t>
      </w:r>
      <w:r>
        <w:rPr>
          <w:rFonts w:eastAsia="Times New Roman" w:cs="Times New Roman"/>
        </w:rPr>
        <w:t xml:space="preserve"> bude </w:t>
      </w:r>
      <w:r w:rsidRPr="00373DD4">
        <w:rPr>
          <w:rFonts w:eastAsia="Times New Roman" w:cs="Times New Roman"/>
        </w:rPr>
        <w:t>tedy zacílena především do problematických vodních útvarů.  Stanovení prioritních opatření bude zohledňovat aktualizované plány povodí, které budou v souladu se směrnicí 2000/60/ES dokončeny a zveřejněny v průběhu trvání OP ŽP 2014-2020.</w:t>
      </w:r>
    </w:p>
    <w:p w:rsidR="00B17192" w:rsidRPr="00373DD4" w:rsidRDefault="00B17192" w:rsidP="00B17192">
      <w:pPr>
        <w:rPr>
          <w:rFonts w:eastAsia="Times New Roman" w:cs="Times New Roman"/>
        </w:rPr>
      </w:pPr>
      <w:r>
        <w:rPr>
          <w:rFonts w:eastAsia="Times New Roman" w:cs="Times New Roman"/>
        </w:rPr>
        <w:t>O</w:t>
      </w:r>
      <w:r w:rsidRPr="00373DD4">
        <w:rPr>
          <w:rFonts w:eastAsia="Times New Roman" w:cs="Times New Roman"/>
        </w:rPr>
        <w:t>patření na snížení rizika povodní budou v souladu s</w:t>
      </w:r>
      <w:r>
        <w:rPr>
          <w:rFonts w:eastAsia="Times New Roman" w:cs="Times New Roman"/>
        </w:rPr>
        <w:t xml:space="preserve">e </w:t>
      </w:r>
      <w:r w:rsidRPr="00373DD4">
        <w:rPr>
          <w:rFonts w:eastAsia="Times New Roman" w:cs="Times New Roman"/>
        </w:rPr>
        <w:t>směrnic</w:t>
      </w:r>
      <w:r>
        <w:rPr>
          <w:rFonts w:eastAsia="Times New Roman" w:cs="Times New Roman"/>
        </w:rPr>
        <w:t>í</w:t>
      </w:r>
      <w:r w:rsidRPr="00373DD4">
        <w:rPr>
          <w:rFonts w:eastAsia="Times New Roman" w:cs="Times New Roman"/>
        </w:rPr>
        <w:t xml:space="preserve"> 2007/60/ES  zohledňovat mapy povodňového nebezpečí, mapy povodňových rizik a plány pro zvládání povodňových rizik, které budou dokončeny a zveřejněny v průběhu trvání OPŽP 2014-2020. </w:t>
      </w:r>
    </w:p>
    <w:p w:rsidR="00B17192" w:rsidRDefault="00B17192" w:rsidP="00B17192">
      <w:pPr>
        <w:rPr>
          <w:rFonts w:eastAsia="Times New Roman" w:cs="Times New Roman"/>
        </w:rPr>
      </w:pPr>
      <w:r w:rsidRPr="00373DD4">
        <w:rPr>
          <w:rFonts w:eastAsia="Times New Roman" w:cs="Times New Roman"/>
        </w:rPr>
        <w:t>Opatření financovaná z OPŽP 2014-2020 povedou k dosažení p</w:t>
      </w:r>
      <w:r>
        <w:rPr>
          <w:rFonts w:eastAsia="Times New Roman" w:cs="Times New Roman"/>
        </w:rPr>
        <w:t>ožadavků právních předpisů EU a </w:t>
      </w:r>
      <w:r w:rsidRPr="00373DD4">
        <w:rPr>
          <w:rFonts w:eastAsia="Times New Roman" w:cs="Times New Roman"/>
        </w:rPr>
        <w:t>zároveň k naplňování Plánu na ochranu vodních zdrojů Evropy, zejména v oblastech dosažení dobrého stavu vod, a opatření pro přirozené zadržování vody.</w:t>
      </w:r>
    </w:p>
    <w:p w:rsidR="00B17192" w:rsidRPr="0073559C" w:rsidRDefault="00B17192" w:rsidP="00B17192">
      <w:pPr>
        <w:rPr>
          <w:rFonts w:eastAsia="Times New Roman" w:cs="Times New Roman"/>
          <w:b/>
          <w:i/>
          <w:color w:val="76923C" w:themeColor="accent3" w:themeShade="BF"/>
          <w:sz w:val="24"/>
          <w:szCs w:val="24"/>
          <w:u w:val="single"/>
        </w:rPr>
      </w:pPr>
      <w:r w:rsidRPr="0033290F">
        <w:rPr>
          <w:rFonts w:eastAsia="Times New Roman" w:cs="Times New Roman"/>
          <w:b/>
          <w:i/>
          <w:color w:val="76923C" w:themeColor="accent3" w:themeShade="BF"/>
          <w:sz w:val="24"/>
          <w:szCs w:val="24"/>
          <w:u w:val="single"/>
        </w:rPr>
        <w:t xml:space="preserve">Priorita 2: Zlepšování kvality ovzduší v lidských sídlech </w:t>
      </w:r>
    </w:p>
    <w:p w:rsidR="00B17192" w:rsidRPr="00373DD4" w:rsidRDefault="00B17192" w:rsidP="00B17192">
      <w:pPr>
        <w:rPr>
          <w:rFonts w:eastAsia="Times New Roman" w:cs="Times New Roman"/>
          <w:b/>
        </w:rPr>
      </w:pPr>
      <w:r w:rsidRPr="00373DD4">
        <w:rPr>
          <w:rFonts w:eastAsia="Times New Roman" w:cs="Times New Roman"/>
          <w:b/>
        </w:rPr>
        <w:t>Aktuální stav - Problémy</w:t>
      </w:r>
    </w:p>
    <w:p w:rsidR="00B17192" w:rsidRPr="00373DD4" w:rsidRDefault="00B17192" w:rsidP="00B17192">
      <w:pPr>
        <w:rPr>
          <w:rFonts w:eastAsia="Times New Roman" w:cs="Times New Roman"/>
        </w:rPr>
      </w:pPr>
      <w:r w:rsidRPr="00373DD4">
        <w:rPr>
          <w:rFonts w:eastAsia="Times New Roman" w:cs="Times New Roman"/>
          <w:b/>
        </w:rPr>
        <w:t>Nevyhovující kvalita ovzduší je zásadním plošným problémem ČR</w:t>
      </w:r>
      <w:r w:rsidRPr="00373DD4">
        <w:rPr>
          <w:rFonts w:eastAsia="Times New Roman" w:cs="Times New Roman"/>
        </w:rPr>
        <w:t xml:space="preserve">. Dlouhodobě dochází k překračování </w:t>
      </w:r>
      <w:r>
        <w:rPr>
          <w:rFonts w:eastAsia="Times New Roman" w:cs="Times New Roman"/>
        </w:rPr>
        <w:t xml:space="preserve">stanovených </w:t>
      </w:r>
      <w:r w:rsidRPr="00373DD4">
        <w:rPr>
          <w:rFonts w:eastAsia="Times New Roman" w:cs="Times New Roman"/>
        </w:rPr>
        <w:t xml:space="preserve">limitních hodnot, a to navzdory tomu, že regulované zdroje znečišťování dodržují v plném rozsahu </w:t>
      </w:r>
      <w:r>
        <w:rPr>
          <w:rFonts w:eastAsia="Times New Roman" w:cs="Times New Roman"/>
        </w:rPr>
        <w:t xml:space="preserve">stávající </w:t>
      </w:r>
      <w:r w:rsidRPr="00373DD4">
        <w:rPr>
          <w:rFonts w:eastAsia="Times New Roman" w:cs="Times New Roman"/>
        </w:rPr>
        <w:t>emisní limity</w:t>
      </w:r>
      <w:r>
        <w:rPr>
          <w:rFonts w:eastAsia="Times New Roman" w:cs="Times New Roman"/>
        </w:rPr>
        <w:t xml:space="preserve"> a další technické požadavky na </w:t>
      </w:r>
      <w:r w:rsidRPr="00373DD4">
        <w:rPr>
          <w:rFonts w:eastAsia="Times New Roman" w:cs="Times New Roman"/>
        </w:rPr>
        <w:t>provoz</w:t>
      </w:r>
      <w:r>
        <w:rPr>
          <w:rFonts w:eastAsia="Times New Roman" w:cs="Times New Roman"/>
        </w:rPr>
        <w:t xml:space="preserve"> v souladu s národní i evropskou legislativou</w:t>
      </w:r>
      <w:r w:rsidRPr="00373DD4">
        <w:rPr>
          <w:rFonts w:eastAsia="Times New Roman" w:cs="Times New Roman"/>
        </w:rPr>
        <w:t>. Jde především o překračování imisních limitů pro částice PM</w:t>
      </w:r>
      <w:r w:rsidRPr="00373DD4">
        <w:rPr>
          <w:rFonts w:eastAsia="Times New Roman" w:cs="Times New Roman"/>
          <w:vertAlign w:val="subscript"/>
        </w:rPr>
        <w:t>2,5</w:t>
      </w:r>
      <w:r w:rsidRPr="00373DD4">
        <w:rPr>
          <w:rFonts w:eastAsia="Times New Roman" w:cs="Times New Roman"/>
        </w:rPr>
        <w:t xml:space="preserve"> a PM</w:t>
      </w:r>
      <w:r w:rsidRPr="00373DD4">
        <w:rPr>
          <w:rFonts w:eastAsia="Times New Roman" w:cs="Times New Roman"/>
          <w:vertAlign w:val="subscript"/>
        </w:rPr>
        <w:t>10</w:t>
      </w:r>
      <w:r w:rsidRPr="00373DD4">
        <w:rPr>
          <w:rFonts w:eastAsia="Times New Roman" w:cs="Times New Roman"/>
        </w:rPr>
        <w:t xml:space="preserve"> a pro </w:t>
      </w:r>
      <w:proofErr w:type="spellStart"/>
      <w:proofErr w:type="gramStart"/>
      <w:r w:rsidRPr="00373DD4">
        <w:rPr>
          <w:rFonts w:eastAsia="Times New Roman" w:cs="Times New Roman"/>
        </w:rPr>
        <w:t>benzo</w:t>
      </w:r>
      <w:proofErr w:type="spellEnd"/>
      <w:r w:rsidRPr="00373DD4">
        <w:rPr>
          <w:rFonts w:eastAsia="Times New Roman" w:cs="Times New Roman"/>
        </w:rPr>
        <w:t>(a)pyren</w:t>
      </w:r>
      <w:proofErr w:type="gramEnd"/>
      <w:r w:rsidRPr="00373DD4">
        <w:rPr>
          <w:rFonts w:eastAsia="Times New Roman" w:cs="Times New Roman"/>
        </w:rPr>
        <w:t xml:space="preserve"> (</w:t>
      </w:r>
      <w:proofErr w:type="spellStart"/>
      <w:r w:rsidRPr="00373DD4">
        <w:rPr>
          <w:rFonts w:eastAsia="Times New Roman" w:cs="Times New Roman"/>
        </w:rPr>
        <w:t>BaP</w:t>
      </w:r>
      <w:proofErr w:type="spellEnd"/>
      <w:r w:rsidRPr="00373DD4">
        <w:rPr>
          <w:rFonts w:eastAsia="Times New Roman" w:cs="Times New Roman"/>
        </w:rPr>
        <w:t>). Opakovaně dále dochází k lokálnímu překračování imisního limitu pro NO</w:t>
      </w:r>
      <w:r w:rsidRPr="00373DD4">
        <w:rPr>
          <w:rFonts w:eastAsia="Times New Roman" w:cs="Times New Roman"/>
          <w:vertAlign w:val="subscript"/>
        </w:rPr>
        <w:t>2</w:t>
      </w:r>
      <w:r w:rsidRPr="00373DD4">
        <w:rPr>
          <w:rFonts w:eastAsia="Times New Roman" w:cs="Times New Roman"/>
        </w:rPr>
        <w:t xml:space="preserve"> a k překračování imisních limitů pro</w:t>
      </w:r>
      <w:r>
        <w:rPr>
          <w:rFonts w:eastAsia="Times New Roman" w:cs="Times New Roman"/>
        </w:rPr>
        <w:t> přízemní</w:t>
      </w:r>
      <w:r w:rsidRPr="00373DD4">
        <w:rPr>
          <w:rFonts w:eastAsia="Times New Roman" w:cs="Times New Roman"/>
        </w:rPr>
        <w:t xml:space="preserve"> ozon. Místně byly překročeny také imisní limity pro arzén, nikl a benzen. Dochází rovněž k překračování limitních hodnot stanovených pro expozici obyvatelstva částicím PM</w:t>
      </w:r>
      <w:r w:rsidRPr="00373DD4">
        <w:rPr>
          <w:rFonts w:eastAsia="Times New Roman" w:cs="Times New Roman"/>
          <w:vertAlign w:val="subscript"/>
        </w:rPr>
        <w:t>2,5</w:t>
      </w:r>
      <w:r w:rsidRPr="00373DD4">
        <w:rPr>
          <w:rFonts w:eastAsia="Times New Roman" w:cs="Times New Roman"/>
        </w:rPr>
        <w:t xml:space="preserve"> v sídlech nad 100 000 obyvatel. Z analýzy dat za období 2007–201</w:t>
      </w:r>
      <w:r>
        <w:rPr>
          <w:rFonts w:eastAsia="Times New Roman" w:cs="Times New Roman"/>
        </w:rPr>
        <w:t>1</w:t>
      </w:r>
      <w:r w:rsidRPr="00373DD4">
        <w:rPr>
          <w:rFonts w:eastAsia="Times New Roman" w:cs="Times New Roman"/>
        </w:rPr>
        <w:t xml:space="preserve"> vyplývají následující závěry:</w:t>
      </w:r>
    </w:p>
    <w:p w:rsidR="00B17192" w:rsidRPr="00373DD4" w:rsidRDefault="00B17192" w:rsidP="00B17192">
      <w:pPr>
        <w:numPr>
          <w:ilvl w:val="0"/>
          <w:numId w:val="71"/>
        </w:numPr>
        <w:contextualSpacing/>
        <w:rPr>
          <w:rFonts w:eastAsia="Times New Roman" w:cs="Times New Roman"/>
        </w:rPr>
      </w:pPr>
      <w:r>
        <w:rPr>
          <w:rFonts w:eastAsia="Times New Roman" w:cs="Times New Roman"/>
        </w:rPr>
        <w:t>v</w:t>
      </w:r>
      <w:r w:rsidRPr="00373DD4">
        <w:rPr>
          <w:rFonts w:eastAsia="Times New Roman" w:cs="Times New Roman"/>
        </w:rPr>
        <w:t> oblastech s nadlimitní roční průměrnou koncentrací PM</w:t>
      </w:r>
      <w:r w:rsidRPr="00373DD4">
        <w:rPr>
          <w:rFonts w:eastAsia="Times New Roman" w:cs="Times New Roman"/>
          <w:vertAlign w:val="subscript"/>
        </w:rPr>
        <w:t>10</w:t>
      </w:r>
      <w:r w:rsidRPr="00373DD4">
        <w:rPr>
          <w:rFonts w:eastAsia="Times New Roman" w:cs="Times New Roman"/>
        </w:rPr>
        <w:t xml:space="preserve"> žilo téměř 5 % obyvatel na</w:t>
      </w:r>
      <w:r>
        <w:rPr>
          <w:rFonts w:eastAsia="Times New Roman" w:cs="Times New Roman"/>
        </w:rPr>
        <w:t> </w:t>
      </w:r>
      <w:r w:rsidRPr="00373DD4">
        <w:rPr>
          <w:rFonts w:eastAsia="Times New Roman" w:cs="Times New Roman"/>
        </w:rPr>
        <w:t>necelém 1 % území</w:t>
      </w:r>
      <w:r>
        <w:rPr>
          <w:rFonts w:eastAsia="Times New Roman" w:cs="Times New Roman"/>
        </w:rPr>
        <w:t>,</w:t>
      </w:r>
    </w:p>
    <w:p w:rsidR="00B17192" w:rsidRPr="00373DD4" w:rsidRDefault="00B17192" w:rsidP="00B17192">
      <w:pPr>
        <w:numPr>
          <w:ilvl w:val="0"/>
          <w:numId w:val="71"/>
        </w:numPr>
        <w:contextualSpacing/>
        <w:rPr>
          <w:rFonts w:eastAsia="Times New Roman" w:cs="Times New Roman"/>
        </w:rPr>
      </w:pPr>
      <w:r>
        <w:rPr>
          <w:rFonts w:eastAsia="Times New Roman" w:cs="Times New Roman"/>
        </w:rPr>
        <w:lastRenderedPageBreak/>
        <w:t>v</w:t>
      </w:r>
      <w:r w:rsidRPr="00373DD4">
        <w:rPr>
          <w:rFonts w:eastAsia="Times New Roman" w:cs="Times New Roman"/>
        </w:rPr>
        <w:t> oblastech s nadlimitními hodnotami 24hodinových koncentrací PM</w:t>
      </w:r>
      <w:r w:rsidRPr="00373DD4">
        <w:rPr>
          <w:rFonts w:eastAsia="Times New Roman" w:cs="Times New Roman"/>
          <w:vertAlign w:val="subscript"/>
        </w:rPr>
        <w:t>10</w:t>
      </w:r>
      <w:r w:rsidRPr="00373DD4">
        <w:rPr>
          <w:rFonts w:eastAsia="Times New Roman" w:cs="Times New Roman"/>
        </w:rPr>
        <w:t xml:space="preserve"> žilo 29 % obyvatel na přibližně 8 % území (viz obr. 6 v Příloze 1)</w:t>
      </w:r>
      <w:r>
        <w:rPr>
          <w:rFonts w:eastAsia="Times New Roman" w:cs="Times New Roman"/>
        </w:rPr>
        <w:t>,</w:t>
      </w:r>
    </w:p>
    <w:p w:rsidR="00B17192" w:rsidRPr="00373DD4" w:rsidRDefault="00B17192" w:rsidP="00B17192">
      <w:pPr>
        <w:numPr>
          <w:ilvl w:val="0"/>
          <w:numId w:val="71"/>
        </w:numPr>
        <w:contextualSpacing/>
        <w:rPr>
          <w:rFonts w:eastAsia="Times New Roman" w:cs="Times New Roman"/>
        </w:rPr>
      </w:pPr>
      <w:r>
        <w:rPr>
          <w:rFonts w:eastAsia="Times New Roman" w:cs="Times New Roman"/>
        </w:rPr>
        <w:t>v</w:t>
      </w:r>
      <w:r w:rsidRPr="00373DD4">
        <w:rPr>
          <w:rFonts w:eastAsia="Times New Roman" w:cs="Times New Roman"/>
        </w:rPr>
        <w:t> oblastech s nadlimitní roční průměrnou koncentrací PM</w:t>
      </w:r>
      <w:r w:rsidRPr="00373DD4">
        <w:rPr>
          <w:rFonts w:eastAsia="Times New Roman" w:cs="Times New Roman"/>
          <w:vertAlign w:val="subscript"/>
        </w:rPr>
        <w:t>2,5</w:t>
      </w:r>
      <w:r w:rsidRPr="00373DD4">
        <w:rPr>
          <w:rFonts w:eastAsia="Times New Roman" w:cs="Times New Roman"/>
        </w:rPr>
        <w:t xml:space="preserve"> žilo 10 % obyvatel na téměř 2 % území</w:t>
      </w:r>
      <w:r>
        <w:rPr>
          <w:rFonts w:eastAsia="Times New Roman" w:cs="Times New Roman"/>
        </w:rPr>
        <w:t>,</w:t>
      </w:r>
    </w:p>
    <w:p w:rsidR="00B17192" w:rsidRPr="00373DD4" w:rsidRDefault="00B17192" w:rsidP="00B17192">
      <w:pPr>
        <w:numPr>
          <w:ilvl w:val="0"/>
          <w:numId w:val="71"/>
        </w:numPr>
        <w:contextualSpacing/>
        <w:rPr>
          <w:rFonts w:eastAsia="Times New Roman" w:cs="Times New Roman"/>
        </w:rPr>
      </w:pPr>
      <w:r>
        <w:rPr>
          <w:rFonts w:eastAsia="Times New Roman" w:cs="Times New Roman"/>
        </w:rPr>
        <w:t>n</w:t>
      </w:r>
      <w:r w:rsidRPr="00373DD4">
        <w:rPr>
          <w:rFonts w:eastAsia="Times New Roman" w:cs="Times New Roman"/>
        </w:rPr>
        <w:t xml:space="preserve">a cca 5 % území republiky byl překračován imisní limit pro průměrnou roční koncentraci </w:t>
      </w:r>
      <w:proofErr w:type="spellStart"/>
      <w:r w:rsidRPr="00373DD4">
        <w:rPr>
          <w:rFonts w:eastAsia="Times New Roman" w:cs="Times New Roman"/>
        </w:rPr>
        <w:t>BaP</w:t>
      </w:r>
      <w:proofErr w:type="spellEnd"/>
      <w:r w:rsidRPr="00373DD4">
        <w:rPr>
          <w:rFonts w:eastAsia="Times New Roman" w:cs="Times New Roman"/>
        </w:rPr>
        <w:t xml:space="preserve"> (1ng/m</w:t>
      </w:r>
      <w:r w:rsidRPr="00373DD4">
        <w:rPr>
          <w:rFonts w:eastAsia="Times New Roman" w:cs="Times New Roman"/>
          <w:vertAlign w:val="superscript"/>
        </w:rPr>
        <w:t>3</w:t>
      </w:r>
      <w:r w:rsidRPr="00373DD4">
        <w:rPr>
          <w:rFonts w:eastAsia="Times New Roman" w:cs="Times New Roman"/>
        </w:rPr>
        <w:t xml:space="preserve">), přičemž v těchto oblastech žilo ve sledovaném období přibližně 52 % obyvatel (viz obr. 7 v Příloze 1). Nejvyšší naměřené koncentrace </w:t>
      </w:r>
      <w:proofErr w:type="spellStart"/>
      <w:r w:rsidRPr="00373DD4">
        <w:rPr>
          <w:rFonts w:eastAsia="Times New Roman" w:cs="Times New Roman"/>
        </w:rPr>
        <w:t>BaP</w:t>
      </w:r>
      <w:proofErr w:type="spellEnd"/>
      <w:r w:rsidRPr="00373DD4">
        <w:rPr>
          <w:rFonts w:eastAsia="Times New Roman" w:cs="Times New Roman"/>
        </w:rPr>
        <w:t xml:space="preserve"> překračují imisní limit více než desetinásobně (průmyslově zatížená lokalita Ostrava</w:t>
      </w:r>
      <w:r w:rsidRPr="00373DD4">
        <w:rPr>
          <w:rFonts w:eastAsia="Times New Roman" w:cs="Times New Roman"/>
        </w:rPr>
        <w:noBreakHyphen/>
        <w:t xml:space="preserve">Radvanice). </w:t>
      </w:r>
      <w:r w:rsidRPr="00373DD4">
        <w:rPr>
          <w:rFonts w:eastAsia="Times New Roman" w:cs="Times New Roman"/>
          <w:vertAlign w:val="superscript"/>
        </w:rPr>
        <w:t xml:space="preserve"> </w:t>
      </w:r>
    </w:p>
    <w:p w:rsidR="00B17192" w:rsidRPr="00373DD4" w:rsidRDefault="00B17192" w:rsidP="00B17192">
      <w:pPr>
        <w:ind w:left="720"/>
        <w:contextualSpacing/>
        <w:rPr>
          <w:rFonts w:eastAsia="Times New Roman" w:cs="Times New Roman"/>
        </w:rPr>
      </w:pPr>
    </w:p>
    <w:p w:rsidR="00B17192" w:rsidRPr="00373DD4" w:rsidRDefault="00B17192" w:rsidP="00B17192">
      <w:pPr>
        <w:rPr>
          <w:rFonts w:eastAsia="Times New Roman" w:cs="Times New Roman"/>
        </w:rPr>
      </w:pPr>
      <w:r w:rsidRPr="00373DD4">
        <w:rPr>
          <w:rFonts w:eastAsia="Times New Roman" w:cs="Times New Roman"/>
        </w:rPr>
        <w:t>Plošná expozice obyvatelstva vysokým koncentracím znečišťujících látek, zejména částic PM</w:t>
      </w:r>
      <w:r w:rsidRPr="00373DD4">
        <w:rPr>
          <w:rFonts w:eastAsia="Times New Roman" w:cs="Times New Roman"/>
          <w:vertAlign w:val="subscript"/>
        </w:rPr>
        <w:t>10</w:t>
      </w:r>
      <w:r w:rsidRPr="00373DD4">
        <w:rPr>
          <w:rFonts w:eastAsia="Times New Roman" w:cs="Times New Roman"/>
        </w:rPr>
        <w:t xml:space="preserve"> a jemných částic PM</w:t>
      </w:r>
      <w:r w:rsidRPr="00373DD4">
        <w:rPr>
          <w:rFonts w:eastAsia="Times New Roman" w:cs="Times New Roman"/>
          <w:vertAlign w:val="subscript"/>
        </w:rPr>
        <w:t>2,5</w:t>
      </w:r>
      <w:r w:rsidRPr="00373DD4">
        <w:rPr>
          <w:rFonts w:eastAsia="Times New Roman" w:cs="Times New Roman"/>
        </w:rPr>
        <w:t xml:space="preserve"> a </w:t>
      </w:r>
      <w:proofErr w:type="spellStart"/>
      <w:r w:rsidRPr="00373DD4">
        <w:rPr>
          <w:rFonts w:eastAsia="Times New Roman" w:cs="Times New Roman"/>
        </w:rPr>
        <w:t>BaP</w:t>
      </w:r>
      <w:proofErr w:type="spellEnd"/>
      <w:r w:rsidRPr="00373DD4">
        <w:rPr>
          <w:rFonts w:eastAsia="Times New Roman" w:cs="Times New Roman"/>
        </w:rPr>
        <w:t xml:space="preserve"> představuje značná zdravotní rizika. Ministerstvo zdravotnictví odhaduje, že v ČR zemře ročně předčasně vlivem spolupůsobení suspendovaných částic přibližně 5 500 osob (stav v roce 2012). </w:t>
      </w:r>
    </w:p>
    <w:p w:rsidR="00B17192" w:rsidRPr="00373DD4" w:rsidRDefault="00B17192" w:rsidP="00B17192">
      <w:pPr>
        <w:rPr>
          <w:rFonts w:eastAsia="Times New Roman" w:cs="Times New Roman"/>
        </w:rPr>
      </w:pPr>
      <w:r w:rsidRPr="00373DD4">
        <w:rPr>
          <w:rFonts w:eastAsia="Times New Roman" w:cs="Times New Roman"/>
        </w:rPr>
        <w:t>Rozložení znečištění částicemi PM</w:t>
      </w:r>
      <w:r w:rsidRPr="00373DD4">
        <w:rPr>
          <w:rFonts w:eastAsia="Times New Roman" w:cs="Times New Roman"/>
          <w:vertAlign w:val="subscript"/>
        </w:rPr>
        <w:t>10</w:t>
      </w:r>
      <w:r w:rsidRPr="00373DD4">
        <w:rPr>
          <w:rFonts w:eastAsia="Times New Roman" w:cs="Times New Roman"/>
        </w:rPr>
        <w:t xml:space="preserve"> a </w:t>
      </w:r>
      <w:proofErr w:type="spellStart"/>
      <w:r w:rsidRPr="00373DD4">
        <w:rPr>
          <w:rFonts w:eastAsia="Times New Roman" w:cs="Times New Roman"/>
        </w:rPr>
        <w:t>BaP</w:t>
      </w:r>
      <w:proofErr w:type="spellEnd"/>
      <w:r w:rsidRPr="00373DD4">
        <w:rPr>
          <w:rFonts w:eastAsia="Times New Roman" w:cs="Times New Roman"/>
        </w:rPr>
        <w:t xml:space="preserve">  je patrné z obrázků 6 a 7 v </w:t>
      </w:r>
      <w:r>
        <w:rPr>
          <w:rFonts w:eastAsia="Times New Roman" w:cs="Times New Roman"/>
        </w:rPr>
        <w:t>P</w:t>
      </w:r>
      <w:r w:rsidRPr="00373DD4">
        <w:rPr>
          <w:rFonts w:eastAsia="Times New Roman" w:cs="Times New Roman"/>
        </w:rPr>
        <w:t xml:space="preserve">říloze 1, které tak zároveň zobrazují prioritní územní oblasti intervencí. Z kampaňových měření navíc vyplývá, že k překračování limitu pro </w:t>
      </w:r>
      <w:proofErr w:type="spellStart"/>
      <w:r w:rsidRPr="00373DD4">
        <w:rPr>
          <w:rFonts w:eastAsia="Times New Roman" w:cs="Times New Roman"/>
        </w:rPr>
        <w:t>BaP</w:t>
      </w:r>
      <w:proofErr w:type="spellEnd"/>
      <w:r w:rsidRPr="00373DD4">
        <w:rPr>
          <w:rFonts w:eastAsia="Times New Roman" w:cs="Times New Roman"/>
        </w:rPr>
        <w:t xml:space="preserve">  dochází v podstatně větším počtu sídel, než by vyplývalo z prostorové interpretace na základě měření ve stacionární síti, uvedené na obr. 7 v Příloze 1. Dosahované koncentrace znečišťujících látek jsou srovnatelné s vysoce zatíženými průmyslovými oblastmi. Tato skutečnost je ve vymezení územních priorit zohledněna. </w:t>
      </w:r>
    </w:p>
    <w:p w:rsidR="00B17192" w:rsidRPr="00373DD4" w:rsidRDefault="00B17192" w:rsidP="00B17192">
      <w:pPr>
        <w:rPr>
          <w:rFonts w:eastAsia="Times New Roman" w:cs="Times New Roman"/>
        </w:rPr>
      </w:pPr>
      <w:r w:rsidRPr="00373DD4">
        <w:rPr>
          <w:rFonts w:eastAsia="Times New Roman" w:cs="Times New Roman"/>
        </w:rPr>
        <w:t xml:space="preserve">Z hlediska kvality ovzduší jsou tedy </w:t>
      </w:r>
      <w:r w:rsidRPr="00373DD4">
        <w:rPr>
          <w:rFonts w:eastAsia="Times New Roman" w:cs="Times New Roman"/>
          <w:b/>
        </w:rPr>
        <w:t>prioritní</w:t>
      </w:r>
      <w:r>
        <w:rPr>
          <w:rFonts w:eastAsia="Times New Roman" w:cs="Times New Roman"/>
          <w:b/>
        </w:rPr>
        <w:t>mi</w:t>
      </w:r>
      <w:r w:rsidRPr="00373DD4">
        <w:rPr>
          <w:rFonts w:eastAsia="Times New Roman" w:cs="Times New Roman"/>
          <w:b/>
        </w:rPr>
        <w:t xml:space="preserve"> znečišťující</w:t>
      </w:r>
      <w:r>
        <w:rPr>
          <w:rFonts w:eastAsia="Times New Roman" w:cs="Times New Roman"/>
          <w:b/>
        </w:rPr>
        <w:t>mi</w:t>
      </w:r>
      <w:r w:rsidRPr="00373DD4">
        <w:rPr>
          <w:rFonts w:eastAsia="Times New Roman" w:cs="Times New Roman"/>
          <w:b/>
        </w:rPr>
        <w:t xml:space="preserve"> látk</w:t>
      </w:r>
      <w:r>
        <w:rPr>
          <w:rFonts w:eastAsia="Times New Roman" w:cs="Times New Roman"/>
          <w:b/>
        </w:rPr>
        <w:t>ami</w:t>
      </w:r>
      <w:r w:rsidRPr="00373DD4">
        <w:rPr>
          <w:rFonts w:eastAsia="Times New Roman" w:cs="Times New Roman"/>
        </w:rPr>
        <w:t xml:space="preserve"> </w:t>
      </w:r>
      <w:r w:rsidRPr="00373DD4">
        <w:rPr>
          <w:rFonts w:eastAsia="Times New Roman" w:cs="Times New Roman"/>
          <w:b/>
        </w:rPr>
        <w:t>částice PM</w:t>
      </w:r>
      <w:r w:rsidRPr="00373DD4">
        <w:rPr>
          <w:rFonts w:eastAsia="Times New Roman" w:cs="Times New Roman"/>
          <w:b/>
          <w:vertAlign w:val="subscript"/>
        </w:rPr>
        <w:t>10</w:t>
      </w:r>
      <w:r w:rsidRPr="00373DD4">
        <w:rPr>
          <w:rFonts w:eastAsia="Times New Roman" w:cs="Times New Roman"/>
          <w:b/>
        </w:rPr>
        <w:t xml:space="preserve"> a PM</w:t>
      </w:r>
      <w:r w:rsidRPr="00373DD4">
        <w:rPr>
          <w:rFonts w:eastAsia="Times New Roman" w:cs="Times New Roman"/>
          <w:b/>
          <w:vertAlign w:val="subscript"/>
        </w:rPr>
        <w:t>2,5</w:t>
      </w:r>
      <w:r w:rsidRPr="00373DD4">
        <w:rPr>
          <w:rFonts w:eastAsia="Times New Roman" w:cs="Times New Roman"/>
          <w:b/>
        </w:rPr>
        <w:t xml:space="preserve">, prekurzory sekundárních částic </w:t>
      </w:r>
      <w:r w:rsidRPr="00373DD4">
        <w:rPr>
          <w:rFonts w:eastAsia="Times New Roman" w:cs="Times New Roman"/>
        </w:rPr>
        <w:t>(oxidy síry, oxidy dusíku, amoniak, těkavé organické látky (VOC)) a </w:t>
      </w:r>
      <w:proofErr w:type="spellStart"/>
      <w:r w:rsidRPr="001E6335">
        <w:rPr>
          <w:rFonts w:eastAsia="Times New Roman" w:cs="Times New Roman"/>
          <w:b/>
        </w:rPr>
        <w:t>BaP</w:t>
      </w:r>
      <w:proofErr w:type="spellEnd"/>
      <w:r w:rsidRPr="00373DD4">
        <w:rPr>
          <w:rFonts w:eastAsia="Times New Roman" w:cs="Times New Roman"/>
        </w:rPr>
        <w:t xml:space="preserve">. </w:t>
      </w:r>
    </w:p>
    <w:p w:rsidR="00B17192" w:rsidRPr="00373DD4" w:rsidRDefault="00B17192" w:rsidP="00B17192">
      <w:pPr>
        <w:rPr>
          <w:rFonts w:eastAsia="Times New Roman" w:cs="Times New Roman"/>
        </w:rPr>
      </w:pPr>
      <w:r w:rsidRPr="00373DD4">
        <w:rPr>
          <w:rFonts w:eastAsia="Times New Roman" w:cs="Times New Roman"/>
        </w:rPr>
        <w:t>ČR dodržela k r.</w:t>
      </w:r>
      <w:r>
        <w:rPr>
          <w:rFonts w:eastAsia="Times New Roman" w:cs="Times New Roman"/>
        </w:rPr>
        <w:t xml:space="preserve"> </w:t>
      </w:r>
      <w:r w:rsidRPr="00373DD4">
        <w:rPr>
          <w:rFonts w:eastAsia="Times New Roman" w:cs="Times New Roman"/>
        </w:rPr>
        <w:t>2010 národní emisní stropy stanovené Göteborským protokolem i směrnicí 2003/35/ES. Revize protokolu z r. 2012 stanovuje národní závazky snížení emisí platné od r.</w:t>
      </w:r>
      <w:r>
        <w:rPr>
          <w:rFonts w:eastAsia="Times New Roman" w:cs="Times New Roman"/>
        </w:rPr>
        <w:t> </w:t>
      </w:r>
      <w:r w:rsidRPr="00373DD4">
        <w:rPr>
          <w:rFonts w:eastAsia="Times New Roman" w:cs="Times New Roman"/>
        </w:rPr>
        <w:t>2020</w:t>
      </w:r>
      <w:r>
        <w:rPr>
          <w:rFonts w:eastAsia="Times New Roman" w:cs="Times New Roman"/>
        </w:rPr>
        <w:t xml:space="preserve"> (</w:t>
      </w:r>
      <w:r w:rsidRPr="00617430">
        <w:t>o 45 % v případě SO</w:t>
      </w:r>
      <w:r w:rsidRPr="00617430">
        <w:rPr>
          <w:vertAlign w:val="subscript"/>
        </w:rPr>
        <w:t>2</w:t>
      </w:r>
      <w:r w:rsidRPr="00617430">
        <w:t xml:space="preserve">, o 35 % v případě </w:t>
      </w:r>
      <w:proofErr w:type="spellStart"/>
      <w:r w:rsidRPr="00617430">
        <w:t>NO</w:t>
      </w:r>
      <w:r w:rsidRPr="00617430">
        <w:rPr>
          <w:vertAlign w:val="subscript"/>
        </w:rPr>
        <w:t>x</w:t>
      </w:r>
      <w:proofErr w:type="spellEnd"/>
      <w:r w:rsidRPr="00617430">
        <w:t>, o 18 % v případě VOC, o 7 % v případě NH</w:t>
      </w:r>
      <w:r w:rsidRPr="00617430">
        <w:rPr>
          <w:vertAlign w:val="subscript"/>
        </w:rPr>
        <w:t>3</w:t>
      </w:r>
      <w:r w:rsidRPr="00617430">
        <w:t xml:space="preserve"> a o 17 % v případě PM</w:t>
      </w:r>
      <w:r w:rsidRPr="00617430">
        <w:rPr>
          <w:vertAlign w:val="subscript"/>
        </w:rPr>
        <w:t>2,5</w:t>
      </w:r>
      <w:r w:rsidRPr="00617430">
        <w:t xml:space="preserve"> oproti r</w:t>
      </w:r>
      <w:r>
        <w:t>.</w:t>
      </w:r>
      <w:r w:rsidRPr="00617430">
        <w:t xml:space="preserve"> 2005</w:t>
      </w:r>
      <w:r>
        <w:t>)</w:t>
      </w:r>
      <w:r w:rsidRPr="00373DD4">
        <w:rPr>
          <w:rFonts w:eastAsia="Times New Roman" w:cs="Times New Roman"/>
        </w:rPr>
        <w:t>, které budou rovněž součástí nově navrhované směrnice</w:t>
      </w:r>
      <w:r>
        <w:rPr>
          <w:rFonts w:eastAsia="Times New Roman" w:cs="Times New Roman"/>
        </w:rPr>
        <w:t xml:space="preserve"> EU o snižování národních emisí.</w:t>
      </w:r>
      <w:r w:rsidRPr="00373DD4">
        <w:rPr>
          <w:rFonts w:eastAsia="Times New Roman" w:cs="Times New Roman"/>
        </w:rPr>
        <w:t xml:space="preserve"> Národní emisní projekce i projekce generované modelem GAINS indikují </w:t>
      </w:r>
      <w:r w:rsidRPr="00373DD4">
        <w:rPr>
          <w:rFonts w:eastAsia="Times New Roman" w:cs="Times New Roman"/>
          <w:b/>
        </w:rPr>
        <w:t>pro r</w:t>
      </w:r>
      <w:r>
        <w:rPr>
          <w:rFonts w:eastAsia="Times New Roman" w:cs="Times New Roman"/>
          <w:b/>
        </w:rPr>
        <w:t>.</w:t>
      </w:r>
      <w:r w:rsidRPr="00373DD4">
        <w:rPr>
          <w:rFonts w:eastAsia="Times New Roman" w:cs="Times New Roman"/>
          <w:b/>
        </w:rPr>
        <w:t xml:space="preserve"> 2020 vysoké riziko nedodržení nově stanovených národních závazků snížení emisí pro částice PM</w:t>
      </w:r>
      <w:r w:rsidRPr="00373DD4">
        <w:rPr>
          <w:rFonts w:eastAsia="Times New Roman" w:cs="Times New Roman"/>
          <w:b/>
          <w:vertAlign w:val="subscript"/>
        </w:rPr>
        <w:t>2.5</w:t>
      </w:r>
      <w:r w:rsidRPr="00373DD4">
        <w:rPr>
          <w:rFonts w:eastAsia="Times New Roman" w:cs="Times New Roman"/>
          <w:b/>
        </w:rPr>
        <w:t xml:space="preserve"> a oxid siřičitý a velmi nízké „rezervy“ k dodržení závazků pro VOC a amoniak</w:t>
      </w:r>
      <w:r w:rsidRPr="00373DD4">
        <w:rPr>
          <w:rFonts w:eastAsia="Times New Roman" w:cs="Times New Roman"/>
        </w:rPr>
        <w:t>.</w:t>
      </w:r>
    </w:p>
    <w:p w:rsidR="00B17192" w:rsidRDefault="00B17192" w:rsidP="00B17192">
      <w:r w:rsidRPr="00373DD4">
        <w:rPr>
          <w:rFonts w:eastAsia="Times New Roman" w:cs="Times New Roman"/>
          <w:b/>
        </w:rPr>
        <w:t>Interpretace dat, která slouží i k plánování intervencí, je zatížena různou mírou nejistoty</w:t>
      </w:r>
      <w:r w:rsidRPr="00373DD4">
        <w:rPr>
          <w:rFonts w:eastAsia="Times New Roman" w:cs="Times New Roman"/>
        </w:rPr>
        <w:t>, v některých případech velmi vysokou, a to z důvodu relativně malého počtu měření (monitorovacích stanic), a tedy nízkému počtu vstupních dat</w:t>
      </w:r>
      <w:r>
        <w:rPr>
          <w:rFonts w:eastAsia="Times New Roman" w:cs="Times New Roman"/>
        </w:rPr>
        <w:t xml:space="preserve">, zejména u </w:t>
      </w:r>
      <w:proofErr w:type="spellStart"/>
      <w:r>
        <w:rPr>
          <w:rFonts w:eastAsia="Times New Roman" w:cs="Times New Roman"/>
        </w:rPr>
        <w:t>BaP</w:t>
      </w:r>
      <w:proofErr w:type="spellEnd"/>
      <w:r>
        <w:rPr>
          <w:rFonts w:eastAsia="Times New Roman" w:cs="Times New Roman"/>
        </w:rPr>
        <w:t>. Vzhledem k </w:t>
      </w:r>
      <w:r w:rsidRPr="00373DD4">
        <w:rPr>
          <w:rFonts w:eastAsia="Times New Roman" w:cs="Times New Roman"/>
        </w:rPr>
        <w:t xml:space="preserve">rozložení zdrojů emisí </w:t>
      </w:r>
      <w:proofErr w:type="spellStart"/>
      <w:r w:rsidRPr="00373DD4">
        <w:rPr>
          <w:rFonts w:eastAsia="Times New Roman" w:cs="Times New Roman"/>
        </w:rPr>
        <w:t>BaP</w:t>
      </w:r>
      <w:proofErr w:type="spellEnd"/>
      <w:r w:rsidRPr="00373DD4">
        <w:rPr>
          <w:rFonts w:eastAsia="Times New Roman" w:cs="Times New Roman"/>
        </w:rPr>
        <w:t>, kterými jsou zejména lokální topeniště, plošně na celém, geograficky velmi rozmanitém území ČR a omezenému počtu měřících lokalit tak neexistuje dostatečné informační zázemí pro zacílení intervencí a jejich následné vy</w:t>
      </w:r>
      <w:r>
        <w:rPr>
          <w:rFonts w:eastAsia="Times New Roman" w:cs="Times New Roman"/>
        </w:rPr>
        <w:t>hodnocení.  Pro účinnější popis</w:t>
      </w:r>
      <w:r w:rsidRPr="00373DD4">
        <w:rPr>
          <w:rFonts w:eastAsia="Times New Roman" w:cs="Times New Roman"/>
        </w:rPr>
        <w:t xml:space="preserve"> kvality ovzduší, identifikaci zdrojů znečišťování i následné vyhodnocení účinnosti přijatých opatření je nut</w:t>
      </w:r>
      <w:r>
        <w:rPr>
          <w:rFonts w:eastAsia="Times New Roman" w:cs="Times New Roman"/>
        </w:rPr>
        <w:t>n</w:t>
      </w:r>
      <w:r w:rsidRPr="00373DD4">
        <w:rPr>
          <w:rFonts w:eastAsia="Times New Roman" w:cs="Times New Roman"/>
        </w:rPr>
        <w:t>o podpořit a rozšířit jak mo</w:t>
      </w:r>
      <w:r>
        <w:rPr>
          <w:rFonts w:eastAsia="Times New Roman" w:cs="Times New Roman"/>
        </w:rPr>
        <w:t>nitoring kvality ovzduší, tak i </w:t>
      </w:r>
      <w:r w:rsidRPr="00373DD4">
        <w:rPr>
          <w:rFonts w:eastAsia="Times New Roman" w:cs="Times New Roman"/>
        </w:rPr>
        <w:t xml:space="preserve">monitoring dopadů znečištění ovzduší na lidské zdraví a životní prostředí, posílit informační systémy inventarizace emisí a dále zpřesňovat emisní bilance. Rozšíření monitoringu lze očekávat i v souvislosti s očekávanými legislativními požadavky (např. směrnice o snižování </w:t>
      </w:r>
      <w:r w:rsidRPr="00373DD4">
        <w:rPr>
          <w:rFonts w:eastAsia="Times New Roman" w:cs="Times New Roman"/>
        </w:rPr>
        <w:lastRenderedPageBreak/>
        <w:t>národních emisí). Aby bylo možné reagovat na změny ve vývoji tak, aby nedošlo vlivem vnějších okolností k ohrožení plnění závazků ČR, je rovněž nezbytné významněji podpořit schopnost ČR predikovat budoucí vývoj emisí i kvality ovzduší (krátkodobé i dlouhodobé projekce).</w:t>
      </w:r>
      <w:r w:rsidRPr="00593DB7">
        <w:t xml:space="preserve"> </w:t>
      </w:r>
    </w:p>
    <w:p w:rsidR="00B17192" w:rsidRPr="00A9413B" w:rsidRDefault="00B17192" w:rsidP="00B17192">
      <w:r w:rsidRPr="00617430">
        <w:t>Důležitým aspektem je také dostupnost získaných údajů o stavu a vývoji imisní zátěže. Mezi příjemce těchto informací patří státní i samosprávné orgány, o</w:t>
      </w:r>
      <w:r w:rsidRPr="00814D76">
        <w:t>dborná i laická veřejnost. Naměřená data o kvalitě ovzduší (z automatických stanic) budou k dispozici online pro všechny uživatele, zajištěna bude i mezinárodní výměna dat včetně jejich prezentování v </w:t>
      </w:r>
      <w:proofErr w:type="spellStart"/>
      <w:r w:rsidRPr="00814D76">
        <w:t>near</w:t>
      </w:r>
      <w:proofErr w:type="spellEnd"/>
      <w:r w:rsidRPr="00814D76">
        <w:t xml:space="preserve"> </w:t>
      </w:r>
      <w:proofErr w:type="spellStart"/>
      <w:r w:rsidRPr="00814D76">
        <w:t>real</w:t>
      </w:r>
      <w:proofErr w:type="spellEnd"/>
      <w:r w:rsidRPr="00814D76">
        <w:t xml:space="preserve"> </w:t>
      </w:r>
      <w:proofErr w:type="spellStart"/>
      <w:r w:rsidRPr="00814D76">
        <w:t>time</w:t>
      </w:r>
      <w:proofErr w:type="spellEnd"/>
      <w:r w:rsidRPr="00814D76">
        <w:t xml:space="preserve"> módu. </w:t>
      </w:r>
      <w:r>
        <w:t>A</w:t>
      </w:r>
      <w:r w:rsidRPr="00814D76">
        <w:t xml:space="preserve">kce budou připraveny </w:t>
      </w:r>
      <w:r w:rsidRPr="00A9413B">
        <w:t>tak, aby mezinárodní výměna dat o</w:t>
      </w:r>
      <w:r>
        <w:t> </w:t>
      </w:r>
      <w:r w:rsidRPr="00A9413B">
        <w:t>kvalitě ovzduší probíhala v souladu s pravidly stanovenými směrnicí 2008/50/ES a prováděcím rozhodnutím 2011/850/EU.</w:t>
      </w:r>
    </w:p>
    <w:p w:rsidR="00B17192" w:rsidRPr="00A9413B" w:rsidRDefault="00B17192" w:rsidP="00B17192">
      <w:r w:rsidRPr="00A9413B">
        <w:t xml:space="preserve">Příprava opatření vedoucích ke zlepšování kvality ovzduší však nespočívá </w:t>
      </w:r>
      <w:r>
        <w:t>jen</w:t>
      </w:r>
      <w:r w:rsidRPr="00A9413B">
        <w:t xml:space="preserve"> v identifikaci zdrojů znečišťování, které v konkrétní situaci vyvolávají zvýšené </w:t>
      </w:r>
      <w:r>
        <w:t>koncentrace</w:t>
      </w:r>
      <w:r w:rsidRPr="00A9413B">
        <w:t xml:space="preserve"> znečišťujících látek v atmosféře. Je </w:t>
      </w:r>
      <w:r>
        <w:t>nutné</w:t>
      </w:r>
      <w:r w:rsidRPr="00A9413B">
        <w:t xml:space="preserve"> znát také podmínky pro jejich šíření v</w:t>
      </w:r>
      <w:r>
        <w:t>e spodních vrstvách atmosféry i </w:t>
      </w:r>
      <w:r w:rsidRPr="00A9413B">
        <w:t>mechanizmy interakcí znečišťujících látek s atmosférou. Změny klimatu a</w:t>
      </w:r>
      <w:r>
        <w:t> </w:t>
      </w:r>
      <w:r w:rsidRPr="00A9413B">
        <w:t>s</w:t>
      </w:r>
      <w:r>
        <w:t> </w:t>
      </w:r>
      <w:r w:rsidRPr="00A9413B">
        <w:t>nimi spojená proměnlivost a narůstající extremita počasí výrazně ovlivňují možné dopady znečištění ovzduší na lidské zdraví a životní prostředí včetně jejich prostorového rozložení. Proto je nutné zlepšovat a rozvíjet také systémy pro sledování, hodnocení a předpovídání vývoje kvality ovzduší, počasí a klimatu a ozónové vrstvy Země.</w:t>
      </w:r>
    </w:p>
    <w:p w:rsidR="00B17192" w:rsidRPr="00373DD4" w:rsidRDefault="00B17192" w:rsidP="00B17192">
      <w:pPr>
        <w:rPr>
          <w:rFonts w:eastAsia="Times New Roman" w:cs="Times New Roman"/>
        </w:rPr>
      </w:pPr>
      <w:r w:rsidRPr="00A9413B">
        <w:t xml:space="preserve">Nedílnou součástí sledování a analýz změn klimatu je např. monitoring složek radiační bilance atmosféry, ozonu, teploty, vlhkosti a proudění v atmosféře. Homogenita a vysoká kvalita dat je důležitým předpokladem pro zvýšení přesnosti odhadů změn klimatu a jejich dopadu na životní prostředí. Proto je kladen velký důraz na budování a obnovu měřících systémů, jejich kalibraci, zpracování dat a jejich archivaci i na rozvoj systémů pro modelování procesů v atmosféře. Tyto systémy následně umožňují aktualizaci scénářů možného vývoje klimatu, na </w:t>
      </w:r>
      <w:r>
        <w:t>jejichž základě</w:t>
      </w:r>
      <w:r w:rsidRPr="00A9413B">
        <w:t xml:space="preserve"> jsou navrhována adaptační </w:t>
      </w:r>
      <w:r w:rsidRPr="004B6C19">
        <w:t>opatření. Jednou ze základních povinností Č</w:t>
      </w:r>
      <w:r>
        <w:t>R</w:t>
      </w:r>
      <w:r w:rsidRPr="004B6C19">
        <w:t>, vyplývající z Rámcové úmluvy OSN o změně klimatu a Kjótského protokolu, je podpora základního i aplikovaného výzkumu v oblasti klimatické změny a pravidelné sledování těchto změn a jejich dopadů</w:t>
      </w:r>
    </w:p>
    <w:p w:rsidR="00B17192" w:rsidRPr="00373DD4" w:rsidRDefault="00B17192" w:rsidP="00B17192">
      <w:pPr>
        <w:rPr>
          <w:rFonts w:eastAsia="Times New Roman" w:cs="Times New Roman"/>
          <w:b/>
        </w:rPr>
      </w:pPr>
      <w:r w:rsidRPr="00373DD4">
        <w:rPr>
          <w:rFonts w:eastAsia="Times New Roman" w:cs="Times New Roman"/>
          <w:b/>
        </w:rPr>
        <w:t>Aktuální stav - Příčiny</w:t>
      </w:r>
    </w:p>
    <w:p w:rsidR="00B17192" w:rsidRPr="00373DD4" w:rsidRDefault="00B17192" w:rsidP="00B17192">
      <w:pPr>
        <w:rPr>
          <w:rFonts w:eastAsia="Times New Roman" w:cs="Times New Roman"/>
        </w:rPr>
      </w:pPr>
      <w:r w:rsidRPr="00373DD4">
        <w:rPr>
          <w:rFonts w:eastAsia="Times New Roman" w:cs="Times New Roman"/>
        </w:rPr>
        <w:t xml:space="preserve">Emisní inventury indikují pro období 2005–2012 klesající trend </w:t>
      </w:r>
      <w:r>
        <w:rPr>
          <w:rFonts w:eastAsia="Times New Roman" w:cs="Times New Roman"/>
        </w:rPr>
        <w:t xml:space="preserve">emisí </w:t>
      </w:r>
      <w:r w:rsidRPr="00373DD4">
        <w:rPr>
          <w:rFonts w:eastAsia="Times New Roman" w:cs="Times New Roman"/>
        </w:rPr>
        <w:t>prakticky u vš</w:t>
      </w:r>
      <w:r>
        <w:rPr>
          <w:rFonts w:eastAsia="Times New Roman" w:cs="Times New Roman"/>
        </w:rPr>
        <w:t xml:space="preserve">ech hlavních sledovaných </w:t>
      </w:r>
      <w:proofErr w:type="gramStart"/>
      <w:r>
        <w:rPr>
          <w:rFonts w:eastAsia="Times New Roman" w:cs="Times New Roman"/>
        </w:rPr>
        <w:t>látek</w:t>
      </w:r>
      <w:proofErr w:type="gramEnd"/>
      <w:r>
        <w:rPr>
          <w:rFonts w:eastAsia="Times New Roman" w:cs="Times New Roman"/>
        </w:rPr>
        <w:t>–</w:t>
      </w:r>
      <w:proofErr w:type="gramStart"/>
      <w:r w:rsidRPr="00373DD4">
        <w:rPr>
          <w:rFonts w:eastAsia="Times New Roman" w:cs="Times New Roman"/>
        </w:rPr>
        <w:t>SO</w:t>
      </w:r>
      <w:r w:rsidRPr="00373DD4">
        <w:rPr>
          <w:rFonts w:eastAsia="Times New Roman" w:cs="Times New Roman"/>
          <w:vertAlign w:val="subscript"/>
        </w:rPr>
        <w:t>2</w:t>
      </w:r>
      <w:proofErr w:type="gramEnd"/>
      <w:r w:rsidRPr="00373DD4">
        <w:rPr>
          <w:rFonts w:eastAsia="Times New Roman" w:cs="Times New Roman"/>
        </w:rPr>
        <w:t xml:space="preserve">, </w:t>
      </w:r>
      <w:proofErr w:type="spellStart"/>
      <w:r w:rsidRPr="00373DD4">
        <w:rPr>
          <w:rFonts w:eastAsia="Times New Roman" w:cs="Times New Roman"/>
        </w:rPr>
        <w:t>NO</w:t>
      </w:r>
      <w:r w:rsidRPr="00373DD4">
        <w:rPr>
          <w:rFonts w:eastAsia="Times New Roman" w:cs="Times New Roman"/>
          <w:vertAlign w:val="subscript"/>
        </w:rPr>
        <w:t>x</w:t>
      </w:r>
      <w:proofErr w:type="spellEnd"/>
      <w:r w:rsidRPr="00373DD4">
        <w:rPr>
          <w:rFonts w:eastAsia="Times New Roman" w:cs="Times New Roman"/>
        </w:rPr>
        <w:t>, VOC, NH</w:t>
      </w:r>
      <w:r w:rsidRPr="00373DD4">
        <w:rPr>
          <w:rFonts w:eastAsia="Times New Roman" w:cs="Times New Roman"/>
          <w:vertAlign w:val="subscript"/>
        </w:rPr>
        <w:t>3</w:t>
      </w:r>
      <w:r w:rsidRPr="00373DD4">
        <w:rPr>
          <w:rFonts w:eastAsia="Times New Roman" w:cs="Times New Roman"/>
        </w:rPr>
        <w:t>, TZL, PM</w:t>
      </w:r>
      <w:r w:rsidRPr="00373DD4">
        <w:rPr>
          <w:rFonts w:eastAsia="Times New Roman" w:cs="Times New Roman"/>
          <w:vertAlign w:val="subscript"/>
        </w:rPr>
        <w:t>10</w:t>
      </w:r>
      <w:r w:rsidRPr="00373DD4">
        <w:rPr>
          <w:rFonts w:eastAsia="Times New Roman" w:cs="Times New Roman"/>
        </w:rPr>
        <w:t>, PM</w:t>
      </w:r>
      <w:r w:rsidRPr="00373DD4">
        <w:rPr>
          <w:rFonts w:eastAsia="Times New Roman" w:cs="Times New Roman"/>
          <w:vertAlign w:val="subscript"/>
        </w:rPr>
        <w:t>2,5</w:t>
      </w:r>
      <w:r w:rsidRPr="00373DD4">
        <w:rPr>
          <w:rFonts w:eastAsia="Times New Roman" w:cs="Times New Roman"/>
        </w:rPr>
        <w:t>. V důsledku v minulosti dosaženého úspěšného omezení emisí z energetických a průmyslových zdrojů nabývají na významu zdroje, vypoušt</w:t>
      </w:r>
      <w:r>
        <w:rPr>
          <w:rFonts w:eastAsia="Times New Roman" w:cs="Times New Roman"/>
        </w:rPr>
        <w:t>ějící</w:t>
      </w:r>
      <w:r w:rsidRPr="00373DD4">
        <w:rPr>
          <w:rFonts w:eastAsia="Times New Roman" w:cs="Times New Roman"/>
        </w:rPr>
        <w:t xml:space="preserve"> emise do nižší vrstvy atmosféry („dýchací zóny“), zejména lokální vytápění a silniční doprava. </w:t>
      </w:r>
    </w:p>
    <w:p w:rsidR="00B17192" w:rsidRPr="00373DD4" w:rsidRDefault="00B17192" w:rsidP="00B17192">
      <w:pPr>
        <w:rPr>
          <w:rFonts w:eastAsia="MS Mincho" w:cs="Times New Roman"/>
        </w:rPr>
      </w:pPr>
      <w:r w:rsidRPr="00373DD4">
        <w:rPr>
          <w:rFonts w:eastAsia="MS Mincho" w:cs="Times New Roman"/>
        </w:rPr>
        <w:t xml:space="preserve">Podle údajů grafu 2 v Příloze 1 je </w:t>
      </w:r>
      <w:r w:rsidRPr="00373DD4">
        <w:rPr>
          <w:rFonts w:eastAsia="MS Mincho" w:cs="Times New Roman"/>
          <w:b/>
        </w:rPr>
        <w:t>nejvýznamnějším původcem emisí PM</w:t>
      </w:r>
      <w:r w:rsidRPr="00373DD4">
        <w:rPr>
          <w:rFonts w:eastAsia="MS Mincho" w:cs="Times New Roman"/>
          <w:b/>
          <w:vertAlign w:val="subscript"/>
        </w:rPr>
        <w:t>10</w:t>
      </w:r>
      <w:r w:rsidRPr="00373DD4">
        <w:rPr>
          <w:rFonts w:eastAsia="MS Mincho" w:cs="Times New Roman"/>
          <w:b/>
        </w:rPr>
        <w:t xml:space="preserve"> sektor lokální vytápění domácností (37,6%)</w:t>
      </w:r>
      <w:r w:rsidRPr="00373DD4">
        <w:rPr>
          <w:rFonts w:eastAsia="MS Mincho" w:cs="Times New Roman"/>
        </w:rPr>
        <w:t>. Podíl tohoto sektoru na celkových emisích primárních částic PM</w:t>
      </w:r>
      <w:r w:rsidRPr="00373DD4">
        <w:rPr>
          <w:rFonts w:eastAsia="MS Mincho" w:cs="Times New Roman"/>
          <w:vertAlign w:val="subscript"/>
        </w:rPr>
        <w:t>10</w:t>
      </w:r>
      <w:r w:rsidRPr="00373DD4">
        <w:rPr>
          <w:rFonts w:eastAsia="MS Mincho" w:cs="Times New Roman"/>
        </w:rPr>
        <w:t xml:space="preserve"> vzrostl z 29 % v r. 2007 na téměř 38 % v r. 2011.</w:t>
      </w:r>
    </w:p>
    <w:p w:rsidR="00B17192" w:rsidRPr="00373DD4" w:rsidRDefault="00B17192" w:rsidP="00B17192">
      <w:pPr>
        <w:rPr>
          <w:rFonts w:eastAsia="Times New Roman" w:cs="Times New Roman"/>
        </w:rPr>
      </w:pPr>
      <w:r w:rsidRPr="00373DD4">
        <w:rPr>
          <w:rFonts w:eastAsia="Times New Roman" w:cs="Times New Roman"/>
        </w:rPr>
        <w:t xml:space="preserve">Z údajů, uvedených v grafu 3 v Příloze 1 vyplývá, že </w:t>
      </w:r>
      <w:r w:rsidRPr="00373DD4">
        <w:rPr>
          <w:rFonts w:eastAsia="Times New Roman" w:cs="Times New Roman"/>
          <w:b/>
        </w:rPr>
        <w:t>sektor „lokální vytápění domácností“ je rovněž dominantním zdrojem emisí</w:t>
      </w:r>
      <w:r w:rsidRPr="00373DD4">
        <w:rPr>
          <w:rFonts w:eastAsia="Times New Roman" w:cs="Times New Roman"/>
        </w:rPr>
        <w:t xml:space="preserve"> </w:t>
      </w:r>
      <w:proofErr w:type="spellStart"/>
      <w:r w:rsidRPr="00373DD4">
        <w:rPr>
          <w:rFonts w:eastAsia="Times New Roman" w:cs="Times New Roman"/>
        </w:rPr>
        <w:t>BaP</w:t>
      </w:r>
      <w:proofErr w:type="spellEnd"/>
      <w:r w:rsidRPr="00373DD4">
        <w:rPr>
          <w:rFonts w:eastAsia="Times New Roman" w:cs="Times New Roman"/>
        </w:rPr>
        <w:t xml:space="preserve">; jeho podíl na celkových emisích stoupl z 64 % v roce 2007 na 78 % v r. 2011. </w:t>
      </w:r>
    </w:p>
    <w:p w:rsidR="00B17192" w:rsidRPr="00373DD4" w:rsidRDefault="00B17192" w:rsidP="00B17192">
      <w:pPr>
        <w:rPr>
          <w:rFonts w:eastAsia="Times New Roman" w:cs="Times New Roman"/>
          <w:b/>
        </w:rPr>
      </w:pPr>
      <w:r w:rsidRPr="00373DD4">
        <w:rPr>
          <w:rFonts w:eastAsia="Times New Roman" w:cs="Times New Roman"/>
        </w:rPr>
        <w:lastRenderedPageBreak/>
        <w:t xml:space="preserve">ČR identifikovala </w:t>
      </w:r>
      <w:r w:rsidRPr="00373DD4">
        <w:rPr>
          <w:rFonts w:eastAsia="Times New Roman" w:cs="Times New Roman"/>
          <w:b/>
        </w:rPr>
        <w:t>prioritní znečišťující látky</w:t>
      </w:r>
      <w:r w:rsidRPr="00373DD4">
        <w:rPr>
          <w:rFonts w:eastAsia="Times New Roman" w:cs="Times New Roman"/>
        </w:rPr>
        <w:t xml:space="preserve"> (</w:t>
      </w:r>
      <w:r w:rsidRPr="00373DD4">
        <w:rPr>
          <w:rFonts w:eastAsia="Times New Roman" w:cs="Times New Roman"/>
          <w:b/>
        </w:rPr>
        <w:t>částice PM</w:t>
      </w:r>
      <w:r w:rsidRPr="00373DD4">
        <w:rPr>
          <w:rFonts w:eastAsia="Times New Roman" w:cs="Times New Roman"/>
          <w:b/>
          <w:vertAlign w:val="subscript"/>
        </w:rPr>
        <w:t>10</w:t>
      </w:r>
      <w:r w:rsidRPr="00373DD4">
        <w:rPr>
          <w:rFonts w:eastAsia="Times New Roman" w:cs="Times New Roman"/>
          <w:b/>
        </w:rPr>
        <w:t xml:space="preserve"> a PM</w:t>
      </w:r>
      <w:r w:rsidRPr="00373DD4">
        <w:rPr>
          <w:rFonts w:eastAsia="Times New Roman" w:cs="Times New Roman"/>
          <w:b/>
          <w:vertAlign w:val="subscript"/>
        </w:rPr>
        <w:t>2,5</w:t>
      </w:r>
      <w:r w:rsidRPr="00373DD4">
        <w:rPr>
          <w:rFonts w:eastAsia="Times New Roman" w:cs="Times New Roman"/>
          <w:b/>
        </w:rPr>
        <w:t xml:space="preserve">, prekurzory sekundárních částic, </w:t>
      </w:r>
      <w:proofErr w:type="spellStart"/>
      <w:r w:rsidRPr="00373DD4">
        <w:rPr>
          <w:rFonts w:eastAsia="Times New Roman" w:cs="Times New Roman"/>
        </w:rPr>
        <w:t>BaP</w:t>
      </w:r>
      <w:proofErr w:type="spellEnd"/>
      <w:r w:rsidRPr="00373DD4">
        <w:rPr>
          <w:rFonts w:eastAsia="Times New Roman" w:cs="Times New Roman"/>
        </w:rPr>
        <w:t xml:space="preserve"> a nejvýznamnější kategorie zdrojů, ze kterých jsou tyto látky vnášeny do ovzduší. </w:t>
      </w:r>
      <w:r w:rsidRPr="00373DD4">
        <w:rPr>
          <w:rFonts w:eastAsia="Times New Roman" w:cs="Times New Roman"/>
          <w:b/>
        </w:rPr>
        <w:t xml:space="preserve">Nejzásadnější podíl na emisích prioritních znečišťujících látek mají lokální topeniště na pevná paliva. </w:t>
      </w:r>
      <w:r>
        <w:rPr>
          <w:rFonts w:eastAsia="Times New Roman" w:cs="Times New Roman"/>
          <w:b/>
        </w:rPr>
        <w:t xml:space="preserve">Podle </w:t>
      </w:r>
      <w:r w:rsidRPr="00617430">
        <w:rPr>
          <w:b/>
        </w:rPr>
        <w:t xml:space="preserve">Sčítání lidí, bytů a domů (2011) </w:t>
      </w:r>
      <w:proofErr w:type="gramStart"/>
      <w:r w:rsidRPr="00617430">
        <w:rPr>
          <w:b/>
        </w:rPr>
        <w:t>je</w:t>
      </w:r>
      <w:proofErr w:type="gramEnd"/>
      <w:r w:rsidRPr="00617430">
        <w:rPr>
          <w:b/>
        </w:rPr>
        <w:t xml:space="preserve"> v ČR </w:t>
      </w:r>
      <w:r w:rsidRPr="00373DD4">
        <w:rPr>
          <w:rFonts w:eastAsia="Times New Roman" w:cs="Times New Roman"/>
          <w:b/>
        </w:rPr>
        <w:t xml:space="preserve"> je přibližně 560 tisíc jednotlivých malých spalovacích zdrojů, často starých více než 20 let, s nízkou účinností (cca 60 %), v nichž jsou navíc často spalována nevhodná pevná paliva a</w:t>
      </w:r>
      <w:r>
        <w:rPr>
          <w:rFonts w:eastAsia="Times New Roman" w:cs="Times New Roman"/>
          <w:b/>
        </w:rPr>
        <w:t> </w:t>
      </w:r>
      <w:r w:rsidRPr="00373DD4">
        <w:rPr>
          <w:rFonts w:eastAsia="Times New Roman" w:cs="Times New Roman"/>
          <w:b/>
        </w:rPr>
        <w:t xml:space="preserve">v některých případech dokonce domovní odpad. </w:t>
      </w:r>
      <w:r w:rsidRPr="00DB391C">
        <w:t>Více než 80 % z nich splňuje pouze 1.</w:t>
      </w:r>
      <w:r>
        <w:t> </w:t>
      </w:r>
      <w:r w:rsidRPr="00DB391C">
        <w:t xml:space="preserve">emisní třídu. Odhaduje se, že přibližně 50 % kotlů je </w:t>
      </w:r>
      <w:proofErr w:type="spellStart"/>
      <w:r w:rsidRPr="00DB391C">
        <w:t>odhořívacího</w:t>
      </w:r>
      <w:proofErr w:type="spellEnd"/>
      <w:r w:rsidRPr="00DB391C">
        <w:t xml:space="preserve"> typu, přibližně 35 % </w:t>
      </w:r>
      <w:proofErr w:type="spellStart"/>
      <w:r w:rsidRPr="00DB391C">
        <w:t>prohořívacího</w:t>
      </w:r>
      <w:proofErr w:type="spellEnd"/>
      <w:r w:rsidRPr="00DB391C">
        <w:t xml:space="preserve"> typu a pouze 10 % zplyňovacích kotlů na dře</w:t>
      </w:r>
      <w:r>
        <w:t>vo a 5 % automatických kotlů na </w:t>
      </w:r>
      <w:r w:rsidRPr="00DB391C">
        <w:t>pelety nebo uhlí. Přibližně ve 2/3 těchto spalovacích zdrojů je spalována biomasa a v 1/3 uhlí. V ČR nejsou v tomto sektoru využívány žádné dodatečné emise snižující technologie</w:t>
      </w:r>
      <w:r>
        <w:t>.</w:t>
      </w:r>
    </w:p>
    <w:p w:rsidR="00B17192" w:rsidRPr="00373DD4" w:rsidRDefault="00B17192" w:rsidP="00B17192">
      <w:pPr>
        <w:rPr>
          <w:rFonts w:eastAsia="Times New Roman" w:cs="Times New Roman"/>
        </w:rPr>
      </w:pPr>
      <w:r w:rsidRPr="00373DD4">
        <w:rPr>
          <w:rFonts w:eastAsia="Times New Roman" w:cs="Times New Roman"/>
        </w:rPr>
        <w:t>Kromě informací z emisních inventur je nutné při řízení kvality ovzduší zohlednit některé významné zdroje znečišťování ovzduší, které nejsou v inventurách dosud zahrnuty a rovněž příspěvky jednotlivých kategorií zdrojů k lokálnímu znečištění úze</w:t>
      </w:r>
      <w:r>
        <w:rPr>
          <w:rFonts w:eastAsia="Times New Roman" w:cs="Times New Roman"/>
        </w:rPr>
        <w:t>mí. Emisní inventury nezahrnují</w:t>
      </w:r>
      <w:r w:rsidRPr="00373DD4">
        <w:rPr>
          <w:rFonts w:eastAsia="Times New Roman" w:cs="Times New Roman"/>
        </w:rPr>
        <w:t xml:space="preserve"> tzv. </w:t>
      </w:r>
      <w:proofErr w:type="spellStart"/>
      <w:r w:rsidRPr="00373DD4">
        <w:rPr>
          <w:rFonts w:eastAsia="Times New Roman" w:cs="Times New Roman"/>
        </w:rPr>
        <w:t>fugitivní</w:t>
      </w:r>
      <w:proofErr w:type="spellEnd"/>
      <w:r w:rsidRPr="00373DD4">
        <w:rPr>
          <w:rFonts w:eastAsia="Times New Roman" w:cs="Times New Roman"/>
        </w:rPr>
        <w:t xml:space="preserve"> emise zejména prachových částic z některých technologií, z manipulace se sypkými materiály a emise z těžební činnosti. Tyto zdroje mohou v lokálním měřítku představovat</w:t>
      </w:r>
      <w:r>
        <w:rPr>
          <w:rFonts w:eastAsia="Times New Roman" w:cs="Times New Roman"/>
        </w:rPr>
        <w:t>, spolu s </w:t>
      </w:r>
      <w:proofErr w:type="spellStart"/>
      <w:r w:rsidRPr="00CB5B0B">
        <w:rPr>
          <w:rFonts w:eastAsia="Times New Roman" w:cs="Times New Roman"/>
        </w:rPr>
        <w:t>resuspenz</w:t>
      </w:r>
      <w:r>
        <w:rPr>
          <w:rFonts w:eastAsia="Times New Roman" w:cs="Times New Roman"/>
        </w:rPr>
        <w:t>í</w:t>
      </w:r>
      <w:proofErr w:type="spellEnd"/>
      <w:r>
        <w:rPr>
          <w:rFonts w:eastAsia="Times New Roman" w:cs="Times New Roman"/>
        </w:rPr>
        <w:t xml:space="preserve">, </w:t>
      </w:r>
      <w:r w:rsidRPr="00373DD4">
        <w:rPr>
          <w:rFonts w:eastAsia="Times New Roman" w:cs="Times New Roman"/>
        </w:rPr>
        <w:t>zásadní příspěvek k celkovým koncen</w:t>
      </w:r>
      <w:r>
        <w:rPr>
          <w:rFonts w:eastAsia="Times New Roman" w:cs="Times New Roman"/>
        </w:rPr>
        <w:t xml:space="preserve">tracím (až desítky procent). </w:t>
      </w:r>
    </w:p>
    <w:p w:rsidR="00B17192" w:rsidRPr="00373DD4" w:rsidRDefault="00B17192" w:rsidP="00B17192">
      <w:pPr>
        <w:rPr>
          <w:rFonts w:eastAsia="Times New Roman" w:cs="Times New Roman"/>
        </w:rPr>
      </w:pPr>
      <w:r w:rsidRPr="00373DD4">
        <w:rPr>
          <w:rFonts w:eastAsia="Times New Roman" w:cs="Times New Roman"/>
          <w:b/>
        </w:rPr>
        <w:t>Sektor veřejná energetika a výroba tepla</w:t>
      </w:r>
      <w:r w:rsidRPr="00373DD4">
        <w:rPr>
          <w:rFonts w:eastAsia="Times New Roman" w:cs="Times New Roman"/>
        </w:rPr>
        <w:t xml:space="preserve"> spolu se sektorem dopravy jsou nejvýznamnějším zdrojem prekurzorů sekundárních částic (dohromady generovaly v r. 2011 89 % celkových emisí NO</w:t>
      </w:r>
      <w:r w:rsidRPr="00373DD4">
        <w:rPr>
          <w:rFonts w:eastAsia="Times New Roman" w:cs="Times New Roman"/>
          <w:vertAlign w:val="subscript"/>
        </w:rPr>
        <w:t>X</w:t>
      </w:r>
      <w:r w:rsidRPr="00373DD4">
        <w:rPr>
          <w:rFonts w:eastAsia="Times New Roman" w:cs="Times New Roman"/>
        </w:rPr>
        <w:t xml:space="preserve"> a 60 % celkových emisí SO</w:t>
      </w:r>
      <w:r w:rsidRPr="00373DD4">
        <w:rPr>
          <w:rFonts w:eastAsia="Times New Roman" w:cs="Times New Roman"/>
          <w:vertAlign w:val="subscript"/>
        </w:rPr>
        <w:t>2</w:t>
      </w:r>
      <w:r w:rsidRPr="00373DD4">
        <w:rPr>
          <w:rFonts w:eastAsia="Times New Roman" w:cs="Times New Roman"/>
        </w:rPr>
        <w:t>)</w:t>
      </w:r>
      <w:r w:rsidRPr="00373DD4">
        <w:rPr>
          <w:rFonts w:eastAsia="Times New Roman" w:cs="Times New Roman"/>
          <w:vertAlign w:val="subscript"/>
        </w:rPr>
        <w:t xml:space="preserve"> </w:t>
      </w:r>
      <w:r w:rsidRPr="00373DD4">
        <w:rPr>
          <w:rFonts w:eastAsia="Times New Roman" w:cs="Times New Roman"/>
        </w:rPr>
        <w:t xml:space="preserve">a nezanedbatelným zdrojem emisí částic primárních. </w:t>
      </w:r>
    </w:p>
    <w:p w:rsidR="00B17192" w:rsidRPr="00373DD4" w:rsidRDefault="00B17192" w:rsidP="00B17192">
      <w:pPr>
        <w:rPr>
          <w:rFonts w:eastAsia="Times New Roman" w:cs="Times New Roman"/>
          <w:b/>
        </w:rPr>
      </w:pPr>
      <w:r w:rsidRPr="00373DD4">
        <w:rPr>
          <w:rFonts w:eastAsia="Times New Roman" w:cs="Times New Roman"/>
          <w:b/>
        </w:rPr>
        <w:t>Hodnocení přínosu OP ŽP 2007–2013</w:t>
      </w:r>
    </w:p>
    <w:p w:rsidR="00A371DE" w:rsidRDefault="00B17192" w:rsidP="00B17192">
      <w:pPr>
        <w:autoSpaceDE w:val="0"/>
        <w:autoSpaceDN w:val="0"/>
        <w:adjustRightInd w:val="0"/>
        <w:rPr>
          <w:rFonts w:eastAsia="Calibri" w:cs="Helv"/>
        </w:rPr>
      </w:pPr>
      <w:r w:rsidRPr="00373DD4">
        <w:rPr>
          <w:rFonts w:eastAsia="Calibri" w:cs="Helv"/>
        </w:rPr>
        <w:t>V rámci prioritní osy 2</w:t>
      </w:r>
      <w:r>
        <w:rPr>
          <w:rFonts w:eastAsia="Calibri" w:cs="Helv"/>
        </w:rPr>
        <w:t xml:space="preserve"> bylo</w:t>
      </w:r>
      <w:r w:rsidRPr="00373DD4">
        <w:rPr>
          <w:rFonts w:eastAsia="Calibri" w:cs="Helv"/>
        </w:rPr>
        <w:t xml:space="preserve"> podpořeno celkem 1 749 žádostí o dotaci. Celkové investiční výdaje na všechny projekty činí 41,5 mld. Kč, podpora z FS pak pro tyto projekty činí 15,8 mld. Kč</w:t>
      </w:r>
      <w:r>
        <w:rPr>
          <w:rFonts w:eastAsia="Calibri" w:cs="Helv"/>
        </w:rPr>
        <w:t>.</w:t>
      </w:r>
    </w:p>
    <w:p w:rsidR="00A371DE" w:rsidRDefault="00B17192" w:rsidP="00B17192">
      <w:pPr>
        <w:autoSpaceDE w:val="0"/>
        <w:autoSpaceDN w:val="0"/>
        <w:adjustRightInd w:val="0"/>
        <w:rPr>
          <w:rFonts w:eastAsia="Calibri" w:cs="Helv"/>
        </w:rPr>
      </w:pPr>
      <w:r w:rsidRPr="00373DD4">
        <w:rPr>
          <w:rFonts w:eastAsia="Calibri" w:cs="Helv"/>
        </w:rPr>
        <w:t xml:space="preserve"> Z hlediska počtu projektů dominují projekty v podoblastech Snížení imisní zátěže omezením prašnosti z plošných zdrojů (737 projektů) a Technická opatření na zdrojích vedoucích k odstranění či snížení emisí NH</w:t>
      </w:r>
      <w:r w:rsidRPr="00373DD4">
        <w:rPr>
          <w:rFonts w:eastAsia="Calibri" w:cs="Helv"/>
          <w:vertAlign w:val="subscript"/>
        </w:rPr>
        <w:t>3</w:t>
      </w:r>
      <w:r w:rsidRPr="00373DD4">
        <w:rPr>
          <w:rFonts w:eastAsia="Calibri" w:cs="Helv"/>
        </w:rPr>
        <w:t xml:space="preserve"> do ovzduší (459 projektů). </w:t>
      </w:r>
      <w:r>
        <w:rPr>
          <w:rFonts w:eastAsia="Calibri" w:cs="Helv"/>
        </w:rPr>
        <w:t xml:space="preserve"> </w:t>
      </w:r>
    </w:p>
    <w:p w:rsidR="00B17192" w:rsidRPr="00373DD4" w:rsidRDefault="00B17192" w:rsidP="00B17192">
      <w:pPr>
        <w:autoSpaceDE w:val="0"/>
        <w:autoSpaceDN w:val="0"/>
        <w:adjustRightInd w:val="0"/>
        <w:rPr>
          <w:rFonts w:eastAsia="Calibri" w:cs="Helv"/>
        </w:rPr>
      </w:pPr>
      <w:r w:rsidRPr="00373DD4">
        <w:rPr>
          <w:rFonts w:eastAsia="Calibri" w:cs="Helv"/>
        </w:rPr>
        <w:t>Z hlediska finanční náročnosti jsou nejvýznamnější projekty v podoblastech Rekonstrukce spalovacích zdrojů s instalovaným výkonem větším než 5MW a Rekonstrukce nespalovacích zdrojů nebo instalace dodatečných zařízení pro záchyt emisí, které sice tvoří jen asi 10% podaných projektů, ale jejich souhrnné investiční náklady činí cca 21,3 mld. Kč resp. 10,1 mld. Kč.  Zároveň tyto dvě investičně nejnáročnější skupiny projektů představují více než 90% environmentálních přínosů.</w:t>
      </w:r>
    </w:p>
    <w:p w:rsidR="00B17192" w:rsidRDefault="00B17192" w:rsidP="00B17192">
      <w:pPr>
        <w:autoSpaceDE w:val="0"/>
        <w:autoSpaceDN w:val="0"/>
        <w:adjustRightInd w:val="0"/>
        <w:rPr>
          <w:rFonts w:eastAsia="Calibri" w:cs="Helv"/>
        </w:rPr>
      </w:pPr>
      <w:r w:rsidRPr="00373DD4">
        <w:rPr>
          <w:rFonts w:eastAsia="Calibri" w:cs="Helv"/>
        </w:rPr>
        <w:t>V r. 2013 vedly intervence OPŽP ke snížení emisí tuhých látek ze stacionárních zdrojů o 600 tun, emisí  SO</w:t>
      </w:r>
      <w:r w:rsidRPr="00373DD4">
        <w:rPr>
          <w:rFonts w:eastAsia="Calibri" w:cs="Helv"/>
          <w:vertAlign w:val="subscript"/>
        </w:rPr>
        <w:t>2</w:t>
      </w:r>
      <w:r w:rsidRPr="00373DD4">
        <w:rPr>
          <w:rFonts w:eastAsia="Calibri" w:cs="Helv"/>
        </w:rPr>
        <w:t xml:space="preserve"> o 900 tun a emisí NO</w:t>
      </w:r>
      <w:r w:rsidRPr="00373DD4">
        <w:rPr>
          <w:rFonts w:eastAsia="Calibri" w:cs="Helv"/>
          <w:vertAlign w:val="subscript"/>
        </w:rPr>
        <w:t>X</w:t>
      </w:r>
      <w:r w:rsidRPr="00373DD4">
        <w:rPr>
          <w:rFonts w:eastAsia="Calibri" w:cs="Helv"/>
        </w:rPr>
        <w:t xml:space="preserve"> o 900 tun.</w:t>
      </w:r>
    </w:p>
    <w:p w:rsidR="00A371DE" w:rsidRDefault="00A371DE" w:rsidP="00B17192">
      <w:pPr>
        <w:autoSpaceDE w:val="0"/>
        <w:autoSpaceDN w:val="0"/>
        <w:adjustRightInd w:val="0"/>
        <w:rPr>
          <w:rFonts w:eastAsia="Calibri" w:cs="Helv"/>
        </w:rPr>
      </w:pPr>
    </w:p>
    <w:p w:rsidR="00A371DE" w:rsidRPr="00373DD4" w:rsidRDefault="00A371DE" w:rsidP="00B17192">
      <w:pPr>
        <w:autoSpaceDE w:val="0"/>
        <w:autoSpaceDN w:val="0"/>
        <w:adjustRightInd w:val="0"/>
        <w:rPr>
          <w:rFonts w:eastAsia="Times New Roman" w:cs="Times New Roman"/>
          <w:b/>
        </w:rPr>
      </w:pPr>
    </w:p>
    <w:p w:rsidR="00B17192" w:rsidRPr="00373DD4" w:rsidRDefault="00B17192" w:rsidP="00B17192">
      <w:pPr>
        <w:rPr>
          <w:rFonts w:eastAsia="Times New Roman" w:cs="Times New Roman"/>
          <w:b/>
        </w:rPr>
      </w:pPr>
      <w:r w:rsidRPr="00373DD4">
        <w:rPr>
          <w:rFonts w:eastAsia="Times New Roman" w:cs="Times New Roman"/>
          <w:b/>
        </w:rPr>
        <w:lastRenderedPageBreak/>
        <w:t>Strategický přístup</w:t>
      </w:r>
    </w:p>
    <w:p w:rsidR="00B17192" w:rsidRPr="00373DD4" w:rsidRDefault="00B17192" w:rsidP="00B17192">
      <w:pPr>
        <w:rPr>
          <w:rFonts w:eastAsia="MS Mincho" w:cs="Times New Roman"/>
          <w:b/>
        </w:rPr>
      </w:pPr>
      <w:r w:rsidRPr="00373DD4">
        <w:rPr>
          <w:rFonts w:eastAsia="Times New Roman" w:cs="Times New Roman"/>
        </w:rPr>
        <w:t>Nastavení Prioritní osy 2: Zlepšování kvality ovzduší v lidských sídlech (dále jen „PO 2“) zohledňuje</w:t>
      </w:r>
      <w:r w:rsidRPr="00373DD4">
        <w:rPr>
          <w:rFonts w:eastAsia="Times New Roman" w:cs="Times New Roman"/>
          <w:b/>
        </w:rPr>
        <w:t xml:space="preserve"> návrh „balíčku k čistotě ovzduší“, </w:t>
      </w:r>
      <w:r w:rsidRPr="00373DD4">
        <w:rPr>
          <w:rFonts w:eastAsia="Times New Roman" w:cs="Times New Roman"/>
        </w:rPr>
        <w:t>zejména pak</w:t>
      </w:r>
      <w:r w:rsidRPr="00373DD4">
        <w:rPr>
          <w:rFonts w:eastAsia="Times New Roman" w:cs="Times New Roman"/>
          <w:b/>
        </w:rPr>
        <w:t xml:space="preserve"> návrh </w:t>
      </w:r>
      <w:r w:rsidRPr="00373DD4">
        <w:rPr>
          <w:rFonts w:eastAsia="MS Mincho" w:cs="Times New Roman"/>
          <w:b/>
        </w:rPr>
        <w:t>Programu čistého ovzduší pro Evropu</w:t>
      </w:r>
      <w:r w:rsidRPr="00373DD4">
        <w:rPr>
          <w:rFonts w:eastAsia="MS Mincho" w:cs="Times New Roman"/>
        </w:rPr>
        <w:t xml:space="preserve"> a </w:t>
      </w:r>
      <w:r w:rsidRPr="00373DD4">
        <w:rPr>
          <w:rFonts w:eastAsia="MS Mincho" w:cs="Times New Roman"/>
          <w:b/>
        </w:rPr>
        <w:t>návrh Směrnice o snížení národních emisí některých látek znečišťujících ovzduší</w:t>
      </w:r>
      <w:r>
        <w:rPr>
          <w:rFonts w:eastAsia="MS Mincho" w:cs="Times New Roman"/>
        </w:rPr>
        <w:t>,</w:t>
      </w:r>
      <w:r w:rsidRPr="00373DD4">
        <w:rPr>
          <w:rFonts w:eastAsia="MS Mincho" w:cs="Times New Roman"/>
        </w:rPr>
        <w:t xml:space="preserve"> a soustřeďuje se proto na </w:t>
      </w:r>
      <w:r w:rsidRPr="00373DD4">
        <w:rPr>
          <w:rFonts w:eastAsia="MS Mincho" w:cs="Times New Roman"/>
          <w:b/>
        </w:rPr>
        <w:t>přijetí opatření k zajištění dodržování stávajících standardů kvality ovzduší, omezení negativních dopadů znečištění ovzduší v dlouhodobém horizontu a dosažení snížení národních emisí SO</w:t>
      </w:r>
      <w:r w:rsidRPr="00373DD4">
        <w:rPr>
          <w:rFonts w:eastAsia="MS Mincho" w:cs="Times New Roman"/>
          <w:b/>
          <w:vertAlign w:val="subscript"/>
        </w:rPr>
        <w:t>2</w:t>
      </w:r>
      <w:r w:rsidRPr="00373DD4">
        <w:rPr>
          <w:rFonts w:eastAsia="MS Mincho" w:cs="Times New Roman"/>
          <w:b/>
        </w:rPr>
        <w:t xml:space="preserve"> , NO</w:t>
      </w:r>
      <w:r w:rsidRPr="00373DD4">
        <w:rPr>
          <w:rFonts w:eastAsia="MS Mincho" w:cs="Times New Roman"/>
          <w:b/>
          <w:vertAlign w:val="subscript"/>
        </w:rPr>
        <w:t>X</w:t>
      </w:r>
      <w:r w:rsidRPr="00373DD4">
        <w:rPr>
          <w:rFonts w:eastAsia="MS Mincho" w:cs="Times New Roman"/>
          <w:b/>
        </w:rPr>
        <w:t>,</w:t>
      </w:r>
      <w:r>
        <w:rPr>
          <w:rFonts w:eastAsia="MS Mincho" w:cs="Times New Roman"/>
          <w:b/>
        </w:rPr>
        <w:t xml:space="preserve"> </w:t>
      </w:r>
      <w:r w:rsidRPr="00373DD4">
        <w:rPr>
          <w:rFonts w:eastAsia="MS Mincho" w:cs="Times New Roman"/>
          <w:b/>
        </w:rPr>
        <w:t>VOC,  NH</w:t>
      </w:r>
      <w:r w:rsidRPr="00373DD4">
        <w:rPr>
          <w:rFonts w:eastAsia="MS Mincho" w:cs="Times New Roman"/>
          <w:b/>
          <w:vertAlign w:val="subscript"/>
        </w:rPr>
        <w:t>3</w:t>
      </w:r>
      <w:r w:rsidRPr="00373DD4">
        <w:rPr>
          <w:rFonts w:eastAsia="MS Mincho" w:cs="Times New Roman"/>
          <w:b/>
        </w:rPr>
        <w:t xml:space="preserve">  a PM</w:t>
      </w:r>
      <w:r w:rsidRPr="00373DD4">
        <w:rPr>
          <w:rFonts w:eastAsia="MS Mincho" w:cs="Times New Roman"/>
          <w:b/>
          <w:vertAlign w:val="subscript"/>
        </w:rPr>
        <w:t>2.5</w:t>
      </w:r>
      <w:r w:rsidRPr="00373DD4">
        <w:rPr>
          <w:rFonts w:eastAsia="MS Mincho" w:cs="Times New Roman"/>
          <w:b/>
        </w:rPr>
        <w:t xml:space="preserve"> k r. 2020 dle revize Göteborského protokolu. </w:t>
      </w:r>
    </w:p>
    <w:p w:rsidR="00B17192" w:rsidRPr="00373DD4" w:rsidRDefault="00B17192" w:rsidP="00B17192">
      <w:pPr>
        <w:rPr>
          <w:rFonts w:eastAsia="Times New Roman" w:cs="Times New Roman"/>
          <w:b/>
        </w:rPr>
      </w:pPr>
      <w:r w:rsidRPr="00373DD4">
        <w:rPr>
          <w:rFonts w:eastAsia="Calibri" w:cs="Times New Roman"/>
        </w:rPr>
        <w:t xml:space="preserve">Na národní úrovni je PO 2 formulována v souladu se </w:t>
      </w:r>
      <w:r w:rsidRPr="00373DD4">
        <w:rPr>
          <w:rFonts w:eastAsia="Calibri" w:cs="Times New Roman"/>
          <w:b/>
        </w:rPr>
        <w:t xml:space="preserve">Státní politikou životního prostředí ČR </w:t>
      </w:r>
      <w:r w:rsidRPr="00373DD4">
        <w:rPr>
          <w:rFonts w:eastAsia="Times New Roman" w:cs="Times New Roman"/>
          <w:b/>
        </w:rPr>
        <w:t>2012</w:t>
      </w:r>
      <w:r>
        <w:rPr>
          <w:rFonts w:eastAsia="Times New Roman" w:cs="Times New Roman"/>
          <w:b/>
        </w:rPr>
        <w:noBreakHyphen/>
      </w:r>
      <w:r w:rsidRPr="00373DD4">
        <w:rPr>
          <w:rFonts w:eastAsia="Times New Roman" w:cs="Times New Roman"/>
          <w:b/>
        </w:rPr>
        <w:t>2020, schválenou vládou ČR dne 9. 1. 2013, která</w:t>
      </w:r>
      <w:r w:rsidRPr="00373DD4">
        <w:rPr>
          <w:rFonts w:eastAsia="Times New Roman" w:cs="Times New Roman"/>
        </w:rPr>
        <w:t xml:space="preserve"> stanovuje pro oblast ochrany ovzduší následující </w:t>
      </w:r>
      <w:r w:rsidRPr="00373DD4">
        <w:rPr>
          <w:rFonts w:eastAsia="Times New Roman" w:cs="Times New Roman"/>
          <w:b/>
        </w:rPr>
        <w:t>cíle:</w:t>
      </w:r>
    </w:p>
    <w:p w:rsidR="00B17192" w:rsidRPr="00373DD4" w:rsidRDefault="00B17192" w:rsidP="00B17192">
      <w:pPr>
        <w:numPr>
          <w:ilvl w:val="0"/>
          <w:numId w:val="79"/>
        </w:numPr>
        <w:contextualSpacing/>
        <w:rPr>
          <w:rFonts w:eastAsia="Times New Roman" w:cs="Times New Roman"/>
        </w:rPr>
      </w:pPr>
      <w:r>
        <w:rPr>
          <w:rFonts w:eastAsia="Times New Roman" w:cs="Times New Roman"/>
        </w:rPr>
        <w:t>z</w:t>
      </w:r>
      <w:r w:rsidRPr="00373DD4">
        <w:rPr>
          <w:rFonts w:eastAsia="Times New Roman" w:cs="Times New Roman"/>
        </w:rPr>
        <w:t>lepšení kvality ovzduší v místech, kde jsou překračovány imisní limity, a zároveň udržení kvality v územích, kde imisní limity nejsou překračovány</w:t>
      </w:r>
      <w:r>
        <w:rPr>
          <w:rFonts w:eastAsia="Times New Roman" w:cs="Times New Roman"/>
        </w:rPr>
        <w:t>,</w:t>
      </w:r>
    </w:p>
    <w:p w:rsidR="00B17192" w:rsidRPr="00373DD4" w:rsidRDefault="00B17192" w:rsidP="00B17192">
      <w:pPr>
        <w:numPr>
          <w:ilvl w:val="0"/>
          <w:numId w:val="79"/>
        </w:numPr>
        <w:contextualSpacing/>
        <w:rPr>
          <w:rFonts w:eastAsia="Times New Roman" w:cs="Times New Roman"/>
        </w:rPr>
      </w:pPr>
      <w:r>
        <w:rPr>
          <w:rFonts w:eastAsia="Times New Roman" w:cs="Times New Roman"/>
        </w:rPr>
        <w:t>p</w:t>
      </w:r>
      <w:r w:rsidRPr="00373DD4">
        <w:rPr>
          <w:rFonts w:eastAsia="Times New Roman" w:cs="Times New Roman"/>
        </w:rPr>
        <w:t>lnění národních emisních stropů platných od r</w:t>
      </w:r>
      <w:r>
        <w:rPr>
          <w:rFonts w:eastAsia="Times New Roman" w:cs="Times New Roman"/>
        </w:rPr>
        <w:t xml:space="preserve">. </w:t>
      </w:r>
      <w:r w:rsidRPr="00373DD4">
        <w:rPr>
          <w:rFonts w:eastAsia="Times New Roman" w:cs="Times New Roman"/>
        </w:rPr>
        <w:t>2010 a snížení celkové emise SO</w:t>
      </w:r>
      <w:r w:rsidRPr="00373DD4">
        <w:rPr>
          <w:rFonts w:eastAsia="Times New Roman" w:cs="Times New Roman"/>
          <w:vertAlign w:val="subscript"/>
        </w:rPr>
        <w:t>2</w:t>
      </w:r>
      <w:r w:rsidRPr="00373DD4">
        <w:rPr>
          <w:rFonts w:eastAsia="Times New Roman" w:cs="Times New Roman"/>
        </w:rPr>
        <w:t>, NO</w:t>
      </w:r>
      <w:r w:rsidRPr="00373DD4">
        <w:rPr>
          <w:rFonts w:eastAsia="Times New Roman" w:cs="Times New Roman"/>
          <w:vertAlign w:val="subscript"/>
        </w:rPr>
        <w:t>X</w:t>
      </w:r>
      <w:r w:rsidRPr="00373DD4">
        <w:rPr>
          <w:rFonts w:eastAsia="Times New Roman" w:cs="Times New Roman"/>
        </w:rPr>
        <w:t>, VOC, NH</w:t>
      </w:r>
      <w:r w:rsidRPr="00373DD4">
        <w:rPr>
          <w:rFonts w:eastAsia="Times New Roman" w:cs="Times New Roman"/>
          <w:vertAlign w:val="subscript"/>
        </w:rPr>
        <w:t>3</w:t>
      </w:r>
      <w:r w:rsidRPr="00373DD4">
        <w:rPr>
          <w:rFonts w:eastAsia="Times New Roman" w:cs="Times New Roman"/>
        </w:rPr>
        <w:t xml:space="preserve"> a částic PM</w:t>
      </w:r>
      <w:r w:rsidRPr="00373DD4">
        <w:rPr>
          <w:rFonts w:eastAsia="Times New Roman" w:cs="Times New Roman"/>
          <w:vertAlign w:val="subscript"/>
        </w:rPr>
        <w:t>2.5</w:t>
      </w:r>
      <w:r w:rsidRPr="00373DD4">
        <w:rPr>
          <w:rFonts w:eastAsia="Times New Roman" w:cs="Times New Roman"/>
        </w:rPr>
        <w:t xml:space="preserve"> do r.</w:t>
      </w:r>
      <w:r w:rsidR="006E59AA">
        <w:rPr>
          <w:rFonts w:eastAsia="Times New Roman" w:cs="Times New Roman"/>
        </w:rPr>
        <w:t xml:space="preserve"> </w:t>
      </w:r>
      <w:r w:rsidRPr="00373DD4">
        <w:rPr>
          <w:rFonts w:eastAsia="Times New Roman" w:cs="Times New Roman"/>
        </w:rPr>
        <w:t>2020 ve shodě se závazky ČR</w:t>
      </w:r>
      <w:r>
        <w:rPr>
          <w:rFonts w:eastAsia="Times New Roman" w:cs="Times New Roman"/>
        </w:rPr>
        <w:t>,</w:t>
      </w:r>
    </w:p>
    <w:p w:rsidR="00B17192" w:rsidRPr="00373DD4" w:rsidRDefault="00B17192" w:rsidP="00B17192">
      <w:pPr>
        <w:numPr>
          <w:ilvl w:val="0"/>
          <w:numId w:val="79"/>
        </w:numPr>
        <w:contextualSpacing/>
        <w:rPr>
          <w:rFonts w:eastAsia="Times New Roman" w:cs="Times New Roman"/>
        </w:rPr>
      </w:pPr>
      <w:r>
        <w:rPr>
          <w:rFonts w:eastAsia="Times New Roman" w:cs="Times New Roman"/>
        </w:rPr>
        <w:t>u</w:t>
      </w:r>
      <w:r w:rsidRPr="00373DD4">
        <w:rPr>
          <w:rFonts w:eastAsia="Times New Roman" w:cs="Times New Roman"/>
        </w:rPr>
        <w:t xml:space="preserve">držení emisí těžkých kovů a </w:t>
      </w:r>
      <w:r>
        <w:rPr>
          <w:rFonts w:eastAsia="Times New Roman" w:cs="Times New Roman"/>
        </w:rPr>
        <w:t>POP</w:t>
      </w:r>
      <w:r w:rsidRPr="00373DD4">
        <w:rPr>
          <w:rFonts w:eastAsia="Times New Roman" w:cs="Times New Roman"/>
        </w:rPr>
        <w:t xml:space="preserve"> pod úrovní r</w:t>
      </w:r>
      <w:r>
        <w:rPr>
          <w:rFonts w:eastAsia="Times New Roman" w:cs="Times New Roman"/>
        </w:rPr>
        <w:t>.</w:t>
      </w:r>
      <w:r w:rsidRPr="00373DD4">
        <w:rPr>
          <w:rFonts w:eastAsia="Times New Roman" w:cs="Times New Roman"/>
        </w:rPr>
        <w:t xml:space="preserve"> 1990 a dále je snižovat</w:t>
      </w:r>
      <w:r>
        <w:rPr>
          <w:rFonts w:eastAsia="Times New Roman" w:cs="Times New Roman"/>
        </w:rPr>
        <w:t>,</w:t>
      </w:r>
    </w:p>
    <w:p w:rsidR="00B17192" w:rsidRPr="00373DD4" w:rsidRDefault="00B17192" w:rsidP="00B17192">
      <w:pPr>
        <w:numPr>
          <w:ilvl w:val="0"/>
          <w:numId w:val="79"/>
        </w:numPr>
        <w:contextualSpacing/>
        <w:rPr>
          <w:rFonts w:eastAsia="Times New Roman" w:cs="Times New Roman"/>
        </w:rPr>
      </w:pPr>
      <w:r>
        <w:rPr>
          <w:rFonts w:eastAsia="Times New Roman" w:cs="Times New Roman"/>
        </w:rPr>
        <w:t>z</w:t>
      </w:r>
      <w:r w:rsidRPr="00373DD4">
        <w:rPr>
          <w:rFonts w:eastAsia="Times New Roman" w:cs="Times New Roman"/>
        </w:rPr>
        <w:t>ajištění 10% podílu energie z obnovitelných zdrojů v dopravě k</w:t>
      </w:r>
      <w:r>
        <w:rPr>
          <w:rFonts w:eastAsia="Times New Roman" w:cs="Times New Roman"/>
        </w:rPr>
        <w:t> </w:t>
      </w:r>
      <w:r w:rsidRPr="00373DD4">
        <w:rPr>
          <w:rFonts w:eastAsia="Times New Roman" w:cs="Times New Roman"/>
        </w:rPr>
        <w:t>r.</w:t>
      </w:r>
      <w:r>
        <w:rPr>
          <w:rFonts w:eastAsia="Times New Roman" w:cs="Times New Roman"/>
        </w:rPr>
        <w:t> </w:t>
      </w:r>
      <w:r w:rsidRPr="00373DD4">
        <w:rPr>
          <w:rFonts w:eastAsia="Times New Roman" w:cs="Times New Roman"/>
        </w:rPr>
        <w:t>2020 při  současném snížení emisí NO</w:t>
      </w:r>
      <w:r w:rsidRPr="00373DD4">
        <w:rPr>
          <w:rFonts w:eastAsia="Times New Roman" w:cs="Times New Roman"/>
          <w:vertAlign w:val="subscript"/>
        </w:rPr>
        <w:t>X</w:t>
      </w:r>
      <w:r w:rsidRPr="00373DD4">
        <w:rPr>
          <w:rFonts w:eastAsia="Times New Roman" w:cs="Times New Roman"/>
        </w:rPr>
        <w:t>, VOC a PM</w:t>
      </w:r>
      <w:r w:rsidRPr="00373DD4">
        <w:rPr>
          <w:rFonts w:eastAsia="Times New Roman" w:cs="Times New Roman"/>
          <w:vertAlign w:val="subscript"/>
        </w:rPr>
        <w:t>2.5</w:t>
      </w:r>
      <w:r w:rsidRPr="00373DD4">
        <w:rPr>
          <w:rFonts w:eastAsia="Times New Roman" w:cs="Times New Roman"/>
        </w:rPr>
        <w:t xml:space="preserve"> z</w:t>
      </w:r>
      <w:r>
        <w:rPr>
          <w:rFonts w:eastAsia="Times New Roman" w:cs="Times New Roman"/>
        </w:rPr>
        <w:t> </w:t>
      </w:r>
      <w:r w:rsidRPr="00373DD4">
        <w:rPr>
          <w:rFonts w:eastAsia="Times New Roman" w:cs="Times New Roman"/>
        </w:rPr>
        <w:t>dopravy</w:t>
      </w:r>
      <w:r>
        <w:rPr>
          <w:rFonts w:eastAsia="Times New Roman" w:cs="Times New Roman"/>
        </w:rPr>
        <w:t>,</w:t>
      </w:r>
    </w:p>
    <w:p w:rsidR="00B17192" w:rsidRDefault="00B17192" w:rsidP="00B17192">
      <w:pPr>
        <w:numPr>
          <w:ilvl w:val="0"/>
          <w:numId w:val="79"/>
        </w:numPr>
        <w:contextualSpacing/>
        <w:rPr>
          <w:rFonts w:eastAsia="Times New Roman" w:cs="Times New Roman"/>
        </w:rPr>
      </w:pPr>
      <w:r>
        <w:rPr>
          <w:rFonts w:eastAsia="Times New Roman" w:cs="Times New Roman"/>
        </w:rPr>
        <w:t>z</w:t>
      </w:r>
      <w:r w:rsidRPr="00373DD4">
        <w:rPr>
          <w:rFonts w:eastAsia="Times New Roman" w:cs="Times New Roman"/>
        </w:rPr>
        <w:t>ajištění závazku zvýšení energetické účinnosti do r. 2020.</w:t>
      </w:r>
    </w:p>
    <w:p w:rsidR="00B17192" w:rsidRPr="00373DD4" w:rsidRDefault="00B17192" w:rsidP="00B17192">
      <w:pPr>
        <w:ind w:left="720"/>
        <w:contextualSpacing/>
        <w:rPr>
          <w:rFonts w:eastAsia="Times New Roman" w:cs="Times New Roman"/>
        </w:rPr>
      </w:pPr>
    </w:p>
    <w:p w:rsidR="00B17192" w:rsidRDefault="00B17192" w:rsidP="00B17192">
      <w:pPr>
        <w:rPr>
          <w:rFonts w:eastAsia="Times New Roman" w:cs="Times New Roman"/>
        </w:rPr>
      </w:pPr>
      <w:r w:rsidRPr="00373DD4">
        <w:rPr>
          <w:rFonts w:eastAsia="Times New Roman" w:cs="Times New Roman"/>
        </w:rPr>
        <w:t>Pro každý z cílů jsou navržena konkrétní opatření včetně termínu realizace, odpovědnosti orgánů státní správy (zejména relevantních ministerstev) za implementaci a indikátorů.</w:t>
      </w:r>
    </w:p>
    <w:p w:rsidR="00B17192" w:rsidRPr="00373DD4" w:rsidRDefault="00B17192" w:rsidP="00B17192">
      <w:pPr>
        <w:rPr>
          <w:rFonts w:eastAsia="Times New Roman"/>
        </w:rPr>
      </w:pPr>
      <w:r>
        <w:rPr>
          <w:rFonts w:eastAsia="Times New Roman"/>
        </w:rPr>
        <w:t>Prioritní důraz je kladen na specifický cíl 1. Lokální topeniště jsou zdrojem přibližně 36 % veškerých emisí PM</w:t>
      </w:r>
      <w:r w:rsidRPr="00753821">
        <w:rPr>
          <w:rFonts w:eastAsia="Times New Roman"/>
          <w:vertAlign w:val="subscript"/>
        </w:rPr>
        <w:t>10</w:t>
      </w:r>
      <w:r>
        <w:rPr>
          <w:rFonts w:eastAsia="Times New Roman"/>
        </w:rPr>
        <w:t xml:space="preserve"> (2011) a více než 78 % </w:t>
      </w:r>
      <w:proofErr w:type="spellStart"/>
      <w:r>
        <w:rPr>
          <w:rFonts w:eastAsia="Times New Roman"/>
        </w:rPr>
        <w:t>BaP</w:t>
      </w:r>
      <w:proofErr w:type="spellEnd"/>
      <w:r>
        <w:rPr>
          <w:rFonts w:eastAsia="Times New Roman"/>
        </w:rPr>
        <w:t xml:space="preserve"> (2011). Plánovanou intervencí OPŽP bude dosaženo snížení celkových emisí PM</w:t>
      </w:r>
      <w:r w:rsidRPr="0025536F">
        <w:rPr>
          <w:rFonts w:eastAsia="Times New Roman"/>
          <w:vertAlign w:val="subscript"/>
        </w:rPr>
        <w:t>10</w:t>
      </w:r>
      <w:r>
        <w:rPr>
          <w:rFonts w:eastAsia="Times New Roman"/>
          <w:vertAlign w:val="subscript"/>
        </w:rPr>
        <w:t xml:space="preserve"> </w:t>
      </w:r>
      <w:r>
        <w:rPr>
          <w:rFonts w:eastAsia="Times New Roman"/>
        </w:rPr>
        <w:t xml:space="preserve">o cca 7 % a cca 13 % celkových emisí </w:t>
      </w:r>
      <w:proofErr w:type="spellStart"/>
      <w:r>
        <w:rPr>
          <w:rFonts w:eastAsia="Times New Roman"/>
        </w:rPr>
        <w:t>BaP</w:t>
      </w:r>
      <w:proofErr w:type="spellEnd"/>
      <w:r>
        <w:rPr>
          <w:rFonts w:eastAsia="Times New Roman"/>
        </w:rPr>
        <w:t>, a to v tzv. respirační zóně, která je z pohledu účinků znečištění ovzduší na lidské zdraví nejzásadnější.</w:t>
      </w:r>
    </w:p>
    <w:p w:rsidR="00B17192" w:rsidRPr="00373DD4" w:rsidRDefault="00B17192" w:rsidP="00B17192">
      <w:pPr>
        <w:rPr>
          <w:rFonts w:eastAsia="Times New Roman" w:cs="Times New Roman"/>
        </w:rPr>
      </w:pPr>
      <w:r w:rsidRPr="00373DD4">
        <w:rPr>
          <w:rFonts w:eastAsia="Times New Roman" w:cs="Times New Roman"/>
        </w:rPr>
        <w:t xml:space="preserve">Strategické zacílení PO 2 je dále upřesněno </w:t>
      </w:r>
      <w:r w:rsidRPr="00373DD4">
        <w:rPr>
          <w:rFonts w:eastAsia="Times New Roman" w:cs="Times New Roman"/>
          <w:b/>
        </w:rPr>
        <w:t>Střednědobou strategií (do roku 2020) zlepšení kvality ovzduší v ČR</w:t>
      </w:r>
      <w:r w:rsidRPr="00373DD4">
        <w:rPr>
          <w:rFonts w:eastAsia="Times New Roman" w:cs="Times New Roman"/>
          <w:b/>
          <w:i/>
          <w:sz w:val="24"/>
          <w:szCs w:val="24"/>
        </w:rPr>
        <w:t xml:space="preserve">, </w:t>
      </w:r>
      <w:r w:rsidRPr="00373DD4">
        <w:rPr>
          <w:rFonts w:eastAsia="Times New Roman" w:cs="Times New Roman"/>
        </w:rPr>
        <w:t xml:space="preserve">rámcovým strategickým dokumentem k řízení kvality ovzduší v ČR, který zastřešuje Národním program snižování emisí ČR a programy zlepšování kvality ovzduší pro zóny a aglomerace. </w:t>
      </w:r>
    </w:p>
    <w:p w:rsidR="00B17192" w:rsidRPr="00373DD4" w:rsidRDefault="00B17192" w:rsidP="00B17192">
      <w:pPr>
        <w:autoSpaceDE w:val="0"/>
        <w:autoSpaceDN w:val="0"/>
        <w:adjustRightInd w:val="0"/>
        <w:rPr>
          <w:rFonts w:eastAsia="Times New Roman" w:cs="Times New Roman"/>
        </w:rPr>
      </w:pPr>
      <w:r w:rsidRPr="00373DD4">
        <w:rPr>
          <w:rFonts w:eastAsia="Times New Roman" w:cs="Times New Roman"/>
          <w:b/>
        </w:rPr>
        <w:t>Národní program snižování emisí</w:t>
      </w:r>
      <w:r w:rsidRPr="00373DD4">
        <w:rPr>
          <w:rFonts w:eastAsia="Times New Roman" w:cs="Times New Roman"/>
        </w:rPr>
        <w:t>, jehož příprava je uložena zákonem o ochraně ovzduší a vyplývá rovněž z legislativy EU, analyzuje stav ovzduší, příčiny znečištění, podíly jednotlivých sektorů ekonomiky na znečišťování a dodržování závazků ČR. Program obsahuje opatření k plnění imisních limitů na celém území ČR a k plnění národních závazků snížení emisí k roku 2020 a stanovuje prioritní znečišťující látky (primární částice PM</w:t>
      </w:r>
      <w:r w:rsidRPr="00373DD4">
        <w:rPr>
          <w:rFonts w:eastAsia="Times New Roman" w:cs="Times New Roman"/>
          <w:vertAlign w:val="subscript"/>
        </w:rPr>
        <w:t>10</w:t>
      </w:r>
      <w:r w:rsidRPr="00373DD4">
        <w:rPr>
          <w:rFonts w:eastAsia="Times New Roman" w:cs="Times New Roman"/>
        </w:rPr>
        <w:t xml:space="preserve"> a PM</w:t>
      </w:r>
      <w:r w:rsidRPr="00373DD4">
        <w:rPr>
          <w:rFonts w:eastAsia="Times New Roman" w:cs="Times New Roman"/>
          <w:vertAlign w:val="subscript"/>
        </w:rPr>
        <w:t>2.5</w:t>
      </w:r>
      <w:r w:rsidRPr="00373DD4">
        <w:rPr>
          <w:rFonts w:eastAsia="Times New Roman" w:cs="Times New Roman"/>
        </w:rPr>
        <w:t xml:space="preserve">, </w:t>
      </w:r>
      <w:proofErr w:type="spellStart"/>
      <w:r w:rsidRPr="00373DD4">
        <w:rPr>
          <w:rFonts w:eastAsia="Times New Roman" w:cs="Times New Roman"/>
        </w:rPr>
        <w:t>BaP</w:t>
      </w:r>
      <w:proofErr w:type="spellEnd"/>
      <w:r w:rsidRPr="00373DD4">
        <w:rPr>
          <w:rFonts w:eastAsia="Times New Roman" w:cs="Times New Roman"/>
        </w:rPr>
        <w:t xml:space="preserve"> a prekurzory sekundárních částic), prioritní zdroje znečišťování (lokální topeniště, silniční doprava</w:t>
      </w:r>
      <w:r>
        <w:rPr>
          <w:rFonts w:eastAsia="Times New Roman" w:cs="Times New Roman"/>
        </w:rPr>
        <w:t>) a </w:t>
      </w:r>
      <w:r w:rsidRPr="00373DD4">
        <w:rPr>
          <w:rFonts w:eastAsia="Times New Roman" w:cs="Times New Roman"/>
        </w:rPr>
        <w:t xml:space="preserve">prioritní lokality (aglomerace Ostrava/Karviná/Frýdek-Místek, Praha a Brno, Kladensko a část Ústeckého kraje). Program obsahuje opatření ke snižování emisí na národní úrovni, která jsou ukládána napříč jednotlivými odvětvími hospodářství, a opatření podpůrná. Program </w:t>
      </w:r>
      <w:r w:rsidRPr="00373DD4">
        <w:rPr>
          <w:rFonts w:eastAsia="Times New Roman" w:cs="Times New Roman"/>
        </w:rPr>
        <w:lastRenderedPageBreak/>
        <w:t xml:space="preserve">zpracovaný ve spolupráci s příslušnými ústředními správními úřady je schvalován vládou formou usnesení, které závazně ukládá úkoly vyplývající z programu relevantním resortům. </w:t>
      </w:r>
    </w:p>
    <w:p w:rsidR="00B17192" w:rsidRPr="00373DD4" w:rsidRDefault="00B17192" w:rsidP="00B17192">
      <w:pPr>
        <w:autoSpaceDE w:val="0"/>
        <w:autoSpaceDN w:val="0"/>
        <w:adjustRightInd w:val="0"/>
        <w:rPr>
          <w:rFonts w:eastAsia="Times New Roman" w:cs="Times New Roman"/>
        </w:rPr>
      </w:pPr>
      <w:r w:rsidRPr="00373DD4">
        <w:rPr>
          <w:rFonts w:eastAsia="Times New Roman" w:cs="Times New Roman"/>
          <w:b/>
        </w:rPr>
        <w:t>Programy zlepšování kvality ovzduší</w:t>
      </w:r>
      <w:r w:rsidRPr="00373DD4">
        <w:rPr>
          <w:rFonts w:eastAsia="Times New Roman" w:cs="Times New Roman"/>
        </w:rPr>
        <w:t>, připravované pro zóny a aglomerace, kde došlo k překročení některého z imisních limitů, analyzují kvalitu ovzduší, identifikují významné zdroje znečišťování ovzduší a navrhují konkrétní opatření. Programy jsou vydávány ministerstvem životního prostředí formou opatření obecné povahy v režimu správního řádu a mají tedy obecnou platnost a jsou závazné pro rozhodování regionálních a lokálních orgánů.</w:t>
      </w:r>
    </w:p>
    <w:p w:rsidR="00B17192" w:rsidRPr="00373DD4" w:rsidRDefault="00B17192" w:rsidP="00B17192">
      <w:pPr>
        <w:autoSpaceDE w:val="0"/>
        <w:autoSpaceDN w:val="0"/>
        <w:adjustRightInd w:val="0"/>
        <w:rPr>
          <w:rFonts w:eastAsia="Times New Roman" w:cs="Times New Roman"/>
        </w:rPr>
      </w:pPr>
      <w:r w:rsidRPr="00373DD4">
        <w:rPr>
          <w:rFonts w:eastAsia="Times New Roman" w:cs="Times New Roman"/>
          <w:b/>
        </w:rPr>
        <w:t>Střednědobá strategie</w:t>
      </w:r>
      <w:r w:rsidRPr="00373DD4">
        <w:rPr>
          <w:rFonts w:eastAsia="Times New Roman" w:cs="Times New Roman"/>
        </w:rPr>
        <w:t xml:space="preserve"> je zastřešující dokument, propojující uvedené programy </w:t>
      </w:r>
      <w:r w:rsidRPr="00373DD4">
        <w:rPr>
          <w:rFonts w:eastAsia="Times New Roman" w:cs="Times New Roman"/>
        </w:rPr>
        <w:br/>
        <w:t>do koncepčního celku. Cíle Strategie zahrnují především dodržení národních závazků snížení emisí pro SO</w:t>
      </w:r>
      <w:r w:rsidRPr="00373DD4">
        <w:rPr>
          <w:rFonts w:eastAsia="Times New Roman" w:cs="Times New Roman"/>
          <w:vertAlign w:val="subscript"/>
        </w:rPr>
        <w:t>2</w:t>
      </w:r>
      <w:r w:rsidRPr="00373DD4">
        <w:rPr>
          <w:rFonts w:eastAsia="Times New Roman" w:cs="Times New Roman"/>
        </w:rPr>
        <w:t xml:space="preserve">, </w:t>
      </w:r>
      <w:proofErr w:type="spellStart"/>
      <w:r w:rsidRPr="00373DD4">
        <w:rPr>
          <w:rFonts w:eastAsia="Times New Roman" w:cs="Times New Roman"/>
        </w:rPr>
        <w:t>NO</w:t>
      </w:r>
      <w:r w:rsidRPr="00373DD4">
        <w:rPr>
          <w:rFonts w:eastAsia="Times New Roman" w:cs="Times New Roman"/>
          <w:vertAlign w:val="subscript"/>
        </w:rPr>
        <w:t>x</w:t>
      </w:r>
      <w:proofErr w:type="spellEnd"/>
      <w:r w:rsidRPr="00373DD4">
        <w:rPr>
          <w:rFonts w:eastAsia="Times New Roman" w:cs="Times New Roman"/>
        </w:rPr>
        <w:t>, VOC, NH</w:t>
      </w:r>
      <w:r w:rsidRPr="00373DD4">
        <w:rPr>
          <w:rFonts w:eastAsia="Times New Roman" w:cs="Times New Roman"/>
          <w:vertAlign w:val="subscript"/>
        </w:rPr>
        <w:t>3</w:t>
      </w:r>
      <w:r w:rsidRPr="00373DD4">
        <w:rPr>
          <w:rFonts w:eastAsia="Times New Roman" w:cs="Times New Roman"/>
        </w:rPr>
        <w:t xml:space="preserve"> a PM</w:t>
      </w:r>
      <w:r w:rsidRPr="00373DD4">
        <w:rPr>
          <w:rFonts w:eastAsia="Times New Roman" w:cs="Times New Roman"/>
          <w:vertAlign w:val="subscript"/>
        </w:rPr>
        <w:t>2.5</w:t>
      </w:r>
      <w:r w:rsidRPr="00373DD4">
        <w:rPr>
          <w:rFonts w:eastAsia="Times New Roman" w:cs="Times New Roman"/>
        </w:rPr>
        <w:t xml:space="preserve"> k r. 2020 a zásadní snížení podílu obyvatel exponovaných nadlimitními koncentracemi znečišťujících látek (zejména suspendované částice PM</w:t>
      </w:r>
      <w:r w:rsidRPr="00373DD4">
        <w:rPr>
          <w:rFonts w:eastAsia="Times New Roman" w:cs="Times New Roman"/>
          <w:vertAlign w:val="subscript"/>
        </w:rPr>
        <w:t>10</w:t>
      </w:r>
      <w:r w:rsidRPr="00373DD4">
        <w:rPr>
          <w:rFonts w:eastAsia="Times New Roman" w:cs="Times New Roman"/>
        </w:rPr>
        <w:t xml:space="preserve"> a PM</w:t>
      </w:r>
      <w:r w:rsidRPr="00373DD4">
        <w:rPr>
          <w:rFonts w:eastAsia="Times New Roman" w:cs="Times New Roman"/>
          <w:vertAlign w:val="subscript"/>
        </w:rPr>
        <w:t>2,5</w:t>
      </w:r>
      <w:r w:rsidRPr="00373DD4">
        <w:rPr>
          <w:rFonts w:eastAsia="Times New Roman" w:cs="Times New Roman"/>
        </w:rPr>
        <w:t xml:space="preserve"> a </w:t>
      </w:r>
      <w:proofErr w:type="spellStart"/>
      <w:r w:rsidRPr="00373DD4">
        <w:rPr>
          <w:rFonts w:eastAsia="Times New Roman" w:cs="Times New Roman"/>
        </w:rPr>
        <w:t>BaP</w:t>
      </w:r>
      <w:proofErr w:type="spellEnd"/>
      <w:r w:rsidRPr="00373DD4">
        <w:rPr>
          <w:rFonts w:eastAsia="Times New Roman" w:cs="Times New Roman"/>
        </w:rPr>
        <w:t>. Důraz je rovněž kladen na synergie s ochranou klimatu. Nedílnou součástí Strategie jsou scénáře s opatřeními (WM) a s dodatečnými opatřeními (</w:t>
      </w:r>
      <w:proofErr w:type="spellStart"/>
      <w:r w:rsidRPr="00373DD4">
        <w:rPr>
          <w:rFonts w:eastAsia="Times New Roman" w:cs="Times New Roman"/>
        </w:rPr>
        <w:t>WaM</w:t>
      </w:r>
      <w:proofErr w:type="spellEnd"/>
      <w:r w:rsidRPr="00373DD4">
        <w:rPr>
          <w:rFonts w:eastAsia="Times New Roman" w:cs="Times New Roman"/>
        </w:rPr>
        <w:t>) v horizontu r. 2020 a s výhledem do r. 2030 a jejich ekonomické vyhodnocení. Strategie bude předložen</w:t>
      </w:r>
      <w:r>
        <w:rPr>
          <w:rFonts w:eastAsia="Times New Roman" w:cs="Times New Roman"/>
        </w:rPr>
        <w:t>a ke schválení vládě do </w:t>
      </w:r>
      <w:r w:rsidRPr="00373DD4">
        <w:rPr>
          <w:rFonts w:eastAsia="Times New Roman" w:cs="Times New Roman"/>
        </w:rPr>
        <w:t>konce r. 2014.</w:t>
      </w:r>
    </w:p>
    <w:p w:rsidR="00B17192" w:rsidRPr="00373DD4" w:rsidRDefault="00B17192" w:rsidP="00B17192">
      <w:pPr>
        <w:rPr>
          <w:rFonts w:eastAsia="Times New Roman" w:cs="Times New Roman"/>
          <w:b/>
        </w:rPr>
      </w:pPr>
      <w:r w:rsidRPr="00373DD4">
        <w:rPr>
          <w:rFonts w:eastAsia="Times New Roman" w:cs="Times New Roman"/>
          <w:b/>
        </w:rPr>
        <w:t>Příspěvek k řešení v rámci OP ŽP 2014-2020</w:t>
      </w:r>
    </w:p>
    <w:p w:rsidR="00B17192" w:rsidRPr="00373DD4" w:rsidRDefault="00B17192" w:rsidP="00B17192">
      <w:pPr>
        <w:rPr>
          <w:rFonts w:eastAsia="Times New Roman" w:cs="Times New Roman"/>
        </w:rPr>
      </w:pPr>
      <w:r w:rsidRPr="00373DD4">
        <w:rPr>
          <w:rFonts w:eastAsia="Times New Roman" w:cs="Times New Roman"/>
        </w:rPr>
        <w:t xml:space="preserve">V zájmu příspěvku OP ŽP 2014-2020 k řešení výše specifikovaných problémů jsou v rámci PO 2 navrženy následující </w:t>
      </w:r>
      <w:r w:rsidRPr="00373DD4">
        <w:rPr>
          <w:rFonts w:eastAsia="Times New Roman" w:cs="Times New Roman"/>
          <w:b/>
        </w:rPr>
        <w:t>specifické cíle</w:t>
      </w:r>
      <w:r w:rsidRPr="00373DD4">
        <w:rPr>
          <w:rFonts w:eastAsia="Times New Roman" w:cs="Times New Roman"/>
        </w:rPr>
        <w:t xml:space="preserve"> (SC):</w:t>
      </w:r>
    </w:p>
    <w:p w:rsidR="00B17192" w:rsidRPr="00373DD4" w:rsidRDefault="00B17192" w:rsidP="00B17192">
      <w:pPr>
        <w:numPr>
          <w:ilvl w:val="0"/>
          <w:numId w:val="72"/>
        </w:numPr>
        <w:contextualSpacing/>
        <w:rPr>
          <w:rFonts w:eastAsia="Times New Roman" w:cs="Times New Roman"/>
          <w:b/>
        </w:rPr>
      </w:pPr>
      <w:r w:rsidRPr="00373DD4">
        <w:rPr>
          <w:rFonts w:eastAsia="Times New Roman" w:cs="Times New Roman"/>
        </w:rPr>
        <w:t xml:space="preserve">SC 2.1: </w:t>
      </w:r>
      <w:r w:rsidRPr="00373DD4">
        <w:rPr>
          <w:rFonts w:eastAsia="Times New Roman" w:cs="Times New Roman"/>
          <w:b/>
        </w:rPr>
        <w:t>Snížit emise z lokálního vytápění domácností podílející se na expozici obyvatelstva nadlimitním koncentracím znečišťujících látek,</w:t>
      </w:r>
    </w:p>
    <w:p w:rsidR="00B17192" w:rsidRPr="00373DD4" w:rsidRDefault="00B17192" w:rsidP="00B17192">
      <w:pPr>
        <w:numPr>
          <w:ilvl w:val="0"/>
          <w:numId w:val="72"/>
        </w:numPr>
        <w:contextualSpacing/>
        <w:rPr>
          <w:rFonts w:eastAsia="Times New Roman" w:cs="Times New Roman"/>
          <w:b/>
        </w:rPr>
      </w:pPr>
      <w:r w:rsidRPr="00373DD4">
        <w:rPr>
          <w:rFonts w:eastAsia="Times New Roman" w:cs="Times New Roman"/>
        </w:rPr>
        <w:t xml:space="preserve">SC 2.2: </w:t>
      </w:r>
      <w:r w:rsidRPr="00373DD4">
        <w:rPr>
          <w:rFonts w:eastAsia="Times New Roman" w:cs="Times New Roman"/>
          <w:b/>
        </w:rPr>
        <w:t>Snížit emise stacionárních zdrojů podílejících se na expozici obyvatelstva nadlimitním koncentracím znečišťujících látek,</w:t>
      </w:r>
    </w:p>
    <w:p w:rsidR="00B17192" w:rsidRDefault="00B17192" w:rsidP="00B17192">
      <w:pPr>
        <w:numPr>
          <w:ilvl w:val="0"/>
          <w:numId w:val="72"/>
        </w:numPr>
        <w:contextualSpacing/>
        <w:rPr>
          <w:rFonts w:eastAsia="Times New Roman" w:cs="Times New Roman"/>
        </w:rPr>
      </w:pPr>
      <w:r w:rsidRPr="00373DD4">
        <w:rPr>
          <w:rFonts w:eastAsia="Times New Roman" w:cs="Times New Roman"/>
        </w:rPr>
        <w:t xml:space="preserve">SC 2.3: </w:t>
      </w:r>
      <w:r w:rsidRPr="00373DD4">
        <w:rPr>
          <w:rFonts w:eastAsia="Times New Roman" w:cs="Times New Roman"/>
          <w:b/>
        </w:rPr>
        <w:t>Zlepšit systém sledování, hodnocení a předpovídání vývoje kvality ovzduší, počasí a klimatu a ozónové vrstvy Země.</w:t>
      </w:r>
      <w:r w:rsidRPr="00373DD4">
        <w:rPr>
          <w:rFonts w:eastAsia="Times New Roman" w:cs="Times New Roman"/>
        </w:rPr>
        <w:t xml:space="preserve"> </w:t>
      </w:r>
    </w:p>
    <w:p w:rsidR="00B17192" w:rsidRPr="00373DD4" w:rsidRDefault="00B17192" w:rsidP="00B17192">
      <w:pPr>
        <w:ind w:left="720"/>
        <w:contextualSpacing/>
        <w:rPr>
          <w:rFonts w:eastAsia="Times New Roman" w:cs="Times New Roman"/>
        </w:rPr>
      </w:pPr>
    </w:p>
    <w:p w:rsidR="00B17192" w:rsidRPr="00373DD4" w:rsidRDefault="00B17192" w:rsidP="00B17192">
      <w:pPr>
        <w:contextualSpacing/>
        <w:rPr>
          <w:rFonts w:eastAsia="Times New Roman" w:cs="Times New Roman"/>
        </w:rPr>
      </w:pPr>
      <w:r w:rsidRPr="00373DD4">
        <w:rPr>
          <w:rFonts w:eastAsia="Times New Roman" w:cs="Times New Roman"/>
        </w:rPr>
        <w:t>Základní vazby mezi identifikovanými problémy, jejich příčinami a specifickými cíli PO 2 jsou uvedeny v tabulce č. 3 v Příloze 1.</w:t>
      </w:r>
    </w:p>
    <w:p w:rsidR="00B17192" w:rsidRPr="00373DD4" w:rsidRDefault="00B17192" w:rsidP="00B17192">
      <w:pPr>
        <w:contextualSpacing/>
        <w:rPr>
          <w:rFonts w:eastAsia="Times New Roman" w:cs="Times New Roman"/>
        </w:rPr>
      </w:pPr>
    </w:p>
    <w:p w:rsidR="00B17192" w:rsidRPr="00373DD4" w:rsidRDefault="00B17192" w:rsidP="00B17192">
      <w:pPr>
        <w:rPr>
          <w:rFonts w:eastAsia="Times New Roman" w:cs="Times New Roman"/>
        </w:rPr>
      </w:pPr>
      <w:r w:rsidRPr="00373DD4">
        <w:rPr>
          <w:rFonts w:eastAsia="Times New Roman" w:cs="Times New Roman"/>
        </w:rPr>
        <w:t xml:space="preserve">Pro účinné zlepšení kvality ovzduší je nezbytné zohlednit územní aspekt znečištění ovzduší a kromě hlavních identifikovaných sektorů intervenovat lokálně </w:t>
      </w:r>
      <w:r>
        <w:rPr>
          <w:rFonts w:eastAsia="Times New Roman" w:cs="Times New Roman"/>
        </w:rPr>
        <w:t>vhodnými opatřeními na </w:t>
      </w:r>
      <w:r w:rsidRPr="00373DD4">
        <w:rPr>
          <w:rFonts w:eastAsia="Times New Roman" w:cs="Times New Roman"/>
        </w:rPr>
        <w:t xml:space="preserve">místně významných </w:t>
      </w:r>
      <w:r w:rsidRPr="00AD339F">
        <w:t>průmyslových a energetických</w:t>
      </w:r>
      <w:r w:rsidRPr="00373DD4">
        <w:rPr>
          <w:rFonts w:eastAsia="Times New Roman" w:cs="Times New Roman"/>
        </w:rPr>
        <w:t xml:space="preserve"> stacionárních zdrojích znečišťování ovzduší</w:t>
      </w:r>
      <w:r>
        <w:rPr>
          <w:rFonts w:eastAsia="Times New Roman" w:cs="Times New Roman"/>
        </w:rPr>
        <w:t>.</w:t>
      </w:r>
      <w:r w:rsidRPr="00373DD4">
        <w:rPr>
          <w:rFonts w:eastAsia="Times New Roman" w:cs="Times New Roman"/>
        </w:rPr>
        <w:t xml:space="preserve">  </w:t>
      </w:r>
      <w:r w:rsidRPr="00AD339F">
        <w:t>Mezi místně významné stacionární zdroje patří jak průmyslové, tak střední energetické zdroje (do 50 MW), jejichž imisní příspěvek překračuje 10 % příslušného imisního limitu a jsou identifikované v rámci programů zlepšování kvality ovzduší</w:t>
      </w:r>
      <w:r>
        <w:t xml:space="preserve">. </w:t>
      </w:r>
      <w:r w:rsidRPr="00373DD4">
        <w:rPr>
          <w:rFonts w:eastAsia="Times New Roman" w:cs="Times New Roman"/>
        </w:rPr>
        <w:t xml:space="preserve">Opatření mohou zahrnovat rozšíření síťově vázaných forem energie, která nejsou pro distribuční společnosti ekonomicky efektivní, jsou však významná pro zlepšení kvality ovzduší. Důraz je kladen </w:t>
      </w:r>
      <w:r w:rsidRPr="00373DD4">
        <w:rPr>
          <w:rFonts w:eastAsia="Times New Roman" w:cs="Times New Roman"/>
          <w:iCs/>
        </w:rPr>
        <w:t>na aplikaci nejlepších dostupných technik (BAT) a nově vznikajících technik ve všech relevantních případech.</w:t>
      </w:r>
    </w:p>
    <w:p w:rsidR="00B17192" w:rsidRPr="00373DD4" w:rsidRDefault="00B17192" w:rsidP="00B17192">
      <w:pPr>
        <w:rPr>
          <w:rFonts w:eastAsia="Times New Roman" w:cs="Times New Roman"/>
        </w:rPr>
      </w:pPr>
      <w:r w:rsidRPr="00373DD4">
        <w:rPr>
          <w:rFonts w:eastAsia="Times New Roman" w:cs="Times New Roman"/>
        </w:rPr>
        <w:lastRenderedPageBreak/>
        <w:t>Všechna opatření k naplnění specifických cílů budou cílena individuálně v souladu se závěry Střednědobé strategie zlepšení kvality ovzduší</w:t>
      </w:r>
      <w:r>
        <w:rPr>
          <w:rFonts w:eastAsia="Times New Roman" w:cs="Times New Roman"/>
        </w:rPr>
        <w:t xml:space="preserve"> a p</w:t>
      </w:r>
      <w:r w:rsidRPr="00373DD4">
        <w:rPr>
          <w:rFonts w:eastAsia="Times New Roman" w:cs="Times New Roman"/>
        </w:rPr>
        <w:t>rogramy</w:t>
      </w:r>
      <w:r>
        <w:rPr>
          <w:rFonts w:eastAsia="Times New Roman" w:cs="Times New Roman"/>
        </w:rPr>
        <w:t xml:space="preserve"> zlepšování kvality ovzduší pro </w:t>
      </w:r>
      <w:r w:rsidRPr="00373DD4">
        <w:rPr>
          <w:rFonts w:eastAsia="Times New Roman" w:cs="Times New Roman"/>
        </w:rPr>
        <w:t>jednotlivé zóny a aglomerace.</w:t>
      </w:r>
    </w:p>
    <w:p w:rsidR="00B17192" w:rsidRPr="00373DD4" w:rsidRDefault="00B17192" w:rsidP="00B17192">
      <w:pPr>
        <w:rPr>
          <w:rFonts w:eastAsia="Times New Roman" w:cs="Times New Roman"/>
        </w:rPr>
      </w:pPr>
      <w:r w:rsidRPr="00373DD4">
        <w:rPr>
          <w:rFonts w:eastAsia="Times New Roman" w:cs="Times New Roman"/>
        </w:rPr>
        <w:t xml:space="preserve">Opatření ve vztahu k sektoru „Doprava“ nejsou zahrnuta do </w:t>
      </w:r>
      <w:proofErr w:type="gramStart"/>
      <w:r w:rsidRPr="00373DD4">
        <w:rPr>
          <w:rFonts w:eastAsia="Times New Roman" w:cs="Times New Roman"/>
        </w:rPr>
        <w:t>OP</w:t>
      </w:r>
      <w:proofErr w:type="gramEnd"/>
      <w:r w:rsidRPr="00373DD4">
        <w:rPr>
          <w:rFonts w:eastAsia="Times New Roman" w:cs="Times New Roman"/>
        </w:rPr>
        <w:t xml:space="preserve"> ŽP 2014-2020 a jsou součástí Operačního programu Doprava (OPD) a Integrovaného regionálního operačního programu (IROP), jejichž cíle jsou provázány se Střednědobou strategií zlepšení kvality ovzduší. Přínosy relevantních opatření z jiných operačních programů budou hodnoceny za použití indikátoru „Snížení emisí primárních částic a prekurzorů sekundárních částic“ tak, aby byl zřejmý podíl finančních prostředků ESIF na plnění cílů Střednědobé strategie zlepšení kvality ov</w:t>
      </w:r>
      <w:r>
        <w:rPr>
          <w:rFonts w:eastAsia="Times New Roman" w:cs="Times New Roman"/>
        </w:rPr>
        <w:t>zduší v ČR a </w:t>
      </w:r>
      <w:r w:rsidRPr="00373DD4">
        <w:rPr>
          <w:rFonts w:eastAsia="Times New Roman" w:cs="Times New Roman"/>
        </w:rPr>
        <w:t>Státní politiky životního prostředí.</w:t>
      </w:r>
    </w:p>
    <w:p w:rsidR="00B17192" w:rsidRDefault="00B17192" w:rsidP="00B17192">
      <w:pPr>
        <w:rPr>
          <w:rFonts w:eastAsia="Times New Roman" w:cs="Times New Roman"/>
        </w:rPr>
      </w:pPr>
      <w:r w:rsidRPr="00373DD4">
        <w:rPr>
          <w:rFonts w:eastAsia="Times New Roman" w:cs="Times New Roman"/>
        </w:rPr>
        <w:t>U relevantních opatření realizovaných v prioritní ose 2 za účelem zlepšení kvality ovzduší se budou zároveň sledovat a hodnotit i jejich přínosy ke zvýšení energetické účinnosti a k energetickým úsporám, a to prostřednictvím ENVI indikátoru „Snížení konečné spotřeby“.</w:t>
      </w:r>
    </w:p>
    <w:p w:rsidR="00B17192" w:rsidRPr="00373DD4" w:rsidRDefault="00B17192" w:rsidP="00B17192">
      <w:pPr>
        <w:rPr>
          <w:rFonts w:eastAsia="Times New Roman" w:cs="Times New Roman"/>
        </w:rPr>
      </w:pPr>
      <w:r w:rsidRPr="00617430">
        <w:t>V rámci horizontální</w:t>
      </w:r>
      <w:r w:rsidRPr="00AD339F">
        <w:t xml:space="preserve">ho </w:t>
      </w:r>
      <w:r w:rsidRPr="00DB391C">
        <w:t>pojetí</w:t>
      </w:r>
      <w:r w:rsidRPr="00617430">
        <w:t xml:space="preserve"> kvality ovzduší deklarují partnerské operační programy</w:t>
      </w:r>
      <w:r w:rsidRPr="00AD339F">
        <w:t xml:space="preserve"> IROP, OPD a OP PIK soulad se Střednědobou strategií zlepšení kvality ov</w:t>
      </w:r>
      <w:r w:rsidRPr="00814D76">
        <w:t>z</w:t>
      </w:r>
      <w:r w:rsidRPr="00A9413B">
        <w:t>duší v ČR a v rámci jejich podpory budou zvýhodněny Strategií vyhodnocené prioritní projekty z hlediska zlepšení kvality ovzduší</w:t>
      </w:r>
      <w:r>
        <w:t>.</w:t>
      </w:r>
    </w:p>
    <w:p w:rsidR="00B17192" w:rsidRPr="00707D5D" w:rsidRDefault="00B17192" w:rsidP="00B17192">
      <w:pPr>
        <w:rPr>
          <w:rFonts w:eastAsia="Times New Roman" w:cs="Times New Roman"/>
          <w:b/>
          <w:i/>
          <w:color w:val="76923C" w:themeColor="accent3" w:themeShade="BF"/>
          <w:sz w:val="24"/>
          <w:szCs w:val="24"/>
          <w:u w:val="single"/>
        </w:rPr>
      </w:pPr>
      <w:r w:rsidRPr="0033290F">
        <w:rPr>
          <w:rFonts w:eastAsia="Times New Roman" w:cs="Times New Roman"/>
          <w:b/>
          <w:i/>
          <w:color w:val="76923C" w:themeColor="accent3" w:themeShade="BF"/>
          <w:sz w:val="24"/>
          <w:szCs w:val="24"/>
          <w:u w:val="single"/>
        </w:rPr>
        <w:t>Priorita 3: Odpady, ekologické zátěže a rizika</w:t>
      </w:r>
    </w:p>
    <w:p w:rsidR="00B17192" w:rsidRPr="00373DD4" w:rsidRDefault="00B17192" w:rsidP="00B17192">
      <w:pPr>
        <w:rPr>
          <w:rFonts w:eastAsia="Times New Roman" w:cs="Times New Roman"/>
          <w:b/>
        </w:rPr>
      </w:pPr>
      <w:r w:rsidRPr="00373DD4">
        <w:rPr>
          <w:rFonts w:eastAsia="Times New Roman" w:cs="Times New Roman"/>
          <w:b/>
        </w:rPr>
        <w:t>Aktuální stav – Problémy</w:t>
      </w:r>
    </w:p>
    <w:p w:rsidR="00B17192" w:rsidRPr="00373DD4" w:rsidRDefault="00B17192" w:rsidP="00B17192">
      <w:pPr>
        <w:rPr>
          <w:rFonts w:eastAsia="Times New Roman" w:cs="Times New Roman"/>
        </w:rPr>
      </w:pPr>
      <w:r w:rsidRPr="00373DD4">
        <w:rPr>
          <w:rFonts w:eastAsia="Times New Roman" w:cs="Times New Roman"/>
        </w:rPr>
        <w:t>Směrnice 2008/98/ES o odpadech definuje závaznou hierarchii nakládání s odpady, která je v ČR reflektována v zákoně o odpadech a rovněž ve stávajícím i nově připravovaném Plánu odpadového hospodářství ČR (POH ČR). Strategické dokumenty EU (</w:t>
      </w:r>
      <w:r w:rsidRPr="00373DD4">
        <w:rPr>
          <w:rFonts w:eastAsia="Times New Roman" w:cs="Helv"/>
        </w:rPr>
        <w:t xml:space="preserve">7. Environmentální akční plán, Plán pro Evropu účinněji využívající zdroje, Tematická strategie pro prevenci a recyklaci odpadů, Iniciativa v oblasti surovin) požadují změnit orientaci nakládání s odpady směrem k tzv. cirkulační ekonomice, tedy využívat odpady jako zdroje surovin a podporovat inovativní řešení omezující vznik odpadů. Na skládky odpadů by mělo být ukládáno minimum odpadů. </w:t>
      </w:r>
    </w:p>
    <w:p w:rsidR="00B17192" w:rsidRPr="00373DD4" w:rsidRDefault="00B17192" w:rsidP="00B17192">
      <w:pPr>
        <w:rPr>
          <w:rFonts w:eastAsia="Times New Roman" w:cs="Times New Roman"/>
        </w:rPr>
      </w:pPr>
      <w:r w:rsidRPr="00373DD4">
        <w:rPr>
          <w:rFonts w:eastAsia="Times New Roman" w:cs="Times New Roman"/>
        </w:rPr>
        <w:t xml:space="preserve">Z analýzy současného stavu nakládání s odpady v ČR vyplývají v porovnání s výše popsanou hierarchií následující </w:t>
      </w:r>
      <w:r w:rsidRPr="00373DD4">
        <w:rPr>
          <w:rFonts w:eastAsia="Times New Roman" w:cs="Times New Roman"/>
          <w:b/>
        </w:rPr>
        <w:t>problémy</w:t>
      </w:r>
      <w:r w:rsidRPr="00373DD4">
        <w:rPr>
          <w:rFonts w:eastAsia="Times New Roman" w:cs="Times New Roman"/>
        </w:rPr>
        <w:t>:</w:t>
      </w:r>
    </w:p>
    <w:p w:rsidR="00B17192" w:rsidRPr="00373DD4" w:rsidRDefault="00B17192" w:rsidP="00B17192">
      <w:pPr>
        <w:numPr>
          <w:ilvl w:val="0"/>
          <w:numId w:val="73"/>
        </w:numPr>
        <w:contextualSpacing/>
        <w:rPr>
          <w:rFonts w:eastAsia="Times New Roman" w:cs="Times New Roman"/>
        </w:rPr>
      </w:pPr>
      <w:r w:rsidRPr="00373DD4">
        <w:rPr>
          <w:rFonts w:eastAsia="Times New Roman" w:cs="Times New Roman"/>
        </w:rPr>
        <w:t>prevence vzniku odpadů,</w:t>
      </w:r>
    </w:p>
    <w:p w:rsidR="00B17192" w:rsidRPr="00373DD4" w:rsidRDefault="00B17192" w:rsidP="00B17192">
      <w:pPr>
        <w:numPr>
          <w:ilvl w:val="0"/>
          <w:numId w:val="73"/>
        </w:numPr>
        <w:contextualSpacing/>
        <w:rPr>
          <w:rFonts w:eastAsia="Times New Roman" w:cs="Times New Roman"/>
        </w:rPr>
      </w:pPr>
      <w:r w:rsidRPr="00373DD4">
        <w:rPr>
          <w:rFonts w:eastAsia="Times New Roman" w:cs="Times New Roman"/>
        </w:rPr>
        <w:t>kapacita technologií umožňujících předcházení vzniku odpadů a přípravu použitých výrobků k opětovnému použití,</w:t>
      </w:r>
    </w:p>
    <w:p w:rsidR="00B17192" w:rsidRPr="00373DD4" w:rsidRDefault="00B17192" w:rsidP="00B17192">
      <w:pPr>
        <w:numPr>
          <w:ilvl w:val="0"/>
          <w:numId w:val="73"/>
        </w:numPr>
        <w:contextualSpacing/>
        <w:rPr>
          <w:rFonts w:eastAsia="Times New Roman" w:cs="Times New Roman"/>
        </w:rPr>
      </w:pPr>
      <w:r w:rsidRPr="00373DD4">
        <w:rPr>
          <w:rFonts w:eastAsia="Times New Roman" w:cs="Times New Roman"/>
        </w:rPr>
        <w:t>materiálové využití odpadů,</w:t>
      </w:r>
    </w:p>
    <w:p w:rsidR="00B17192" w:rsidRPr="00373DD4" w:rsidRDefault="00B17192" w:rsidP="00B17192">
      <w:pPr>
        <w:numPr>
          <w:ilvl w:val="0"/>
          <w:numId w:val="73"/>
        </w:numPr>
        <w:contextualSpacing/>
        <w:rPr>
          <w:rFonts w:eastAsia="Times New Roman" w:cs="Times New Roman"/>
        </w:rPr>
      </w:pPr>
      <w:r w:rsidRPr="00373DD4">
        <w:rPr>
          <w:rFonts w:eastAsia="Times New Roman" w:cs="Times New Roman"/>
        </w:rPr>
        <w:t xml:space="preserve">energetické využití odpadů, </w:t>
      </w:r>
    </w:p>
    <w:p w:rsidR="00B17192" w:rsidRPr="00373DD4" w:rsidRDefault="00B17192" w:rsidP="00B17192">
      <w:pPr>
        <w:numPr>
          <w:ilvl w:val="0"/>
          <w:numId w:val="73"/>
        </w:numPr>
        <w:contextualSpacing/>
        <w:rPr>
          <w:rFonts w:eastAsia="Times New Roman" w:cs="Times New Roman"/>
        </w:rPr>
      </w:pPr>
      <w:r w:rsidRPr="00373DD4">
        <w:rPr>
          <w:rFonts w:eastAsia="Times New Roman" w:cs="Times New Roman"/>
        </w:rPr>
        <w:t>úroveň nakládání s odpady kategorie nebezpečný</w:t>
      </w:r>
      <w:r>
        <w:rPr>
          <w:rFonts w:eastAsia="Times New Roman" w:cs="Times New Roman"/>
        </w:rPr>
        <w:t>,</w:t>
      </w:r>
    </w:p>
    <w:p w:rsidR="00B17192" w:rsidRDefault="00B17192" w:rsidP="00B17192">
      <w:pPr>
        <w:numPr>
          <w:ilvl w:val="0"/>
          <w:numId w:val="73"/>
        </w:numPr>
        <w:contextualSpacing/>
        <w:rPr>
          <w:rFonts w:eastAsia="Times New Roman" w:cs="Times New Roman"/>
        </w:rPr>
      </w:pPr>
      <w:r w:rsidRPr="00373DD4">
        <w:rPr>
          <w:rFonts w:eastAsia="Times New Roman" w:cs="Times New Roman"/>
        </w:rPr>
        <w:t xml:space="preserve"> podíl skládkování komunálních odpadů.</w:t>
      </w:r>
    </w:p>
    <w:p w:rsidR="00B17192" w:rsidRDefault="00B17192" w:rsidP="00B17192">
      <w:pPr>
        <w:ind w:left="720"/>
        <w:contextualSpacing/>
        <w:rPr>
          <w:rFonts w:eastAsia="Times New Roman" w:cs="Times New Roman"/>
        </w:rPr>
      </w:pPr>
    </w:p>
    <w:p w:rsidR="00B17192" w:rsidRPr="00373DD4" w:rsidRDefault="00B17192" w:rsidP="00B17192">
      <w:pPr>
        <w:rPr>
          <w:rFonts w:eastAsia="Times New Roman" w:cs="Times New Roman"/>
        </w:rPr>
      </w:pPr>
      <w:r>
        <w:rPr>
          <w:rFonts w:eastAsia="Times New Roman" w:cs="Times New Roman"/>
        </w:rPr>
        <w:t>P</w:t>
      </w:r>
      <w:r w:rsidRPr="00373DD4">
        <w:rPr>
          <w:rFonts w:eastAsia="Times New Roman" w:cs="Times New Roman"/>
        </w:rPr>
        <w:t xml:space="preserve">opsané problémy brání plné implementaci hierarchie nakládání s odpady a naplňování cílů stanovených v právních předpisech a strategiích EU. I z těchto důvodů je připravován nový POH </w:t>
      </w:r>
      <w:r w:rsidRPr="00373DD4">
        <w:rPr>
          <w:rFonts w:eastAsia="Times New Roman" w:cs="Times New Roman"/>
        </w:rPr>
        <w:lastRenderedPageBreak/>
        <w:t xml:space="preserve">ČR 2015-2024, jehož strategické cíle zahrnují předcházení vzniku odpadů, snižování produkce odpadů, minimalizace nepříznivých účinků vzniku odpadů, přiblížení se k evropské „recyklační společnosti“, maximální využití odpadů jako náhrady primárních zdrojů. Strategické cíle nového </w:t>
      </w:r>
      <w:proofErr w:type="gramStart"/>
      <w:r w:rsidRPr="00373DD4">
        <w:rPr>
          <w:rFonts w:eastAsia="Times New Roman" w:cs="Times New Roman"/>
        </w:rPr>
        <w:t>POH</w:t>
      </w:r>
      <w:proofErr w:type="gramEnd"/>
      <w:r w:rsidRPr="00373DD4">
        <w:rPr>
          <w:rFonts w:eastAsia="Times New Roman" w:cs="Times New Roman"/>
        </w:rPr>
        <w:t xml:space="preserve"> ČR plně </w:t>
      </w:r>
      <w:proofErr w:type="gramStart"/>
      <w:r w:rsidRPr="00373DD4">
        <w:rPr>
          <w:rFonts w:eastAsia="Times New Roman" w:cs="Times New Roman"/>
        </w:rPr>
        <w:t>reagují</w:t>
      </w:r>
      <w:proofErr w:type="gramEnd"/>
      <w:r w:rsidRPr="00373DD4">
        <w:rPr>
          <w:rFonts w:eastAsia="Times New Roman" w:cs="Times New Roman"/>
        </w:rPr>
        <w:t xml:space="preserve"> na identifikované probl</w:t>
      </w:r>
      <w:r>
        <w:rPr>
          <w:rFonts w:eastAsia="Times New Roman" w:cs="Times New Roman"/>
        </w:rPr>
        <w:t xml:space="preserve">émy. </w:t>
      </w:r>
    </w:p>
    <w:p w:rsidR="00B17192" w:rsidRPr="00373DD4" w:rsidRDefault="00B17192" w:rsidP="00B17192">
      <w:pPr>
        <w:rPr>
          <w:rFonts w:eastAsia="Times New Roman" w:cs="Times New Roman"/>
        </w:rPr>
      </w:pPr>
      <w:r w:rsidRPr="00373DD4">
        <w:rPr>
          <w:rFonts w:eastAsia="Times New Roman" w:cs="Times New Roman"/>
        </w:rPr>
        <w:t xml:space="preserve">Dalším problémem jsou </w:t>
      </w:r>
      <w:r w:rsidRPr="00373DD4">
        <w:rPr>
          <w:rFonts w:eastAsia="Times New Roman" w:cs="Times New Roman"/>
          <w:b/>
        </w:rPr>
        <w:t>staré ekologické zátěže</w:t>
      </w:r>
      <w:r w:rsidRPr="00373DD4">
        <w:rPr>
          <w:rFonts w:eastAsia="Times New Roman" w:cs="Times New Roman"/>
        </w:rPr>
        <w:t xml:space="preserve">, které jsou rizikem ohrožení lidského zdraví nebezpečnými </w:t>
      </w:r>
      <w:r>
        <w:rPr>
          <w:rFonts w:eastAsia="Times New Roman" w:cs="Times New Roman"/>
        </w:rPr>
        <w:t xml:space="preserve">karcinogenními a toxickými </w:t>
      </w:r>
      <w:r w:rsidRPr="00373DD4">
        <w:rPr>
          <w:rFonts w:eastAsia="Times New Roman" w:cs="Times New Roman"/>
        </w:rPr>
        <w:t>látkami při kontaminaci vodních zdrojů, ovzduší</w:t>
      </w:r>
      <w:r>
        <w:rPr>
          <w:rFonts w:eastAsia="Times New Roman" w:cs="Times New Roman"/>
        </w:rPr>
        <w:t xml:space="preserve"> či </w:t>
      </w:r>
      <w:r w:rsidRPr="00373DD4">
        <w:rPr>
          <w:rFonts w:eastAsia="Times New Roman" w:cs="Times New Roman"/>
        </w:rPr>
        <w:t>půdy. Sanace kontaminovan</w:t>
      </w:r>
      <w:r>
        <w:rPr>
          <w:rFonts w:eastAsia="Times New Roman" w:cs="Times New Roman"/>
        </w:rPr>
        <w:t xml:space="preserve">ých a rizikových lokalit </w:t>
      </w:r>
      <w:r w:rsidRPr="004B6C19">
        <w:rPr>
          <w:rFonts w:eastAsia="Times New Roman" w:cs="Times New Roman"/>
        </w:rPr>
        <w:t>má tedy za úkol snížení zdravotních rizik odstraněním nejrizikovějších kontaminantů z podzemních vod a horninového prostředí, navíc má přínos pro revitalizaci krajiny jako celku, pro obnovení stav</w:t>
      </w:r>
      <w:r>
        <w:rPr>
          <w:rFonts w:eastAsia="Times New Roman" w:cs="Times New Roman"/>
        </w:rPr>
        <w:t>u životního prostředí a </w:t>
      </w:r>
      <w:r w:rsidRPr="00373DD4">
        <w:rPr>
          <w:rFonts w:eastAsia="Times New Roman" w:cs="Times New Roman"/>
        </w:rPr>
        <w:t xml:space="preserve">regeneraci přirozených vazeb v ekosystémech. Přestože </w:t>
      </w:r>
      <w:r>
        <w:rPr>
          <w:rFonts w:eastAsia="Times New Roman" w:cs="Times New Roman"/>
        </w:rPr>
        <w:t>v ČR probíhají sanační zásahy k </w:t>
      </w:r>
      <w:r w:rsidRPr="00373DD4">
        <w:rPr>
          <w:rFonts w:eastAsia="Times New Roman" w:cs="Times New Roman"/>
        </w:rPr>
        <w:t>odstranění starých</w:t>
      </w:r>
      <w:r>
        <w:rPr>
          <w:rFonts w:eastAsia="Times New Roman" w:cs="Times New Roman"/>
        </w:rPr>
        <w:t xml:space="preserve"> </w:t>
      </w:r>
      <w:r w:rsidRPr="00373DD4">
        <w:rPr>
          <w:rFonts w:eastAsia="Times New Roman" w:cs="Times New Roman"/>
        </w:rPr>
        <w:t xml:space="preserve">zátěží na kontaminovaných lokalitách po několik desetiletí, stále je na jejím území velké množství lokalit, u nichž znečištění představuje </w:t>
      </w:r>
      <w:r>
        <w:rPr>
          <w:rFonts w:eastAsia="Times New Roman" w:cs="Times New Roman"/>
        </w:rPr>
        <w:t xml:space="preserve">významné </w:t>
      </w:r>
      <w:r w:rsidRPr="00373DD4">
        <w:rPr>
          <w:rFonts w:eastAsia="Times New Roman" w:cs="Times New Roman"/>
        </w:rPr>
        <w:t xml:space="preserve">riziko. </w:t>
      </w:r>
    </w:p>
    <w:p w:rsidR="00B17192" w:rsidRPr="00373DD4" w:rsidRDefault="00B17192" w:rsidP="00B17192">
      <w:pPr>
        <w:rPr>
          <w:rFonts w:eastAsia="Times New Roman" w:cs="Times New Roman"/>
        </w:rPr>
      </w:pPr>
      <w:r w:rsidRPr="00373DD4">
        <w:rPr>
          <w:rFonts w:eastAsia="Times New Roman" w:cs="Times New Roman"/>
          <w:b/>
        </w:rPr>
        <w:t>Oblast průmyslového znečištění, havárií a chemických látek znamená rizika pro lidské zdraví a životní prostředí.</w:t>
      </w:r>
      <w:r w:rsidRPr="00373DD4">
        <w:rPr>
          <w:rFonts w:eastAsia="Times New Roman" w:cs="Times New Roman"/>
        </w:rPr>
        <w:t xml:space="preserve"> Hlavní problémy jsou spojeny s nedostatečným environmentálním povědomím mezi podniky, státní správou a veřejností, komplikovanou legislativou, nedostatečným institucionálním zázemím, nedostatkem prostředků na zavádění nových environmentálně přínosných technologií, nedostatečnou aplikací principu prevence a nedostatečnou osvětou.</w:t>
      </w:r>
    </w:p>
    <w:p w:rsidR="00B17192" w:rsidRPr="00373DD4" w:rsidRDefault="00B17192" w:rsidP="00B17192">
      <w:pPr>
        <w:rPr>
          <w:rFonts w:eastAsia="Times New Roman" w:cs="Times New Roman"/>
          <w:b/>
        </w:rPr>
      </w:pPr>
      <w:r w:rsidRPr="00373DD4">
        <w:rPr>
          <w:rFonts w:eastAsia="Times New Roman" w:cs="Times New Roman"/>
          <w:b/>
        </w:rPr>
        <w:t>Aktuální stav - Příčiny</w:t>
      </w:r>
    </w:p>
    <w:p w:rsidR="00B17192" w:rsidRPr="00373DD4" w:rsidRDefault="00B17192" w:rsidP="00B17192">
      <w:pPr>
        <w:rPr>
          <w:rFonts w:eastAsia="Times New Roman" w:cs="Times New Roman"/>
        </w:rPr>
      </w:pPr>
      <w:r w:rsidRPr="00373DD4">
        <w:rPr>
          <w:rFonts w:eastAsia="Times New Roman" w:cs="Times New Roman"/>
        </w:rPr>
        <w:t xml:space="preserve">Celková produkce všech odpadů v ČR mezi lety 2003 a 2012 výrazně poklesla </w:t>
      </w:r>
      <w:r w:rsidRPr="00373DD4">
        <w:rPr>
          <w:rFonts w:eastAsia="Times New Roman" w:cs="Times New Roman"/>
        </w:rPr>
        <w:br/>
        <w:t xml:space="preserve">(o 16,8 %), v posledních třech letech má pak stagnující až mírně klesající trend, což je ovlivněno především změnami ve struktuře průmyslové výroby.  </w:t>
      </w:r>
    </w:p>
    <w:p w:rsidR="00B17192" w:rsidRPr="00373DD4" w:rsidRDefault="00B17192" w:rsidP="00B17192">
      <w:pPr>
        <w:rPr>
          <w:rFonts w:eastAsia="Times New Roman" w:cs="Times New Roman"/>
        </w:rPr>
      </w:pPr>
      <w:r w:rsidRPr="00373DD4">
        <w:rPr>
          <w:rFonts w:eastAsia="Times New Roman" w:cs="Times New Roman"/>
        </w:rPr>
        <w:t>Došlo také k poklesu produkce nebezpečných odpadů mezi lety 2003 a 2012 (o 7,8 %).</w:t>
      </w:r>
      <w:r w:rsidRPr="00373DD4">
        <w:rPr>
          <w:rFonts w:eastAsia="Times New Roman" w:cs="Times New Roman"/>
        </w:rPr>
        <w:br/>
        <w:t xml:space="preserve">V posledním meziročním srovnání poklesla produkce nebezpečných odpadů dokonce o více než 11 % (to může souviset s ekonomickou recesí, </w:t>
      </w:r>
      <w:r>
        <w:rPr>
          <w:rFonts w:eastAsia="Times New Roman" w:cs="Times New Roman"/>
        </w:rPr>
        <w:t>tedy</w:t>
      </w:r>
      <w:r w:rsidRPr="00373DD4">
        <w:rPr>
          <w:rFonts w:eastAsia="Times New Roman" w:cs="Times New Roman"/>
        </w:rPr>
        <w:t xml:space="preserve"> </w:t>
      </w:r>
      <w:r>
        <w:rPr>
          <w:rFonts w:eastAsia="Times New Roman" w:cs="Times New Roman"/>
        </w:rPr>
        <w:t xml:space="preserve">s </w:t>
      </w:r>
      <w:r w:rsidRPr="00373DD4">
        <w:rPr>
          <w:rFonts w:eastAsia="Times New Roman" w:cs="Times New Roman"/>
        </w:rPr>
        <w:t>nižší</w:t>
      </w:r>
      <w:r>
        <w:rPr>
          <w:rFonts w:eastAsia="Times New Roman" w:cs="Times New Roman"/>
        </w:rPr>
        <w:t>m</w:t>
      </w:r>
      <w:r w:rsidRPr="00373DD4">
        <w:rPr>
          <w:rFonts w:eastAsia="Times New Roman" w:cs="Times New Roman"/>
        </w:rPr>
        <w:t xml:space="preserve"> výkon</w:t>
      </w:r>
      <w:r>
        <w:rPr>
          <w:rFonts w:eastAsia="Times New Roman" w:cs="Times New Roman"/>
        </w:rPr>
        <w:t>em</w:t>
      </w:r>
      <w:r w:rsidRPr="00373DD4">
        <w:rPr>
          <w:rFonts w:eastAsia="Times New Roman" w:cs="Times New Roman"/>
        </w:rPr>
        <w:t xml:space="preserve"> průmyslu</w:t>
      </w:r>
      <w:r>
        <w:rPr>
          <w:rFonts w:eastAsia="Times New Roman" w:cs="Times New Roman"/>
        </w:rPr>
        <w:t xml:space="preserve"> a</w:t>
      </w:r>
      <w:r w:rsidRPr="00373DD4">
        <w:rPr>
          <w:rFonts w:eastAsia="Times New Roman" w:cs="Times New Roman"/>
        </w:rPr>
        <w:t xml:space="preserve"> snížen</w:t>
      </w:r>
      <w:r>
        <w:rPr>
          <w:rFonts w:eastAsia="Times New Roman" w:cs="Times New Roman"/>
        </w:rPr>
        <w:t>ým</w:t>
      </w:r>
      <w:r w:rsidRPr="00373DD4">
        <w:rPr>
          <w:rFonts w:eastAsia="Times New Roman" w:cs="Times New Roman"/>
        </w:rPr>
        <w:t xml:space="preserve"> množství</w:t>
      </w:r>
      <w:r>
        <w:rPr>
          <w:rFonts w:eastAsia="Times New Roman" w:cs="Times New Roman"/>
        </w:rPr>
        <w:t>m</w:t>
      </w:r>
      <w:r w:rsidRPr="00373DD4">
        <w:rPr>
          <w:rFonts w:eastAsia="Times New Roman" w:cs="Times New Roman"/>
        </w:rPr>
        <w:t xml:space="preserve"> specifických druhů nebezpečných odpadů).</w:t>
      </w:r>
    </w:p>
    <w:p w:rsidR="00B17192" w:rsidRPr="00373DD4" w:rsidRDefault="00B17192" w:rsidP="00B17192">
      <w:pPr>
        <w:rPr>
          <w:rFonts w:eastAsia="Times New Roman" w:cs="Times New Roman"/>
        </w:rPr>
      </w:pPr>
      <w:r w:rsidRPr="00373DD4">
        <w:rPr>
          <w:rFonts w:eastAsia="Times New Roman" w:cs="Times New Roman"/>
        </w:rPr>
        <w:t xml:space="preserve">V posledních 10 letech rovněž dochází k trvalému růstu podílu využitých odpadů </w:t>
      </w:r>
      <w:r w:rsidRPr="00373DD4">
        <w:rPr>
          <w:rFonts w:eastAsia="Times New Roman" w:cs="Times New Roman"/>
        </w:rPr>
        <w:br/>
        <w:t>a také k postupnému navyšování podílu využív</w:t>
      </w:r>
      <w:r>
        <w:rPr>
          <w:rFonts w:eastAsia="Times New Roman" w:cs="Times New Roman"/>
        </w:rPr>
        <w:t>a</w:t>
      </w:r>
      <w:r w:rsidRPr="00373DD4">
        <w:rPr>
          <w:rFonts w:eastAsia="Times New Roman" w:cs="Times New Roman"/>
        </w:rPr>
        <w:t>n</w:t>
      </w:r>
      <w:r>
        <w:rPr>
          <w:rFonts w:eastAsia="Times New Roman" w:cs="Times New Roman"/>
        </w:rPr>
        <w:t>ých</w:t>
      </w:r>
      <w:r w:rsidRPr="00373DD4">
        <w:rPr>
          <w:rFonts w:eastAsia="Times New Roman" w:cs="Times New Roman"/>
        </w:rPr>
        <w:t xml:space="preserve"> odpadů.</w:t>
      </w:r>
      <w:r>
        <w:rPr>
          <w:rFonts w:eastAsia="Times New Roman" w:cs="Times New Roman"/>
        </w:rPr>
        <w:t xml:space="preserve"> Důvodem jsou především změny v </w:t>
      </w:r>
      <w:r w:rsidRPr="00373DD4">
        <w:rPr>
          <w:rFonts w:eastAsia="Times New Roman" w:cs="Times New Roman"/>
        </w:rPr>
        <w:t xml:space="preserve">technologiích zajišťujících vyšší efektivitu jak ve výrobní sféře (minimalizace vzniku odpadů), tak i v oblasti samotného nakládání s odpady. Od r. 2003 </w:t>
      </w:r>
      <w:r w:rsidRPr="00373DD4">
        <w:rPr>
          <w:rFonts w:eastAsia="Times New Roman" w:cs="Times New Roman"/>
        </w:rPr>
        <w:br/>
        <w:t>do r. 2008 se postupně navyšoval podíl využívání všech odpadů, a to až na 83,2 %. V r. 2009 však tempo růstu, pravděpodobně díky ekonomické stagnaci, pokleslo na hodnotu 74,7 %, nicméně od tohoto roku opět dochází k postupnému nárůstu až na 79,3 % v</w:t>
      </w:r>
      <w:r>
        <w:rPr>
          <w:rFonts w:eastAsia="Times New Roman" w:cs="Times New Roman"/>
        </w:rPr>
        <w:t> </w:t>
      </w:r>
      <w:r w:rsidRPr="00373DD4">
        <w:rPr>
          <w:rFonts w:eastAsia="Times New Roman" w:cs="Times New Roman"/>
        </w:rPr>
        <w:t>r</w:t>
      </w:r>
      <w:r>
        <w:rPr>
          <w:rFonts w:eastAsia="Times New Roman" w:cs="Times New Roman"/>
        </w:rPr>
        <w:t>.</w:t>
      </w:r>
      <w:r w:rsidRPr="00373DD4">
        <w:rPr>
          <w:rFonts w:eastAsia="Times New Roman" w:cs="Times New Roman"/>
        </w:rPr>
        <w:t xml:space="preserve"> 2012. </w:t>
      </w:r>
    </w:p>
    <w:p w:rsidR="00B17192" w:rsidRPr="00373DD4" w:rsidRDefault="00B17192" w:rsidP="00B17192">
      <w:pPr>
        <w:rPr>
          <w:rFonts w:eastAsia="Times New Roman" w:cs="Times New Roman"/>
        </w:rPr>
      </w:pPr>
      <w:r>
        <w:rPr>
          <w:rFonts w:eastAsia="Times New Roman" w:cs="Times New Roman"/>
        </w:rPr>
        <w:t xml:space="preserve">U nakládání s </w:t>
      </w:r>
      <w:r w:rsidRPr="00373DD4">
        <w:rPr>
          <w:rFonts w:eastAsia="Times New Roman" w:cs="Times New Roman"/>
        </w:rPr>
        <w:t>komunální</w:t>
      </w:r>
      <w:r>
        <w:rPr>
          <w:rFonts w:eastAsia="Times New Roman" w:cs="Times New Roman"/>
        </w:rPr>
        <w:t>mi odpady</w:t>
      </w:r>
      <w:r w:rsidRPr="00373DD4">
        <w:rPr>
          <w:rFonts w:eastAsia="Times New Roman" w:cs="Times New Roman"/>
        </w:rPr>
        <w:t xml:space="preserve"> však i nadále </w:t>
      </w:r>
      <w:r>
        <w:rPr>
          <w:rFonts w:eastAsia="Times New Roman" w:cs="Times New Roman"/>
        </w:rPr>
        <w:t xml:space="preserve">převažuje </w:t>
      </w:r>
      <w:r w:rsidRPr="00373DD4">
        <w:rPr>
          <w:rFonts w:eastAsia="Times New Roman" w:cs="Times New Roman"/>
        </w:rPr>
        <w:t>skládkování. V r. 2012 bylo z celkové produkce komunálních odpadů 53,7 % odstraněno skládkováním. Naproti tomu bylo v r. 2012 materiálově využito pouze 30,3 % komunálních odpadů a 11,8 % komunálních odpadů bylo využito energeticky. Podíl materiálově využitých komunálních odpadů od</w:t>
      </w:r>
      <w:r>
        <w:rPr>
          <w:rFonts w:eastAsia="Times New Roman" w:cs="Times New Roman"/>
        </w:rPr>
        <w:t> </w:t>
      </w:r>
      <w:r w:rsidRPr="00373DD4">
        <w:rPr>
          <w:rFonts w:eastAsia="Times New Roman" w:cs="Times New Roman"/>
        </w:rPr>
        <w:t>r.</w:t>
      </w:r>
      <w:r>
        <w:rPr>
          <w:rFonts w:eastAsia="Times New Roman" w:cs="Times New Roman"/>
        </w:rPr>
        <w:t> </w:t>
      </w:r>
      <w:r w:rsidRPr="00373DD4">
        <w:rPr>
          <w:rFonts w:eastAsia="Times New Roman" w:cs="Times New Roman"/>
        </w:rPr>
        <w:t xml:space="preserve">2003 mírně narůstá. Od r. 2009 došlo k poklesu produkce komunálních odpadů v přepočtu na obyvatele. Meziročně tato hodnota klesla o cca 20 kg na hodnotu 493,7 kg na obyvatele za rok 2012. </w:t>
      </w:r>
    </w:p>
    <w:p w:rsidR="00B17192" w:rsidRPr="00373DD4" w:rsidRDefault="00B17192" w:rsidP="00B17192">
      <w:pPr>
        <w:rPr>
          <w:rFonts w:eastAsia="Times New Roman" w:cs="Times New Roman"/>
        </w:rPr>
      </w:pPr>
      <w:r w:rsidRPr="00373DD4">
        <w:rPr>
          <w:rFonts w:eastAsia="Times New Roman" w:cs="Times New Roman"/>
        </w:rPr>
        <w:lastRenderedPageBreak/>
        <w:t xml:space="preserve">Při současné produkci necelých 5,2 milionů tun komunálních odpadů za rok je stále velký prostor pro navýšení kapacit a modernizaci stávajících zařízení pro </w:t>
      </w:r>
      <w:r>
        <w:rPr>
          <w:rFonts w:eastAsia="Times New Roman" w:cs="Times New Roman"/>
        </w:rPr>
        <w:t>jejich materiálové a </w:t>
      </w:r>
      <w:r w:rsidRPr="00373DD4">
        <w:rPr>
          <w:rFonts w:eastAsia="Times New Roman" w:cs="Times New Roman"/>
        </w:rPr>
        <w:t xml:space="preserve">energetické využívání, zejména vzhledem k záměru ČR významně omezit skládkování odpadů, obsaženému v návrhu nového Plánu odpadového hospodářství. </w:t>
      </w:r>
    </w:p>
    <w:p w:rsidR="00B17192" w:rsidRPr="00373DD4" w:rsidRDefault="00B17192" w:rsidP="00B17192">
      <w:pPr>
        <w:rPr>
          <w:rFonts w:eastAsia="Times New Roman" w:cs="Times New Roman"/>
        </w:rPr>
      </w:pPr>
      <w:r w:rsidRPr="00373DD4">
        <w:rPr>
          <w:rFonts w:eastAsia="Times New Roman" w:cs="Helv"/>
        </w:rPr>
        <w:t xml:space="preserve">K energetickému využití komunálního odpadu dochází v ČR ve třech zařízeních s celkovou kapacitou 654 000 t odpadu/rok – ZEVO Malešice Praha, SAKO Brno a TERMIZO Liberec. Ve všech uvedených zařízeních se odpad využívá pro výrobu energie. </w:t>
      </w:r>
      <w:r w:rsidRPr="00373DD4">
        <w:rPr>
          <w:rFonts w:eastAsia="Times New Roman" w:cs="Times New Roman"/>
        </w:rPr>
        <w:t>Dle prognózy produkce a nakládání s komunálními odpady mezi lety 2014 – 2024 se odhaduje potřeba navýšení kapacit pro energetické využití komunálního odpadu do r. 2020 na 950 000 tun/rok a do r. 2024 na 1 470 000 tun/rok.  P</w:t>
      </w:r>
      <w:r w:rsidRPr="00373DD4">
        <w:rPr>
          <w:rFonts w:eastAsia="Times New Roman" w:cs="Helv"/>
        </w:rPr>
        <w:t xml:space="preserve">rognóza dokládá reálnou možnost pro adekvátní rozvoj zařízení pro energetické využívání odpadu bez toho, aby došlo k ohrožení plnění závazných cílů vyplývajících z legislativy nebo strategických dokumentů EU. </w:t>
      </w:r>
    </w:p>
    <w:p w:rsidR="00B17192" w:rsidRPr="00373DD4" w:rsidRDefault="00B17192" w:rsidP="00B17192">
      <w:pPr>
        <w:autoSpaceDE w:val="0"/>
        <w:autoSpaceDN w:val="0"/>
        <w:adjustRightInd w:val="0"/>
        <w:rPr>
          <w:rFonts w:eastAsia="Times New Roman" w:cs="Times New Roman"/>
        </w:rPr>
      </w:pPr>
      <w:r w:rsidRPr="00373DD4">
        <w:rPr>
          <w:rFonts w:eastAsia="Times New Roman" w:cs="Times New Roman"/>
        </w:rPr>
        <w:t xml:space="preserve">Jedním z hlavních cílů Směrnice 1999/31/ES o skládkách odpadů je omezení množství biologicky rozložitelných komunálních odpadů (dále „BRKO“) ukládaných na skládky. ČR má za cíl snížit maximální množství BRKO ukládaných na skládky tak, aby podíl této složky činil </w:t>
      </w:r>
      <w:r w:rsidRPr="00373DD4">
        <w:rPr>
          <w:rFonts w:eastAsia="Times New Roman" w:cs="Times New Roman"/>
        </w:rPr>
        <w:br/>
        <w:t>v r</w:t>
      </w:r>
      <w:r>
        <w:rPr>
          <w:rFonts w:eastAsia="Times New Roman" w:cs="Times New Roman"/>
        </w:rPr>
        <w:t>.</w:t>
      </w:r>
      <w:r w:rsidRPr="00373DD4">
        <w:rPr>
          <w:rFonts w:eastAsia="Times New Roman" w:cs="Times New Roman"/>
        </w:rPr>
        <w:t xml:space="preserve"> 2020 nejvíce 35 % hmotnostních z celkového množství BRKO vyprodukovaných v roce 1995. Pro dodržení cíle je nutno i nadále vytvářet přiměřenou síť zařízení pro nakládání s odděleně sebranými BRKO z obcí a od ostatních původců v  regionech, a to včetně kalů z čistíren odpadních vod.</w:t>
      </w:r>
    </w:p>
    <w:p w:rsidR="00B17192" w:rsidRPr="00373DD4" w:rsidRDefault="00B17192" w:rsidP="00B17192">
      <w:pPr>
        <w:autoSpaceDE w:val="0"/>
        <w:autoSpaceDN w:val="0"/>
        <w:adjustRightInd w:val="0"/>
        <w:rPr>
          <w:rFonts w:eastAsia="Times New Roman" w:cs="Times New Roman"/>
        </w:rPr>
      </w:pPr>
      <w:r w:rsidRPr="00373DD4">
        <w:rPr>
          <w:rFonts w:eastAsia="Times New Roman" w:cs="Times New Roman"/>
        </w:rPr>
        <w:t>Celková produkce kalů z čistíren odpadních vod za r</w:t>
      </w:r>
      <w:r>
        <w:rPr>
          <w:rFonts w:eastAsia="Times New Roman" w:cs="Times New Roman"/>
        </w:rPr>
        <w:t xml:space="preserve">. </w:t>
      </w:r>
      <w:r w:rsidRPr="00373DD4">
        <w:rPr>
          <w:rFonts w:eastAsia="Times New Roman" w:cs="Times New Roman"/>
        </w:rPr>
        <w:t xml:space="preserve">2012 v ČR činila 162 040 t/rok. V současné době je zpracována termickým způsobem pouze velmi malá část kalů, lze však předpokládat, že v blízké budoucnosti se tento podíl značně navýší. </w:t>
      </w:r>
      <w:r w:rsidRPr="00373DD4">
        <w:rPr>
          <w:rFonts w:eastAsia="Times New Roman" w:cs="Times New Roman"/>
        </w:rPr>
        <w:br/>
        <w:t xml:space="preserve">V souvislosti s termickým zpracováním kalu se ve většině případů nejedná o jeho pouhé odstranění, ale také o jeho energetické využití. Kaly jsou pro své vlastnosti vyloučeny z ukládání na skládky odpadů všech skupin. </w:t>
      </w:r>
    </w:p>
    <w:p w:rsidR="00B17192" w:rsidRPr="00373DD4" w:rsidRDefault="00B17192" w:rsidP="00B17192">
      <w:pPr>
        <w:autoSpaceDE w:val="0"/>
        <w:autoSpaceDN w:val="0"/>
        <w:adjustRightInd w:val="0"/>
        <w:rPr>
          <w:rFonts w:eastAsia="Times New Roman" w:cs="Times New Roman"/>
        </w:rPr>
      </w:pPr>
      <w:r w:rsidRPr="00373DD4">
        <w:rPr>
          <w:rFonts w:eastAsia="Times New Roman" w:cs="Times New Roman"/>
        </w:rPr>
        <w:t xml:space="preserve">Odstraňování </w:t>
      </w:r>
      <w:r w:rsidRPr="00373DD4">
        <w:rPr>
          <w:rFonts w:eastAsia="Times New Roman" w:cs="Times New Roman"/>
          <w:b/>
        </w:rPr>
        <w:t xml:space="preserve">starých ekologických zátěží </w:t>
      </w:r>
      <w:r w:rsidRPr="00373DD4">
        <w:rPr>
          <w:rFonts w:eastAsia="Times New Roman" w:cs="Times New Roman"/>
        </w:rPr>
        <w:t xml:space="preserve">probíhá na území ČR intenzivně od počátku 90. let 20. Století. Paralelně s počínajícími sanačními zásahy vznikaly různé evidenční systémy (databáze) v nichž byla soustřeďována data o existenci kontaminovaných míst a jejich historii a stavu. Všechny tyto databáze, včetně aktuálně používané databáze SEKM II, kterou vede MŽP, byly ovšem pouze databáze přírůstkové a nedávají přehled o celkovém počtu kontaminovaných nebo potenciálně kontaminovaných míst. </w:t>
      </w:r>
    </w:p>
    <w:p w:rsidR="00B17192" w:rsidRPr="00373DD4" w:rsidRDefault="00B17192" w:rsidP="00B17192">
      <w:pPr>
        <w:autoSpaceDE w:val="0"/>
        <w:autoSpaceDN w:val="0"/>
        <w:adjustRightInd w:val="0"/>
        <w:rPr>
          <w:rFonts w:eastAsia="Times New Roman" w:cs="Times New Roman"/>
        </w:rPr>
      </w:pPr>
      <w:r w:rsidRPr="00373DD4">
        <w:rPr>
          <w:rFonts w:eastAsia="Times New Roman" w:cs="Times New Roman"/>
        </w:rPr>
        <w:t>Da</w:t>
      </w:r>
      <w:r w:rsidRPr="00373DD4">
        <w:rPr>
          <w:rFonts w:eastAsia="Times New Roman" w:cs="Arial"/>
          <w:szCs w:val="24"/>
        </w:rPr>
        <w:t xml:space="preserve">tabáze SEKM v současnosti obsahuje cca 2 500 záznamů o kontaminovaných lokalitách, což je zhruba 1/5 </w:t>
      </w:r>
      <w:r>
        <w:rPr>
          <w:rFonts w:eastAsia="Times New Roman" w:cs="Arial"/>
          <w:szCs w:val="24"/>
        </w:rPr>
        <w:t xml:space="preserve">celkového </w:t>
      </w:r>
      <w:r w:rsidRPr="00373DD4">
        <w:rPr>
          <w:rFonts w:eastAsia="Times New Roman" w:cs="Arial"/>
          <w:szCs w:val="24"/>
        </w:rPr>
        <w:t>odhadovaného počtu. Z toho důvodu v uplynulém programovém období MŽP realizovalo první etapu Národní Inventarizace kontaminovaných míst; viz obrázky č. 8 a 9 v </w:t>
      </w:r>
      <w:r>
        <w:rPr>
          <w:rFonts w:eastAsia="Times New Roman" w:cs="Arial"/>
          <w:szCs w:val="24"/>
        </w:rPr>
        <w:t>P</w:t>
      </w:r>
      <w:r w:rsidRPr="00373DD4">
        <w:rPr>
          <w:rFonts w:eastAsia="Times New Roman" w:cs="Arial"/>
          <w:szCs w:val="24"/>
        </w:rPr>
        <w:t xml:space="preserve">říloze 1, v jejímž rámci byly vyvinuty metodické a softwarové nástroje pro provedení inventarizace maximálního počtu kontaminovaných nebo potenciálně kontaminovaných míst. Pilotním průzkumem na 10 % území ČR bylo s využitím nových metodik objeveno téměř 1000 lokalit, o kterých dosud nebyly žádné informace. </w:t>
      </w:r>
    </w:p>
    <w:p w:rsidR="00B17192" w:rsidRPr="00373DD4" w:rsidRDefault="00B17192" w:rsidP="00B17192">
      <w:pPr>
        <w:autoSpaceDE w:val="0"/>
        <w:autoSpaceDN w:val="0"/>
        <w:adjustRightInd w:val="0"/>
        <w:rPr>
          <w:rFonts w:eastAsia="Times New Roman" w:cs="Times New Roman"/>
        </w:rPr>
      </w:pPr>
      <w:r w:rsidRPr="00373DD4">
        <w:rPr>
          <w:rFonts w:eastAsia="Times New Roman" w:cs="Times New Roman"/>
        </w:rPr>
        <w:t>Sanační zásahy</w:t>
      </w:r>
      <w:r>
        <w:rPr>
          <w:rFonts w:eastAsia="Times New Roman" w:cs="Times New Roman"/>
        </w:rPr>
        <w:t>,</w:t>
      </w:r>
      <w:r w:rsidRPr="00373DD4">
        <w:rPr>
          <w:rFonts w:eastAsia="Times New Roman" w:cs="Times New Roman"/>
        </w:rPr>
        <w:t xml:space="preserve"> započaté </w:t>
      </w:r>
      <w:r>
        <w:rPr>
          <w:rFonts w:eastAsia="Times New Roman" w:cs="Times New Roman"/>
        </w:rPr>
        <w:t>před</w:t>
      </w:r>
      <w:r w:rsidRPr="00373DD4">
        <w:rPr>
          <w:rFonts w:eastAsia="Times New Roman" w:cs="Times New Roman"/>
        </w:rPr>
        <w:t xml:space="preserve"> nebo těsně po r.</w:t>
      </w:r>
      <w:r w:rsidR="009F671A">
        <w:rPr>
          <w:rFonts w:eastAsia="Times New Roman" w:cs="Times New Roman"/>
        </w:rPr>
        <w:t xml:space="preserve"> </w:t>
      </w:r>
      <w:r w:rsidRPr="00373DD4">
        <w:rPr>
          <w:rFonts w:eastAsia="Times New Roman" w:cs="Times New Roman"/>
        </w:rPr>
        <w:t xml:space="preserve">1989, byly většinou realizovány jako důsledek ekonomických zájmů investorů na lokalitách či jako reakce na akutní nebezpečí ohrožení </w:t>
      </w:r>
      <w:r w:rsidRPr="00373DD4">
        <w:rPr>
          <w:rFonts w:eastAsia="Times New Roman" w:cs="Times New Roman"/>
        </w:rPr>
        <w:lastRenderedPageBreak/>
        <w:t>vodních zdrojů, životního prostředí či zdraví občanů</w:t>
      </w:r>
      <w:r>
        <w:rPr>
          <w:rFonts w:eastAsia="Times New Roman" w:cs="Times New Roman"/>
        </w:rPr>
        <w:t xml:space="preserve">; </w:t>
      </w:r>
      <w:r w:rsidRPr="00373DD4">
        <w:rPr>
          <w:rFonts w:eastAsia="Times New Roman" w:cs="Times New Roman"/>
        </w:rPr>
        <w:t>tedy v podstatě nahodile bez hlubších ekonomických analýz. Lze proto předpokládat, že na území celé ČR se nacházejí řádově až tisíce dosud neprozkoumaných a nesanovaných kontaminovaných lokalit, jejichž původci již neexistují a které mohou představovat závažné riziko pro lidské zdraví či ekosystémy. O těchto lokalitách nemají správní orgány dostatečné informace a nemohou tak efektivně řídit sanační zásahy podle jejich nezbytnosti.</w:t>
      </w:r>
      <w:r>
        <w:rPr>
          <w:rFonts w:eastAsia="Times New Roman" w:cs="Times New Roman"/>
        </w:rPr>
        <w:t xml:space="preserve"> </w:t>
      </w:r>
      <w:r w:rsidRPr="0033290F">
        <w:t>V současnosti je potřeba sanace vyhodnocována provedením přesné analýzy rizik, která průzkumem ověřuje rozsah existující staré ekologické zátěže a míry rizik poškození zdraví obyvatelstva či její dopady na ekosystémy. Z prostředků alokovaných OPŽP 2007-2013 pak byly financovány pouze takové staré ekologické zátěže, u kterých byla prokázána možnost negativního ovlivnění zdraví osob nebo citlivých ekosystémů.</w:t>
      </w:r>
    </w:p>
    <w:p w:rsidR="00B17192" w:rsidRPr="00373DD4" w:rsidRDefault="00B17192" w:rsidP="00B17192">
      <w:pPr>
        <w:autoSpaceDE w:val="0"/>
        <w:autoSpaceDN w:val="0"/>
        <w:adjustRightInd w:val="0"/>
        <w:contextualSpacing/>
        <w:rPr>
          <w:rFonts w:eastAsia="Times New Roman" w:cs="Times New Roman"/>
        </w:rPr>
      </w:pPr>
      <w:r w:rsidRPr="00373DD4">
        <w:rPr>
          <w:rFonts w:eastAsia="Times New Roman" w:cs="Times New Roman"/>
        </w:rPr>
        <w:t xml:space="preserve">Příčinou problému v oblasti </w:t>
      </w:r>
      <w:r w:rsidRPr="00B13AC8">
        <w:rPr>
          <w:rFonts w:eastAsia="Times New Roman" w:cs="Times New Roman"/>
          <w:b/>
        </w:rPr>
        <w:t>specifických environmentálních rizik</w:t>
      </w:r>
      <w:r>
        <w:rPr>
          <w:rFonts w:eastAsia="Times New Roman" w:cs="Times New Roman"/>
        </w:rPr>
        <w:t xml:space="preserve"> je provozování zařízení s </w:t>
      </w:r>
      <w:r w:rsidRPr="00373DD4">
        <w:rPr>
          <w:rFonts w:eastAsia="Times New Roman" w:cs="Times New Roman"/>
        </w:rPr>
        <w:t>rizikem havárie, nedostatečné řízení rizik při nakládání s chemickými látkami a management chemických látek</w:t>
      </w:r>
      <w:r>
        <w:rPr>
          <w:rFonts w:eastAsia="Times New Roman" w:cs="Times New Roman"/>
        </w:rPr>
        <w:t xml:space="preserve">, kde </w:t>
      </w:r>
      <w:r w:rsidRPr="00373DD4">
        <w:rPr>
          <w:rFonts w:eastAsia="Times New Roman" w:cs="Times New Roman"/>
        </w:rPr>
        <w:t xml:space="preserve">je </w:t>
      </w:r>
      <w:r>
        <w:rPr>
          <w:rFonts w:eastAsia="Times New Roman" w:cs="Times New Roman"/>
        </w:rPr>
        <w:t>nutno</w:t>
      </w:r>
      <w:r w:rsidRPr="00373DD4">
        <w:rPr>
          <w:rFonts w:eastAsia="Times New Roman" w:cs="Times New Roman"/>
        </w:rPr>
        <w:t xml:space="preserve"> efektivně implementovat novou právní úpravu EU, vybudovat potřebnou infrastrukturu pro hodnocení a řízení rizik a zabezpečit plošnou dostupnost informací o rizicích pro zdraví a životní prostředí.</w:t>
      </w:r>
    </w:p>
    <w:p w:rsidR="00B17192" w:rsidRPr="00373DD4" w:rsidRDefault="00B17192" w:rsidP="00B17192">
      <w:pPr>
        <w:autoSpaceDE w:val="0"/>
        <w:autoSpaceDN w:val="0"/>
        <w:adjustRightInd w:val="0"/>
        <w:contextualSpacing/>
        <w:rPr>
          <w:rFonts w:eastAsia="Times New Roman" w:cs="Times New Roman"/>
        </w:rPr>
      </w:pPr>
    </w:p>
    <w:p w:rsidR="00B17192" w:rsidRDefault="00B17192" w:rsidP="00B17192">
      <w:pPr>
        <w:autoSpaceDE w:val="0"/>
        <w:autoSpaceDN w:val="0"/>
        <w:adjustRightInd w:val="0"/>
        <w:contextualSpacing/>
        <w:rPr>
          <w:rFonts w:eastAsia="Times New Roman" w:cs="Times New Roman"/>
          <w:b/>
        </w:rPr>
      </w:pPr>
      <w:r w:rsidRPr="00373DD4">
        <w:rPr>
          <w:rFonts w:eastAsia="Times New Roman" w:cs="Times New Roman"/>
          <w:b/>
        </w:rPr>
        <w:t>Vyhodnocení přínosů OP ŽP 2007–2013</w:t>
      </w:r>
    </w:p>
    <w:p w:rsidR="00F43755" w:rsidRPr="00373DD4" w:rsidRDefault="00F43755" w:rsidP="00B17192">
      <w:pPr>
        <w:autoSpaceDE w:val="0"/>
        <w:autoSpaceDN w:val="0"/>
        <w:adjustRightInd w:val="0"/>
        <w:contextualSpacing/>
        <w:rPr>
          <w:rFonts w:eastAsia="Times New Roman" w:cs="Times New Roman"/>
          <w:b/>
        </w:rPr>
      </w:pPr>
    </w:p>
    <w:p w:rsidR="00B17192" w:rsidRPr="00373DD4" w:rsidRDefault="00B17192" w:rsidP="00B17192">
      <w:pPr>
        <w:autoSpaceDE w:val="0"/>
        <w:autoSpaceDN w:val="0"/>
        <w:adjustRightInd w:val="0"/>
        <w:contextualSpacing/>
        <w:rPr>
          <w:rFonts w:eastAsia="Times New Roman" w:cs="Times New Roman"/>
        </w:rPr>
      </w:pPr>
      <w:r w:rsidRPr="00373DD4">
        <w:rPr>
          <w:rFonts w:eastAsia="Times New Roman" w:cs="Times New Roman"/>
        </w:rPr>
        <w:t>V oblast</w:t>
      </w:r>
      <w:r>
        <w:rPr>
          <w:rFonts w:eastAsia="Times New Roman" w:cs="Times New Roman"/>
        </w:rPr>
        <w:t>i</w:t>
      </w:r>
      <w:r w:rsidRPr="00373DD4">
        <w:rPr>
          <w:rFonts w:eastAsia="Times New Roman" w:cs="Times New Roman"/>
        </w:rPr>
        <w:t xml:space="preserve"> podpory „Zkvalitnění nakládání s odpady“ vyhlášeno celkem 9 výzev pro individuální projekty a jedna výzva pro individuální a velké projekty. Po novelizaci POH ČR na konci r</w:t>
      </w:r>
      <w:r>
        <w:rPr>
          <w:rFonts w:eastAsia="Times New Roman" w:cs="Times New Roman"/>
        </w:rPr>
        <w:t xml:space="preserve">. </w:t>
      </w:r>
      <w:r w:rsidRPr="00373DD4">
        <w:rPr>
          <w:rFonts w:eastAsia="Times New Roman" w:cs="Times New Roman"/>
        </w:rPr>
        <w:t xml:space="preserve">2009, kdy byla umožněna podpora zařízení pro energetické využívání komunálních odpadů, mohla být vyhlášena výzva na jejich podporu, která </w:t>
      </w:r>
      <w:r>
        <w:rPr>
          <w:rFonts w:eastAsia="Times New Roman" w:cs="Times New Roman"/>
        </w:rPr>
        <w:t>zahrnovala také</w:t>
      </w:r>
      <w:r w:rsidRPr="00373DD4">
        <w:rPr>
          <w:rFonts w:eastAsia="Times New Roman" w:cs="Times New Roman"/>
        </w:rPr>
        <w:t xml:space="preserve"> podporu výstavby zařízení na</w:t>
      </w:r>
      <w:r>
        <w:rPr>
          <w:rFonts w:eastAsia="Times New Roman" w:cs="Times New Roman"/>
        </w:rPr>
        <w:t> </w:t>
      </w:r>
      <w:r w:rsidRPr="00373DD4">
        <w:rPr>
          <w:rFonts w:eastAsia="Times New Roman" w:cs="Times New Roman"/>
        </w:rPr>
        <w:t xml:space="preserve">mechanicko-biologickou úpravu komunálních odpadů. </w:t>
      </w:r>
    </w:p>
    <w:p w:rsidR="00B17192" w:rsidRDefault="00B17192" w:rsidP="00B17192">
      <w:pPr>
        <w:autoSpaceDE w:val="0"/>
        <w:autoSpaceDN w:val="0"/>
        <w:adjustRightInd w:val="0"/>
        <w:contextualSpacing/>
        <w:rPr>
          <w:rFonts w:eastAsia="Times New Roman" w:cs="Times New Roman"/>
        </w:rPr>
      </w:pPr>
    </w:p>
    <w:p w:rsidR="00B17192" w:rsidRDefault="00B17192" w:rsidP="00B17192">
      <w:pPr>
        <w:autoSpaceDE w:val="0"/>
        <w:autoSpaceDN w:val="0"/>
        <w:adjustRightInd w:val="0"/>
        <w:contextualSpacing/>
        <w:rPr>
          <w:rFonts w:eastAsia="Times New Roman" w:cs="Times New Roman"/>
        </w:rPr>
      </w:pPr>
      <w:r w:rsidRPr="00373DD4">
        <w:rPr>
          <w:rFonts w:eastAsia="Times New Roman" w:cs="Times New Roman"/>
        </w:rPr>
        <w:t>K datu 31. 12. 2013 byla fyzická realizace projektu ukončena u 1 110 projektů. Největší podíl projektů se týkal zkvalitňování nakládání s odpady. Výstavba sběrných dvorů (ke konci roku činila jejich plocha 487 927 m</w:t>
      </w:r>
      <w:r w:rsidRPr="00373DD4">
        <w:rPr>
          <w:rFonts w:eastAsia="Times New Roman" w:cs="Times New Roman"/>
          <w:vertAlign w:val="superscript"/>
        </w:rPr>
        <w:t>2</w:t>
      </w:r>
      <w:r w:rsidRPr="00373DD4">
        <w:rPr>
          <w:rFonts w:eastAsia="Times New Roman" w:cs="Times New Roman"/>
        </w:rPr>
        <w:t>), rekultivace skládek, pořízení zařízení na úpravu odpadů a další podpořené aktivity vedly ke zvýšení podílu recyklovaných odpadů</w:t>
      </w:r>
      <w:r>
        <w:rPr>
          <w:rFonts w:eastAsia="Times New Roman" w:cs="Times New Roman"/>
        </w:rPr>
        <w:t xml:space="preserve"> a </w:t>
      </w:r>
      <w:r w:rsidRPr="00373DD4">
        <w:rPr>
          <w:rFonts w:eastAsia="Times New Roman" w:cs="Times New Roman"/>
        </w:rPr>
        <w:t>zvýšení podílu využitého komunálního odpadu. Zvýšené množství sběrných dvorů, rekultivovaných ploch starých skládek (ke konci roku činily tyto plochy 621 208 m</w:t>
      </w:r>
      <w:r w:rsidRPr="00373DD4">
        <w:rPr>
          <w:rFonts w:eastAsia="Times New Roman" w:cs="Times New Roman"/>
          <w:vertAlign w:val="superscript"/>
        </w:rPr>
        <w:t>2</w:t>
      </w:r>
      <w:r w:rsidRPr="00373DD4">
        <w:rPr>
          <w:rFonts w:eastAsia="Times New Roman" w:cs="Times New Roman"/>
        </w:rPr>
        <w:t>) či odstranění nepovolených skládek v ZCHÚ pomohly k</w:t>
      </w:r>
      <w:r>
        <w:rPr>
          <w:rFonts w:eastAsia="Times New Roman" w:cs="Times New Roman"/>
        </w:rPr>
        <w:t xml:space="preserve"> omezení</w:t>
      </w:r>
      <w:r w:rsidRPr="00373DD4">
        <w:rPr>
          <w:rFonts w:eastAsia="Times New Roman" w:cs="Times New Roman"/>
        </w:rPr>
        <w:t xml:space="preserve"> negativních vlivů na zdraví a životní prostředí, zlepšilo se také využívání odpadů jako náhrady primárních zdrojů. Celková kapacita zařízení pro nakládání s odpady vzrostla na 6 886 288 t/rok a kapacita systému separace a svozu odpadů vzrostla díky podpoře z</w:t>
      </w:r>
      <w:r>
        <w:rPr>
          <w:rFonts w:eastAsia="Times New Roman" w:cs="Times New Roman"/>
        </w:rPr>
        <w:t> </w:t>
      </w:r>
      <w:proofErr w:type="gramStart"/>
      <w:r w:rsidRPr="00373DD4">
        <w:rPr>
          <w:rFonts w:eastAsia="Times New Roman" w:cs="Times New Roman"/>
        </w:rPr>
        <w:t>OP</w:t>
      </w:r>
      <w:proofErr w:type="gramEnd"/>
      <w:r>
        <w:rPr>
          <w:rFonts w:eastAsia="Times New Roman" w:cs="Times New Roman"/>
        </w:rPr>
        <w:t xml:space="preserve"> </w:t>
      </w:r>
      <w:r w:rsidRPr="00373DD4">
        <w:rPr>
          <w:rFonts w:eastAsia="Times New Roman" w:cs="Times New Roman"/>
        </w:rPr>
        <w:t>ŽP na 683 887 t/rok.</w:t>
      </w:r>
    </w:p>
    <w:p w:rsidR="00B17192" w:rsidRDefault="00B17192" w:rsidP="00B17192">
      <w:pPr>
        <w:autoSpaceDE w:val="0"/>
        <w:autoSpaceDN w:val="0"/>
        <w:adjustRightInd w:val="0"/>
        <w:contextualSpacing/>
        <w:rPr>
          <w:rFonts w:eastAsia="Times New Roman" w:cs="Times New Roman"/>
        </w:rPr>
      </w:pPr>
    </w:p>
    <w:p w:rsidR="00B17192" w:rsidRPr="002A3995" w:rsidRDefault="00B17192" w:rsidP="00B17192">
      <w:pPr>
        <w:autoSpaceDE w:val="0"/>
        <w:autoSpaceDN w:val="0"/>
        <w:adjustRightInd w:val="0"/>
        <w:contextualSpacing/>
        <w:rPr>
          <w:rFonts w:eastAsia="Times New Roman" w:cs="Times New Roman"/>
          <w:color w:val="FF0000"/>
        </w:rPr>
      </w:pPr>
      <w:r>
        <w:rPr>
          <w:rFonts w:eastAsia="Times New Roman" w:cs="Times New Roman"/>
        </w:rPr>
        <w:t xml:space="preserve"> </w:t>
      </w:r>
      <w:r w:rsidRPr="0033290F">
        <w:t>V oblasti podpory 4.2 „Odstraňování starých ekologických zá</w:t>
      </w:r>
      <w:r>
        <w:t xml:space="preserve">těží“ bylo v období programovém </w:t>
      </w:r>
      <w:r w:rsidRPr="0033290F">
        <w:t xml:space="preserve">období 2007-2013 vyhlášeno celkem 9 </w:t>
      </w:r>
      <w:r>
        <w:t>výzev pro individuální projekty</w:t>
      </w:r>
      <w:r w:rsidRPr="0033290F">
        <w:t xml:space="preserve"> a jedna výzva pro velké projekty.  K 20. 3. 2014 bylo realizováno celkem 120 projektů zaměřených na </w:t>
      </w:r>
      <w:r>
        <w:t>analýzy rizik a </w:t>
      </w:r>
      <w:proofErr w:type="spellStart"/>
      <w:r w:rsidRPr="0033290F">
        <w:t>doprůzkumy</w:t>
      </w:r>
      <w:proofErr w:type="spellEnd"/>
      <w:r w:rsidRPr="0033290F">
        <w:t xml:space="preserve"> kontaminovaných území, a 60 projektů, jejichž cílem bylo odstranění rizikové kontaminace na nejvážněji postižených lokalitách.</w:t>
      </w:r>
    </w:p>
    <w:p w:rsidR="00B17192" w:rsidRDefault="00B17192" w:rsidP="00B17192">
      <w:pPr>
        <w:autoSpaceDE w:val="0"/>
        <w:autoSpaceDN w:val="0"/>
        <w:adjustRightInd w:val="0"/>
        <w:contextualSpacing/>
        <w:rPr>
          <w:rFonts w:eastAsia="Times New Roman" w:cs="Times New Roman"/>
        </w:rPr>
      </w:pPr>
    </w:p>
    <w:p w:rsidR="00B17192" w:rsidRDefault="00B17192" w:rsidP="00B17192">
      <w:pPr>
        <w:autoSpaceDE w:val="0"/>
        <w:autoSpaceDN w:val="0"/>
        <w:adjustRightInd w:val="0"/>
        <w:contextualSpacing/>
        <w:rPr>
          <w:rFonts w:eastAsia="Times New Roman" w:cs="Times New Roman"/>
        </w:rPr>
      </w:pPr>
    </w:p>
    <w:p w:rsidR="009F671A" w:rsidRDefault="009F671A" w:rsidP="00B17192">
      <w:pPr>
        <w:autoSpaceDE w:val="0"/>
        <w:autoSpaceDN w:val="0"/>
        <w:adjustRightInd w:val="0"/>
        <w:contextualSpacing/>
        <w:rPr>
          <w:rFonts w:eastAsia="Times New Roman" w:cs="Times New Roman"/>
        </w:rPr>
      </w:pPr>
    </w:p>
    <w:p w:rsidR="009F671A" w:rsidRDefault="009F671A" w:rsidP="00B17192">
      <w:pPr>
        <w:autoSpaceDE w:val="0"/>
        <w:autoSpaceDN w:val="0"/>
        <w:adjustRightInd w:val="0"/>
        <w:contextualSpacing/>
        <w:rPr>
          <w:rFonts w:eastAsia="Times New Roman" w:cs="Times New Roman"/>
        </w:rPr>
      </w:pPr>
    </w:p>
    <w:p w:rsidR="009F671A" w:rsidRPr="00373DD4" w:rsidRDefault="009F671A" w:rsidP="00B17192">
      <w:pPr>
        <w:autoSpaceDE w:val="0"/>
        <w:autoSpaceDN w:val="0"/>
        <w:adjustRightInd w:val="0"/>
        <w:contextualSpacing/>
        <w:rPr>
          <w:rFonts w:eastAsia="Times New Roman" w:cs="Times New Roman"/>
        </w:rPr>
      </w:pPr>
    </w:p>
    <w:p w:rsidR="00B17192" w:rsidRPr="00373DD4" w:rsidRDefault="00B17192" w:rsidP="00B17192">
      <w:pPr>
        <w:rPr>
          <w:rFonts w:eastAsia="Times New Roman" w:cs="Times New Roman"/>
          <w:b/>
        </w:rPr>
      </w:pPr>
      <w:r w:rsidRPr="00373DD4">
        <w:rPr>
          <w:rFonts w:eastAsia="Times New Roman" w:cs="Times New Roman"/>
          <w:b/>
        </w:rPr>
        <w:lastRenderedPageBreak/>
        <w:t xml:space="preserve">Strategický přístup </w:t>
      </w:r>
    </w:p>
    <w:p w:rsidR="00B17192" w:rsidRPr="00373DD4" w:rsidRDefault="00B17192" w:rsidP="00B17192">
      <w:pPr>
        <w:rPr>
          <w:rFonts w:eastAsia="Times New Roman" w:cs="Times New Roman"/>
        </w:rPr>
      </w:pPr>
      <w:r w:rsidRPr="00373DD4">
        <w:rPr>
          <w:rFonts w:eastAsia="Times New Roman" w:cs="Times New Roman"/>
        </w:rPr>
        <w:t>Prioritní osa 3: Odpady, materiálové toky, ekologické zátěže a rizika (dále jen „PO 3“) je formulována v souladu s probíhající revizí politiky a legislativy EU v oblasti nakládání s odpady popsanou v dokumentu “</w:t>
      </w:r>
      <w:r w:rsidRPr="00373DD4">
        <w:rPr>
          <w:rFonts w:eastAsia="Times New Roman" w:cs="Times New Roman"/>
          <w:b/>
        </w:rPr>
        <w:t>Plán revize politiky a legislativy v oblasti nakládání s odpady</w:t>
      </w:r>
      <w:r w:rsidRPr="00373DD4">
        <w:rPr>
          <w:rFonts w:eastAsia="Times New Roman" w:cs="Times New Roman"/>
        </w:rPr>
        <w:t>” a v koordinaci s implementací „</w:t>
      </w:r>
      <w:r w:rsidRPr="00373DD4">
        <w:rPr>
          <w:rFonts w:eastAsia="Times New Roman" w:cs="Times New Roman"/>
          <w:b/>
        </w:rPr>
        <w:t>Plánu pro Evropu účinněji využívající zdroje</w:t>
      </w:r>
      <w:r w:rsidRPr="00373DD4">
        <w:rPr>
          <w:rFonts w:eastAsia="Times New Roman" w:cs="Times New Roman"/>
        </w:rPr>
        <w:t xml:space="preserve">“, který stanoví </w:t>
      </w:r>
      <w:r w:rsidRPr="00373DD4">
        <w:rPr>
          <w:rFonts w:eastAsia="Times New Roman" w:cs="Times New Roman"/>
          <w:b/>
        </w:rPr>
        <w:t xml:space="preserve">dílčí cíl: </w:t>
      </w:r>
      <w:r w:rsidRPr="00373DD4">
        <w:rPr>
          <w:rFonts w:eastAsia="Times New Roman" w:cs="Times New Roman"/>
        </w:rPr>
        <w:t>Do r</w:t>
      </w:r>
      <w:r>
        <w:rPr>
          <w:rFonts w:eastAsia="Times New Roman" w:cs="Times New Roman"/>
        </w:rPr>
        <w:t>.</w:t>
      </w:r>
      <w:r w:rsidR="009F671A">
        <w:rPr>
          <w:rFonts w:eastAsia="Times New Roman" w:cs="Times New Roman"/>
        </w:rPr>
        <w:t xml:space="preserve"> </w:t>
      </w:r>
      <w:r w:rsidRPr="00373DD4">
        <w:rPr>
          <w:rFonts w:eastAsia="Times New Roman" w:cs="Times New Roman"/>
        </w:rPr>
        <w:t>2020 se s odpadem začne nakládat jako se zdrojem, energeticky se budou znovu používat již jen nerecyklovatelné materiály a na skládky se nebude odkládat prakticky žádný odpad a bude zajištěna vysoce kvalitní recyklace.</w:t>
      </w:r>
    </w:p>
    <w:p w:rsidR="00B17192" w:rsidRPr="00373DD4" w:rsidRDefault="00B17192" w:rsidP="00B17192">
      <w:pPr>
        <w:rPr>
          <w:rFonts w:eastAsia="Times New Roman" w:cs="Times New Roman"/>
          <w:b/>
        </w:rPr>
      </w:pPr>
      <w:r w:rsidRPr="00373DD4">
        <w:rPr>
          <w:rFonts w:eastAsia="Calibri" w:cs="Times New Roman"/>
        </w:rPr>
        <w:t xml:space="preserve">Na národní úrovni je PO 3 formulována v souladu se </w:t>
      </w:r>
      <w:r w:rsidRPr="00373DD4">
        <w:rPr>
          <w:rFonts w:eastAsia="Calibri" w:cs="Times New Roman"/>
          <w:b/>
        </w:rPr>
        <w:t xml:space="preserve">Státní politikou životního prostředí ČR </w:t>
      </w:r>
      <w:r w:rsidRPr="00373DD4">
        <w:rPr>
          <w:rFonts w:eastAsia="Times New Roman" w:cs="Times New Roman"/>
          <w:b/>
        </w:rPr>
        <w:t>2012</w:t>
      </w:r>
      <w:r>
        <w:rPr>
          <w:rFonts w:eastAsia="Times New Roman" w:cs="Times New Roman"/>
          <w:b/>
        </w:rPr>
        <w:noBreakHyphen/>
      </w:r>
      <w:r w:rsidRPr="00373DD4">
        <w:rPr>
          <w:rFonts w:eastAsia="Times New Roman" w:cs="Times New Roman"/>
          <w:b/>
        </w:rPr>
        <w:t>2020, schválenou vládou ČR dne 9. 1. 2013, která</w:t>
      </w:r>
      <w:r w:rsidRPr="00373DD4">
        <w:rPr>
          <w:rFonts w:eastAsia="Times New Roman" w:cs="Times New Roman"/>
        </w:rPr>
        <w:t xml:space="preserve"> stanovuje pro oblast nakládání s odpady a snižování rizik následující </w:t>
      </w:r>
      <w:r w:rsidRPr="00373DD4">
        <w:rPr>
          <w:rFonts w:eastAsia="Times New Roman" w:cs="Times New Roman"/>
          <w:b/>
        </w:rPr>
        <w:t>cíle:</w:t>
      </w:r>
    </w:p>
    <w:p w:rsidR="00B17192" w:rsidRPr="00373DD4" w:rsidRDefault="00B17192" w:rsidP="00B17192">
      <w:pPr>
        <w:numPr>
          <w:ilvl w:val="0"/>
          <w:numId w:val="79"/>
        </w:numPr>
        <w:contextualSpacing/>
        <w:rPr>
          <w:rFonts w:eastAsia="Times New Roman" w:cs="Times New Roman"/>
        </w:rPr>
      </w:pPr>
      <w:r>
        <w:rPr>
          <w:rFonts w:eastAsia="Times New Roman" w:cs="Times New Roman"/>
        </w:rPr>
        <w:t>s</w:t>
      </w:r>
      <w:r w:rsidRPr="00373DD4">
        <w:rPr>
          <w:rFonts w:eastAsia="Times New Roman" w:cs="Times New Roman"/>
        </w:rPr>
        <w:t>nížení podílu skládkování na celkovém odstraňování odpadů</w:t>
      </w:r>
      <w:r>
        <w:rPr>
          <w:rFonts w:eastAsia="Times New Roman" w:cs="Times New Roman"/>
        </w:rPr>
        <w:t>,</w:t>
      </w:r>
    </w:p>
    <w:p w:rsidR="00B17192" w:rsidRPr="00373DD4" w:rsidRDefault="00B17192" w:rsidP="00B17192">
      <w:pPr>
        <w:numPr>
          <w:ilvl w:val="0"/>
          <w:numId w:val="79"/>
        </w:numPr>
        <w:contextualSpacing/>
        <w:rPr>
          <w:rFonts w:eastAsia="Times New Roman" w:cs="Times New Roman"/>
        </w:rPr>
      </w:pPr>
      <w:r>
        <w:rPr>
          <w:rFonts w:eastAsia="Times New Roman" w:cs="Times New Roman"/>
        </w:rPr>
        <w:t>z</w:t>
      </w:r>
      <w:r w:rsidRPr="00373DD4">
        <w:rPr>
          <w:rFonts w:eastAsia="Times New Roman" w:cs="Times New Roman"/>
        </w:rPr>
        <w:t>vyšování materiálového a energetického využití komunálních odpadů a odpadů podobných komunálním</w:t>
      </w:r>
      <w:r>
        <w:rPr>
          <w:rFonts w:eastAsia="Times New Roman" w:cs="Times New Roman"/>
        </w:rPr>
        <w:t>,</w:t>
      </w:r>
    </w:p>
    <w:p w:rsidR="00B17192" w:rsidRPr="00373DD4" w:rsidRDefault="00B17192" w:rsidP="00B17192">
      <w:pPr>
        <w:numPr>
          <w:ilvl w:val="0"/>
          <w:numId w:val="79"/>
        </w:numPr>
        <w:contextualSpacing/>
        <w:rPr>
          <w:rFonts w:eastAsia="Times New Roman" w:cs="Times New Roman"/>
        </w:rPr>
      </w:pPr>
      <w:r>
        <w:rPr>
          <w:rFonts w:eastAsia="Times New Roman" w:cs="Times New Roman"/>
        </w:rPr>
        <w:t>p</w:t>
      </w:r>
      <w:r w:rsidRPr="00373DD4">
        <w:rPr>
          <w:rFonts w:eastAsia="Times New Roman" w:cs="Times New Roman"/>
        </w:rPr>
        <w:t>ředcházení vzniku odpadů</w:t>
      </w:r>
      <w:r>
        <w:rPr>
          <w:rFonts w:eastAsia="Times New Roman" w:cs="Times New Roman"/>
        </w:rPr>
        <w:t>,</w:t>
      </w:r>
    </w:p>
    <w:p w:rsidR="00B17192" w:rsidRPr="00373DD4" w:rsidRDefault="00B17192" w:rsidP="00B17192">
      <w:pPr>
        <w:numPr>
          <w:ilvl w:val="0"/>
          <w:numId w:val="79"/>
        </w:numPr>
        <w:contextualSpacing/>
        <w:rPr>
          <w:rFonts w:eastAsia="Times New Roman" w:cs="Times New Roman"/>
        </w:rPr>
      </w:pPr>
      <w:r>
        <w:rPr>
          <w:rFonts w:eastAsia="Times New Roman" w:cs="Times New Roman"/>
        </w:rPr>
        <w:t>o</w:t>
      </w:r>
      <w:r w:rsidRPr="00373DD4">
        <w:rPr>
          <w:rFonts w:eastAsia="Times New Roman" w:cs="Times New Roman"/>
        </w:rPr>
        <w:t>mezování a regulování kontaminaci a ostatní degradaci půdy a hornin způsobenou lidskou činností</w:t>
      </w:r>
      <w:r>
        <w:rPr>
          <w:rFonts w:eastAsia="Times New Roman" w:cs="Times New Roman"/>
        </w:rPr>
        <w:t>,</w:t>
      </w:r>
    </w:p>
    <w:p w:rsidR="00B17192" w:rsidRPr="00373DD4" w:rsidRDefault="00B17192" w:rsidP="00B17192">
      <w:pPr>
        <w:numPr>
          <w:ilvl w:val="0"/>
          <w:numId w:val="79"/>
        </w:numPr>
        <w:contextualSpacing/>
        <w:rPr>
          <w:rFonts w:eastAsia="Times New Roman" w:cs="Times New Roman"/>
        </w:rPr>
      </w:pPr>
      <w:r>
        <w:rPr>
          <w:rFonts w:eastAsia="Times New Roman" w:cs="Times New Roman"/>
        </w:rPr>
        <w:t>s</w:t>
      </w:r>
      <w:r w:rsidRPr="00373DD4">
        <w:rPr>
          <w:rFonts w:eastAsia="Times New Roman" w:cs="Times New Roman"/>
        </w:rPr>
        <w:t>anování kontaminovaných míst, včetně starých ekologických zátěží a lokalit zatížených municí, náprava ekologických škod</w:t>
      </w:r>
      <w:r>
        <w:rPr>
          <w:rFonts w:eastAsia="Times New Roman" w:cs="Times New Roman"/>
        </w:rPr>
        <w:t>,</w:t>
      </w:r>
    </w:p>
    <w:p w:rsidR="00B17192" w:rsidRPr="00373DD4" w:rsidRDefault="00B17192" w:rsidP="00B17192">
      <w:pPr>
        <w:numPr>
          <w:ilvl w:val="0"/>
          <w:numId w:val="79"/>
        </w:numPr>
        <w:contextualSpacing/>
        <w:rPr>
          <w:rFonts w:eastAsia="Times New Roman" w:cs="Times New Roman"/>
        </w:rPr>
      </w:pPr>
      <w:r>
        <w:rPr>
          <w:rFonts w:eastAsia="Times New Roman" w:cs="Times New Roman"/>
        </w:rPr>
        <w:t>z</w:t>
      </w:r>
      <w:r w:rsidRPr="00373DD4">
        <w:rPr>
          <w:rFonts w:eastAsia="Times New Roman" w:cs="Times New Roman"/>
        </w:rPr>
        <w:t>ahlazování a předcházení následků po hornické činnosti a těžbě nerostných surovin</w:t>
      </w:r>
      <w:r>
        <w:rPr>
          <w:rFonts w:eastAsia="Times New Roman" w:cs="Times New Roman"/>
        </w:rPr>
        <w:t>,</w:t>
      </w:r>
    </w:p>
    <w:p w:rsidR="00B17192" w:rsidRPr="00373DD4" w:rsidRDefault="00B17192" w:rsidP="00B17192">
      <w:pPr>
        <w:numPr>
          <w:ilvl w:val="0"/>
          <w:numId w:val="79"/>
        </w:numPr>
        <w:contextualSpacing/>
        <w:rPr>
          <w:rFonts w:eastAsia="Times New Roman" w:cs="Times New Roman"/>
        </w:rPr>
      </w:pPr>
      <w:r>
        <w:rPr>
          <w:rFonts w:eastAsia="Times New Roman" w:cs="Times New Roman"/>
        </w:rPr>
        <w:t>p</w:t>
      </w:r>
      <w:r w:rsidRPr="00373DD4">
        <w:rPr>
          <w:rFonts w:eastAsia="Times New Roman" w:cs="Times New Roman"/>
        </w:rPr>
        <w:t>ředcházení vzniku antropogenních rizik</w:t>
      </w:r>
      <w:r>
        <w:rPr>
          <w:rFonts w:eastAsia="Times New Roman" w:cs="Times New Roman"/>
        </w:rPr>
        <w:t>,</w:t>
      </w:r>
    </w:p>
    <w:p w:rsidR="00B17192" w:rsidRDefault="00B17192" w:rsidP="00B17192">
      <w:pPr>
        <w:numPr>
          <w:ilvl w:val="0"/>
          <w:numId w:val="79"/>
        </w:numPr>
        <w:contextualSpacing/>
        <w:rPr>
          <w:rFonts w:eastAsia="Times New Roman" w:cs="Times New Roman"/>
        </w:rPr>
      </w:pPr>
      <w:r>
        <w:rPr>
          <w:rFonts w:eastAsia="Times New Roman" w:cs="Times New Roman"/>
        </w:rPr>
        <w:t>p</w:t>
      </w:r>
      <w:r w:rsidRPr="00373DD4">
        <w:rPr>
          <w:rFonts w:eastAsia="Times New Roman" w:cs="Times New Roman"/>
        </w:rPr>
        <w:t>revence a zmírňování následků krizových situací na životní prostředí.</w:t>
      </w:r>
    </w:p>
    <w:p w:rsidR="00B17192" w:rsidRPr="00373DD4" w:rsidRDefault="00B17192" w:rsidP="00B17192">
      <w:pPr>
        <w:ind w:left="720"/>
        <w:contextualSpacing/>
        <w:rPr>
          <w:rFonts w:eastAsia="Times New Roman" w:cs="Times New Roman"/>
        </w:rPr>
      </w:pPr>
    </w:p>
    <w:p w:rsidR="00B17192" w:rsidRPr="00373DD4" w:rsidRDefault="00B17192" w:rsidP="00B17192">
      <w:pPr>
        <w:rPr>
          <w:rFonts w:eastAsia="Times New Roman" w:cs="Times New Roman"/>
        </w:rPr>
      </w:pPr>
      <w:r w:rsidRPr="00373DD4">
        <w:rPr>
          <w:rFonts w:eastAsia="Times New Roman" w:cs="Times New Roman"/>
        </w:rPr>
        <w:t>Pro každý z</w:t>
      </w:r>
      <w:r>
        <w:rPr>
          <w:rFonts w:eastAsia="Times New Roman" w:cs="Times New Roman"/>
        </w:rPr>
        <w:t xml:space="preserve"> </w:t>
      </w:r>
      <w:r w:rsidRPr="00373DD4">
        <w:rPr>
          <w:rFonts w:eastAsia="Times New Roman" w:cs="Times New Roman"/>
        </w:rPr>
        <w:t>cílů jsou navržena konkrétní opatření včetně termínu realizace, odpovědnosti orgánů státní správy (zejména relevantních ministerstev) za implementaci a indikátorů.</w:t>
      </w:r>
    </w:p>
    <w:p w:rsidR="00B17192" w:rsidRPr="00373DD4" w:rsidRDefault="00B17192" w:rsidP="00B17192">
      <w:pPr>
        <w:rPr>
          <w:rFonts w:eastAsia="Times New Roman" w:cs="Helv"/>
        </w:rPr>
      </w:pPr>
      <w:r w:rsidRPr="00373DD4">
        <w:rPr>
          <w:rFonts w:eastAsia="Times New Roman" w:cs="Times New Roman"/>
        </w:rPr>
        <w:t xml:space="preserve">Strategie PO3 se opírá o </w:t>
      </w:r>
      <w:r w:rsidRPr="00373DD4">
        <w:rPr>
          <w:rFonts w:eastAsia="Times New Roman" w:cs="Helv"/>
          <w:b/>
        </w:rPr>
        <w:t>Plán odpadového hospodářství ČR</w:t>
      </w:r>
      <w:r w:rsidRPr="00373DD4">
        <w:rPr>
          <w:rFonts w:eastAsia="Times New Roman" w:cs="Helv"/>
        </w:rPr>
        <w:t xml:space="preserve"> (POH), který je základním strategickým dokumentem a nástrojem pro řízení odpadového hospodářství.  V současnosti je platný POH z</w:t>
      </w:r>
      <w:r>
        <w:rPr>
          <w:rFonts w:eastAsia="Times New Roman" w:cs="Helv"/>
        </w:rPr>
        <w:t> </w:t>
      </w:r>
      <w:r w:rsidRPr="00373DD4">
        <w:rPr>
          <w:rFonts w:eastAsia="Times New Roman" w:cs="Helv"/>
        </w:rPr>
        <w:t>r</w:t>
      </w:r>
      <w:r>
        <w:rPr>
          <w:rFonts w:eastAsia="Times New Roman" w:cs="Helv"/>
        </w:rPr>
        <w:t>.</w:t>
      </w:r>
      <w:r w:rsidR="005B406E">
        <w:rPr>
          <w:rFonts w:eastAsia="Times New Roman" w:cs="Helv"/>
        </w:rPr>
        <w:t xml:space="preserve"> 2003. </w:t>
      </w:r>
      <w:proofErr w:type="gramStart"/>
      <w:r w:rsidR="005B406E">
        <w:rPr>
          <w:rFonts w:eastAsia="Times New Roman" w:cs="Helv"/>
        </w:rPr>
        <w:t>POH</w:t>
      </w:r>
      <w:r w:rsidRPr="00373DD4">
        <w:rPr>
          <w:rFonts w:eastAsia="Times New Roman" w:cs="Helv"/>
        </w:rPr>
        <w:t xml:space="preserve"> byl</w:t>
      </w:r>
      <w:proofErr w:type="gramEnd"/>
      <w:r w:rsidRPr="00373DD4">
        <w:rPr>
          <w:rFonts w:eastAsia="Times New Roman" w:cs="Helv"/>
        </w:rPr>
        <w:t xml:space="preserve"> vyhlášen nařízením vlády a je zpracován na dobu nejméně 10 let (původně do 1. </w:t>
      </w:r>
      <w:r>
        <w:rPr>
          <w:rFonts w:eastAsia="Times New Roman" w:cs="Helv"/>
        </w:rPr>
        <w:t>7.</w:t>
      </w:r>
      <w:r w:rsidRPr="00373DD4">
        <w:rPr>
          <w:rFonts w:eastAsia="Times New Roman" w:cs="Helv"/>
        </w:rPr>
        <w:t xml:space="preserve"> 2013).</w:t>
      </w:r>
      <w:r>
        <w:rPr>
          <w:rFonts w:eastAsia="Times New Roman" w:cs="Helv"/>
        </w:rPr>
        <w:t>, jeho p</w:t>
      </w:r>
      <w:r w:rsidRPr="00373DD4">
        <w:rPr>
          <w:rFonts w:eastAsia="Times New Roman" w:cs="Helv"/>
        </w:rPr>
        <w:t xml:space="preserve">latnost však byla </w:t>
      </w:r>
      <w:r>
        <w:rPr>
          <w:rFonts w:eastAsia="Times New Roman" w:cs="Helv"/>
        </w:rPr>
        <w:t xml:space="preserve">vládou </w:t>
      </w:r>
      <w:r w:rsidRPr="00373DD4">
        <w:rPr>
          <w:rFonts w:eastAsia="Times New Roman" w:cs="Helv"/>
        </w:rPr>
        <w:t>prodloužena</w:t>
      </w:r>
      <w:r>
        <w:rPr>
          <w:rFonts w:eastAsia="Times New Roman" w:cs="Helv"/>
        </w:rPr>
        <w:t xml:space="preserve"> </w:t>
      </w:r>
      <w:r w:rsidRPr="00373DD4">
        <w:rPr>
          <w:rFonts w:eastAsia="Times New Roman" w:cs="Helv"/>
        </w:rPr>
        <w:t>do konce r</w:t>
      </w:r>
      <w:r>
        <w:rPr>
          <w:rFonts w:eastAsia="Times New Roman" w:cs="Helv"/>
        </w:rPr>
        <w:t>.</w:t>
      </w:r>
      <w:r w:rsidRPr="00373DD4">
        <w:rPr>
          <w:rFonts w:eastAsia="Times New Roman" w:cs="Helv"/>
        </w:rPr>
        <w:t xml:space="preserve"> 2014</w:t>
      </w:r>
      <w:r>
        <w:rPr>
          <w:rFonts w:eastAsia="Times New Roman" w:cs="Helv"/>
        </w:rPr>
        <w:t xml:space="preserve">. </w:t>
      </w:r>
      <w:r w:rsidRPr="00373DD4">
        <w:rPr>
          <w:rFonts w:eastAsia="Times New Roman" w:cs="Helv"/>
        </w:rPr>
        <w:t xml:space="preserve"> </w:t>
      </w:r>
      <w:proofErr w:type="gramStart"/>
      <w:r>
        <w:rPr>
          <w:rFonts w:eastAsia="Times New Roman" w:cs="Helv"/>
        </w:rPr>
        <w:t xml:space="preserve">Stávající </w:t>
      </w:r>
      <w:r w:rsidRPr="00373DD4">
        <w:rPr>
          <w:rFonts w:eastAsia="Times New Roman" w:cs="Helv"/>
        </w:rPr>
        <w:t xml:space="preserve"> POH</w:t>
      </w:r>
      <w:proofErr w:type="gramEnd"/>
      <w:r w:rsidRPr="00373DD4">
        <w:rPr>
          <w:rFonts w:eastAsia="Times New Roman" w:cs="Helv"/>
        </w:rPr>
        <w:t xml:space="preserve"> je navržen v souladu s hierarchií nakládání s odpady dle směrnice o odpadech. V současné době ČR </w:t>
      </w:r>
      <w:proofErr w:type="gramStart"/>
      <w:r w:rsidRPr="00373DD4">
        <w:rPr>
          <w:rFonts w:eastAsia="Times New Roman" w:cs="Helv"/>
        </w:rPr>
        <w:t>dokončuje</w:t>
      </w:r>
      <w:proofErr w:type="gramEnd"/>
      <w:r w:rsidRPr="00373DD4">
        <w:rPr>
          <w:rFonts w:eastAsia="Times New Roman" w:cs="Helv"/>
        </w:rPr>
        <w:t xml:space="preserve"> přípravy nového </w:t>
      </w:r>
      <w:proofErr w:type="gramStart"/>
      <w:r w:rsidRPr="00373DD4">
        <w:rPr>
          <w:rFonts w:eastAsia="Times New Roman" w:cs="Helv"/>
        </w:rPr>
        <w:t>POH</w:t>
      </w:r>
      <w:proofErr w:type="gramEnd"/>
      <w:r w:rsidRPr="00373DD4">
        <w:rPr>
          <w:rFonts w:eastAsia="Times New Roman" w:cs="Helv"/>
        </w:rPr>
        <w:t xml:space="preserve"> na období 2015</w:t>
      </w:r>
      <w:r w:rsidRPr="00373DD4">
        <w:rPr>
          <w:rFonts w:eastAsia="Times New Roman" w:cs="Helv"/>
        </w:rPr>
        <w:noBreakHyphen/>
        <w:t>2024</w:t>
      </w:r>
      <w:r>
        <w:rPr>
          <w:rFonts w:eastAsia="Times New Roman" w:cs="Helv"/>
        </w:rPr>
        <w:t>, který</w:t>
      </w:r>
      <w:r w:rsidRPr="00373DD4">
        <w:rPr>
          <w:rFonts w:eastAsia="Times New Roman" w:cs="Helv"/>
        </w:rPr>
        <w:t xml:space="preserve"> bude předložen vládě ČR do konce r</w:t>
      </w:r>
      <w:r>
        <w:rPr>
          <w:rFonts w:eastAsia="Times New Roman" w:cs="Helv"/>
        </w:rPr>
        <w:t>.</w:t>
      </w:r>
      <w:r w:rsidRPr="00373DD4">
        <w:rPr>
          <w:rFonts w:eastAsia="Times New Roman" w:cs="Helv"/>
        </w:rPr>
        <w:t xml:space="preserve"> 2014 tak, aby jeho závazná </w:t>
      </w:r>
      <w:r>
        <w:rPr>
          <w:rFonts w:eastAsia="Times New Roman" w:cs="Helv"/>
        </w:rPr>
        <w:t>část</w:t>
      </w:r>
      <w:r w:rsidRPr="00373DD4">
        <w:rPr>
          <w:rFonts w:eastAsia="Times New Roman" w:cs="Helv"/>
        </w:rPr>
        <w:t xml:space="preserve"> nabyl</w:t>
      </w:r>
      <w:r>
        <w:rPr>
          <w:rFonts w:eastAsia="Times New Roman" w:cs="Helv"/>
        </w:rPr>
        <w:t>a</w:t>
      </w:r>
      <w:r w:rsidRPr="00373DD4">
        <w:rPr>
          <w:rFonts w:eastAsia="Times New Roman" w:cs="Helv"/>
        </w:rPr>
        <w:t xml:space="preserve"> účinnosti od 1. </w:t>
      </w:r>
      <w:r>
        <w:rPr>
          <w:rFonts w:eastAsia="Times New Roman" w:cs="Helv"/>
        </w:rPr>
        <w:t xml:space="preserve">1.2015. Do této doby </w:t>
      </w:r>
      <w:proofErr w:type="gramStart"/>
      <w:r>
        <w:rPr>
          <w:rFonts w:eastAsia="Times New Roman" w:cs="Helv"/>
        </w:rPr>
        <w:t>zůstává</w:t>
      </w:r>
      <w:proofErr w:type="gramEnd"/>
      <w:r>
        <w:rPr>
          <w:rFonts w:eastAsia="Times New Roman" w:cs="Helv"/>
        </w:rPr>
        <w:t xml:space="preserve"> v </w:t>
      </w:r>
      <w:r w:rsidRPr="00373DD4">
        <w:rPr>
          <w:rFonts w:eastAsia="Times New Roman" w:cs="Helv"/>
        </w:rPr>
        <w:t xml:space="preserve">platnosti stávající </w:t>
      </w:r>
      <w:proofErr w:type="gramStart"/>
      <w:r w:rsidRPr="00373DD4">
        <w:rPr>
          <w:rFonts w:eastAsia="Times New Roman" w:cs="Helv"/>
        </w:rPr>
        <w:t>POH</w:t>
      </w:r>
      <w:proofErr w:type="gramEnd"/>
      <w:r w:rsidRPr="00373DD4">
        <w:rPr>
          <w:rFonts w:eastAsia="Times New Roman" w:cs="Helv"/>
        </w:rPr>
        <w:t xml:space="preserve"> ČR.</w:t>
      </w:r>
    </w:p>
    <w:p w:rsidR="00B17192" w:rsidRPr="00373DD4" w:rsidRDefault="009F671A" w:rsidP="00B17192">
      <w:pPr>
        <w:rPr>
          <w:rFonts w:eastAsia="Times New Roman" w:cs="Times New Roman"/>
        </w:rPr>
      </w:pPr>
      <w:r>
        <w:rPr>
          <w:rFonts w:eastAsia="Times New Roman" w:cs="Arial"/>
        </w:rPr>
        <w:t>POH</w:t>
      </w:r>
      <w:r w:rsidR="00B17192" w:rsidRPr="00373DD4">
        <w:rPr>
          <w:rFonts w:eastAsia="Times New Roman" w:cs="Arial"/>
        </w:rPr>
        <w:t xml:space="preserve"> je určujícím dokumentem pro vypracování plánů odpadového hospodářství krajů</w:t>
      </w:r>
      <w:r w:rsidR="00B17192">
        <w:rPr>
          <w:rFonts w:eastAsia="Times New Roman" w:cs="Arial"/>
        </w:rPr>
        <w:t xml:space="preserve"> a jeho</w:t>
      </w:r>
      <w:r w:rsidR="00B17192" w:rsidRPr="00373DD4">
        <w:rPr>
          <w:rFonts w:eastAsia="Times New Roman" w:cs="Arial"/>
        </w:rPr>
        <w:t xml:space="preserve"> </w:t>
      </w:r>
      <w:r w:rsidR="00B17192">
        <w:rPr>
          <w:rFonts w:eastAsia="Times New Roman" w:cs="Arial"/>
        </w:rPr>
        <w:t>z</w:t>
      </w:r>
      <w:r w:rsidR="00B17192" w:rsidRPr="00373DD4">
        <w:rPr>
          <w:rFonts w:eastAsia="Times New Roman" w:cs="Arial"/>
        </w:rPr>
        <w:t xml:space="preserve">ávazná část POH je </w:t>
      </w:r>
      <w:r w:rsidR="00B17192">
        <w:rPr>
          <w:rFonts w:eastAsia="Times New Roman" w:cs="Arial"/>
        </w:rPr>
        <w:t xml:space="preserve">povinným </w:t>
      </w:r>
      <w:r w:rsidR="00B17192" w:rsidRPr="00373DD4">
        <w:rPr>
          <w:rFonts w:eastAsia="Times New Roman" w:cs="Arial"/>
        </w:rPr>
        <w:t>podkladem pro rozhodování přísl</w:t>
      </w:r>
      <w:r w:rsidR="00B17192">
        <w:rPr>
          <w:rFonts w:eastAsia="Times New Roman" w:cs="Arial"/>
        </w:rPr>
        <w:t>ušných správních úřadů, krajů a </w:t>
      </w:r>
      <w:r w:rsidR="00B17192" w:rsidRPr="00373DD4">
        <w:rPr>
          <w:rFonts w:eastAsia="Times New Roman" w:cs="Arial"/>
        </w:rPr>
        <w:t xml:space="preserve">obcí. </w:t>
      </w:r>
      <w:r w:rsidR="00B17192" w:rsidRPr="00373DD4">
        <w:rPr>
          <w:rFonts w:eastAsia="Times New Roman" w:cs="Times New Roman"/>
        </w:rPr>
        <w:t xml:space="preserve">Strategickými cíli nového </w:t>
      </w:r>
      <w:proofErr w:type="gramStart"/>
      <w:r w:rsidR="00B17192" w:rsidRPr="00373DD4">
        <w:rPr>
          <w:rFonts w:eastAsia="Times New Roman" w:cs="Times New Roman"/>
        </w:rPr>
        <w:t>POH jsou</w:t>
      </w:r>
      <w:proofErr w:type="gramEnd"/>
      <w:r w:rsidR="00B17192" w:rsidRPr="00373DD4">
        <w:rPr>
          <w:rFonts w:eastAsia="Times New Roman" w:cs="Times New Roman"/>
        </w:rPr>
        <w:t xml:space="preserve">: </w:t>
      </w:r>
      <w:r w:rsidR="00B17192" w:rsidRPr="00373DD4">
        <w:rPr>
          <w:rFonts w:eastAsia="Times New Roman" w:cs="Calibri"/>
        </w:rPr>
        <w:t xml:space="preserve">předcházení vzniku odpadů a snižování měrné produkce odpadů, minimalizace nepříznivých účinků vzniku odpadů a nakládání s nimi na lidské zdraví a životní prostředí, udržitelný rozvoj společnosti a přiblížení se k evropské „recyklační společnosti“, maximální využívání odpadů jako náhrady primárních zdrojů.  Nový </w:t>
      </w:r>
      <w:proofErr w:type="gramStart"/>
      <w:r w:rsidR="00B17192" w:rsidRPr="00373DD4">
        <w:rPr>
          <w:rFonts w:eastAsia="Times New Roman" w:cs="Calibri"/>
        </w:rPr>
        <w:t>POH obsahuje</w:t>
      </w:r>
      <w:proofErr w:type="gramEnd"/>
      <w:r w:rsidR="00B17192" w:rsidRPr="00373DD4">
        <w:rPr>
          <w:rFonts w:eastAsia="Times New Roman" w:cs="Calibri"/>
        </w:rPr>
        <w:t xml:space="preserve"> veškeré cíle vycházející z legislativy EU (úroveň recyklace</w:t>
      </w:r>
      <w:r w:rsidR="00B17192">
        <w:rPr>
          <w:rFonts w:eastAsia="Times New Roman" w:cs="Calibri"/>
        </w:rPr>
        <w:t>, množství BRKO na skládkách) a </w:t>
      </w:r>
      <w:r w:rsidR="00B17192" w:rsidRPr="00373DD4">
        <w:rPr>
          <w:rFonts w:eastAsia="Times New Roman" w:cs="Calibri"/>
        </w:rPr>
        <w:t xml:space="preserve">konkrétní opatření k jejich dosažení. </w:t>
      </w:r>
    </w:p>
    <w:p w:rsidR="00B17192" w:rsidRPr="00373DD4" w:rsidRDefault="00B17192" w:rsidP="00B17192">
      <w:pPr>
        <w:autoSpaceDE w:val="0"/>
        <w:autoSpaceDN w:val="0"/>
        <w:adjustRightInd w:val="0"/>
        <w:rPr>
          <w:rFonts w:eastAsia="Times New Roman" w:cs="Times New Roman"/>
        </w:rPr>
      </w:pPr>
      <w:r w:rsidRPr="00373DD4">
        <w:rPr>
          <w:rFonts w:eastAsia="Times New Roman" w:cs="Times New Roman"/>
        </w:rPr>
        <w:lastRenderedPageBreak/>
        <w:t>PO3 dále bere v potaz</w:t>
      </w:r>
      <w:r w:rsidRPr="00373DD4">
        <w:rPr>
          <w:rFonts w:eastAsia="Times New Roman" w:cs="Times New Roman"/>
          <w:b/>
        </w:rPr>
        <w:t xml:space="preserve"> Program předcházení vzniku odpadů, </w:t>
      </w:r>
      <w:r w:rsidRPr="00373DD4">
        <w:rPr>
          <w:rFonts w:eastAsia="Times New Roman" w:cs="Times New Roman"/>
        </w:rPr>
        <w:t>zpracovaný dle</w:t>
      </w:r>
      <w:r w:rsidRPr="00373DD4">
        <w:rPr>
          <w:rFonts w:eastAsia="Times New Roman" w:cs="Times New Roman"/>
          <w:b/>
        </w:rPr>
        <w:t xml:space="preserve"> </w:t>
      </w:r>
      <w:r w:rsidRPr="00373DD4">
        <w:rPr>
          <w:rFonts w:eastAsia="Times New Roman" w:cs="Times New Roman"/>
        </w:rPr>
        <w:t> článku 29 směrnice 2008/98/ES. Hlavním cílem Programu je vytvořit podmínky k nižší spotřebě primárních zdrojů a postupné snižování produkce odpadů. Program byl zpracován jako samostatný dokument s</w:t>
      </w:r>
      <w:r>
        <w:rPr>
          <w:rFonts w:eastAsia="Times New Roman" w:cs="Times New Roman"/>
        </w:rPr>
        <w:t xml:space="preserve"> tím, že </w:t>
      </w:r>
      <w:proofErr w:type="gramStart"/>
      <w:r w:rsidRPr="00373DD4">
        <w:rPr>
          <w:rFonts w:eastAsia="Times New Roman" w:cs="Times New Roman"/>
        </w:rPr>
        <w:t>bude</w:t>
      </w:r>
      <w:proofErr w:type="gramEnd"/>
      <w:r w:rsidRPr="00373DD4">
        <w:rPr>
          <w:rFonts w:eastAsia="Times New Roman" w:cs="Times New Roman"/>
        </w:rPr>
        <w:t xml:space="preserve"> zapracován do </w:t>
      </w:r>
      <w:proofErr w:type="gramStart"/>
      <w:r w:rsidRPr="00373DD4">
        <w:rPr>
          <w:rFonts w:eastAsia="Times New Roman" w:cs="Times New Roman"/>
        </w:rPr>
        <w:t>POH</w:t>
      </w:r>
      <w:proofErr w:type="gramEnd"/>
      <w:r w:rsidRPr="00373DD4">
        <w:rPr>
          <w:rFonts w:eastAsia="Times New Roman" w:cs="Times New Roman"/>
        </w:rPr>
        <w:t xml:space="preserve">. Cíle a opatření </w:t>
      </w:r>
      <w:proofErr w:type="gramStart"/>
      <w:r w:rsidRPr="00373DD4">
        <w:rPr>
          <w:rFonts w:eastAsia="Times New Roman" w:cs="Times New Roman"/>
        </w:rPr>
        <w:t>budou</w:t>
      </w:r>
      <w:proofErr w:type="gramEnd"/>
      <w:r w:rsidRPr="00373DD4">
        <w:rPr>
          <w:rFonts w:eastAsia="Times New Roman" w:cs="Times New Roman"/>
        </w:rPr>
        <w:t xml:space="preserve"> součástí závazné části </w:t>
      </w:r>
      <w:proofErr w:type="gramStart"/>
      <w:r w:rsidRPr="00373DD4">
        <w:rPr>
          <w:rFonts w:eastAsia="Times New Roman" w:cs="Times New Roman"/>
        </w:rPr>
        <w:t>POH</w:t>
      </w:r>
      <w:proofErr w:type="gramEnd"/>
      <w:r w:rsidRPr="00373DD4">
        <w:rPr>
          <w:rFonts w:eastAsia="Times New Roman" w:cs="Times New Roman"/>
        </w:rPr>
        <w:t>. V Programu je, v souladu se strategiemi na evropské (7. EAP, Plán pro Evropu účinněji využívající zdroje, Tematická strategie pro recyklaci a prevenci vzniku odpadů) i národní úrovni (Surovinová politika, Politika druhotných surovin), kladen důraz na výzkum, vývoj a inovace technologií, které mohou snižovat odpadovou náročnost výroby</w:t>
      </w:r>
      <w:r>
        <w:rPr>
          <w:rFonts w:eastAsia="Times New Roman" w:cs="Times New Roman"/>
        </w:rPr>
        <w:t>.</w:t>
      </w:r>
      <w:r w:rsidRPr="00373DD4">
        <w:rPr>
          <w:rFonts w:eastAsia="Times New Roman" w:cs="Times New Roman"/>
        </w:rPr>
        <w:t xml:space="preserve"> </w:t>
      </w:r>
    </w:p>
    <w:p w:rsidR="00B17192" w:rsidRPr="00373DD4" w:rsidRDefault="00B17192" w:rsidP="00B17192">
      <w:pPr>
        <w:rPr>
          <w:rFonts w:eastAsia="Times New Roman" w:cs="Times New Roman"/>
          <w:b/>
        </w:rPr>
      </w:pPr>
      <w:r w:rsidRPr="00373DD4">
        <w:rPr>
          <w:rFonts w:eastAsia="Times New Roman" w:cs="Times New Roman"/>
          <w:b/>
        </w:rPr>
        <w:t>Příspěvek k řešení v rámci OP ŽP 2014-2020</w:t>
      </w:r>
    </w:p>
    <w:p w:rsidR="00B17192" w:rsidRPr="00373DD4" w:rsidRDefault="00B17192" w:rsidP="00B17192">
      <w:pPr>
        <w:rPr>
          <w:rFonts w:eastAsia="Times New Roman" w:cs="Times New Roman"/>
        </w:rPr>
      </w:pPr>
      <w:r w:rsidRPr="00373DD4">
        <w:rPr>
          <w:rFonts w:eastAsia="Times New Roman" w:cs="Times New Roman"/>
        </w:rPr>
        <w:t xml:space="preserve">V zájmu příspěvku OP ŽP 2014-2020 k řešení výše specifikovaných problémů jsou v rámci PO 3 navrženy následující </w:t>
      </w:r>
      <w:r w:rsidRPr="00373DD4">
        <w:rPr>
          <w:rFonts w:eastAsia="Times New Roman" w:cs="Times New Roman"/>
          <w:b/>
        </w:rPr>
        <w:t>specifické cíle</w:t>
      </w:r>
      <w:r w:rsidRPr="00373DD4">
        <w:rPr>
          <w:rFonts w:eastAsia="Times New Roman" w:cs="Times New Roman"/>
        </w:rPr>
        <w:t xml:space="preserve"> (SC):</w:t>
      </w:r>
    </w:p>
    <w:p w:rsidR="00B17192" w:rsidRPr="00373DD4" w:rsidRDefault="00B17192" w:rsidP="00B17192">
      <w:pPr>
        <w:numPr>
          <w:ilvl w:val="0"/>
          <w:numId w:val="74"/>
        </w:numPr>
        <w:contextualSpacing/>
        <w:rPr>
          <w:rFonts w:eastAsia="Times New Roman" w:cs="Times New Roman"/>
          <w:b/>
        </w:rPr>
      </w:pPr>
      <w:r w:rsidRPr="00373DD4">
        <w:rPr>
          <w:rFonts w:eastAsia="Times New Roman" w:cs="Times New Roman"/>
        </w:rPr>
        <w:t xml:space="preserve">SC 3.1: </w:t>
      </w:r>
      <w:r w:rsidRPr="00373DD4">
        <w:rPr>
          <w:rFonts w:eastAsia="Times New Roman" w:cs="Times New Roman"/>
          <w:b/>
        </w:rPr>
        <w:t>Předcházet vzniku odpadů a snížit vliv nebezpečných vlastností odpadů,</w:t>
      </w:r>
    </w:p>
    <w:p w:rsidR="00B17192" w:rsidRPr="00373DD4" w:rsidRDefault="00B17192" w:rsidP="00B17192">
      <w:pPr>
        <w:numPr>
          <w:ilvl w:val="0"/>
          <w:numId w:val="74"/>
        </w:numPr>
        <w:contextualSpacing/>
        <w:rPr>
          <w:rFonts w:eastAsia="Times New Roman" w:cs="Times New Roman"/>
          <w:b/>
        </w:rPr>
      </w:pPr>
      <w:r w:rsidRPr="00373DD4">
        <w:rPr>
          <w:rFonts w:eastAsia="Times New Roman" w:cs="Times New Roman"/>
        </w:rPr>
        <w:t xml:space="preserve">SC 3.2: </w:t>
      </w:r>
      <w:r w:rsidRPr="00373DD4">
        <w:rPr>
          <w:rFonts w:eastAsia="Times New Roman" w:cs="Times New Roman"/>
          <w:b/>
        </w:rPr>
        <w:t xml:space="preserve">Zvýšit podíl materiálového a energetického využití odpadů, </w:t>
      </w:r>
    </w:p>
    <w:p w:rsidR="00B17192" w:rsidRPr="00373DD4" w:rsidRDefault="00B17192" w:rsidP="00B17192">
      <w:pPr>
        <w:numPr>
          <w:ilvl w:val="0"/>
          <w:numId w:val="74"/>
        </w:numPr>
        <w:contextualSpacing/>
        <w:rPr>
          <w:rFonts w:eastAsia="Times New Roman" w:cs="Times New Roman"/>
          <w:b/>
        </w:rPr>
      </w:pPr>
      <w:r w:rsidRPr="00373DD4">
        <w:rPr>
          <w:rFonts w:eastAsia="Times New Roman" w:cs="Times New Roman"/>
        </w:rPr>
        <w:t xml:space="preserve">SC 3.3:  </w:t>
      </w:r>
      <w:r w:rsidRPr="00373DD4">
        <w:rPr>
          <w:rFonts w:eastAsia="Times New Roman" w:cs="Times New Roman"/>
          <w:b/>
        </w:rPr>
        <w:t>Odstranit nepovolené skládky a rekultivovat staré skládky,</w:t>
      </w:r>
    </w:p>
    <w:p w:rsidR="00B17192" w:rsidRPr="00373DD4" w:rsidRDefault="00B17192" w:rsidP="00B17192">
      <w:pPr>
        <w:numPr>
          <w:ilvl w:val="0"/>
          <w:numId w:val="74"/>
        </w:numPr>
        <w:contextualSpacing/>
        <w:rPr>
          <w:rFonts w:eastAsia="Times New Roman" w:cs="Times New Roman"/>
        </w:rPr>
      </w:pPr>
      <w:r w:rsidRPr="00373DD4">
        <w:rPr>
          <w:rFonts w:eastAsia="Times New Roman" w:cs="Times New Roman"/>
        </w:rPr>
        <w:t xml:space="preserve">SC 3.4: </w:t>
      </w:r>
      <w:r w:rsidRPr="00373DD4">
        <w:rPr>
          <w:rFonts w:eastAsia="Times New Roman" w:cs="Times New Roman"/>
          <w:b/>
        </w:rPr>
        <w:t>Odstranit a inventarizovat ekologické zátěže,</w:t>
      </w:r>
    </w:p>
    <w:p w:rsidR="00B17192" w:rsidRDefault="00B17192" w:rsidP="00B17192">
      <w:pPr>
        <w:numPr>
          <w:ilvl w:val="0"/>
          <w:numId w:val="74"/>
        </w:numPr>
        <w:contextualSpacing/>
        <w:rPr>
          <w:rFonts w:eastAsia="Times New Roman" w:cs="Times New Roman"/>
          <w:b/>
        </w:rPr>
      </w:pPr>
      <w:r w:rsidRPr="00373DD4">
        <w:rPr>
          <w:rFonts w:eastAsia="Times New Roman" w:cs="Times New Roman"/>
        </w:rPr>
        <w:t xml:space="preserve">SC 3.5: </w:t>
      </w:r>
      <w:r w:rsidRPr="00373DD4">
        <w:rPr>
          <w:rFonts w:eastAsia="Times New Roman" w:cs="Times New Roman"/>
          <w:b/>
        </w:rPr>
        <w:t>Snížit environmentální rizika a rozvíjet systémy jejich řízení.</w:t>
      </w:r>
    </w:p>
    <w:p w:rsidR="00B17192" w:rsidRDefault="00B17192" w:rsidP="00B17192">
      <w:pPr>
        <w:ind w:left="720"/>
        <w:contextualSpacing/>
        <w:rPr>
          <w:rFonts w:eastAsia="Times New Roman" w:cs="Times New Roman"/>
          <w:b/>
        </w:rPr>
      </w:pPr>
    </w:p>
    <w:p w:rsidR="00B17192" w:rsidRDefault="00B17192" w:rsidP="00B17192">
      <w:pPr>
        <w:contextualSpacing/>
        <w:rPr>
          <w:rFonts w:eastAsia="Times New Roman" w:cs="Times New Roman"/>
        </w:rPr>
      </w:pPr>
      <w:r w:rsidRPr="00373DD4">
        <w:rPr>
          <w:rFonts w:eastAsia="Times New Roman" w:cs="Times New Roman"/>
        </w:rPr>
        <w:t>Základní vazby mezi identifikovanými problémy, jejich příčinami a specifickými cíli PO 3 jsou uvedeny v tabulce č. 4 v Příloze 1.</w:t>
      </w:r>
    </w:p>
    <w:p w:rsidR="00EB6C6E" w:rsidRPr="00373DD4" w:rsidRDefault="00EB6C6E" w:rsidP="00B17192">
      <w:pPr>
        <w:contextualSpacing/>
        <w:rPr>
          <w:rFonts w:eastAsia="Times New Roman" w:cs="Times New Roman"/>
        </w:rPr>
      </w:pPr>
    </w:p>
    <w:p w:rsidR="00B17192" w:rsidRDefault="00B17192" w:rsidP="00B17192">
      <w:pPr>
        <w:autoSpaceDE w:val="0"/>
        <w:autoSpaceDN w:val="0"/>
        <w:adjustRightInd w:val="0"/>
        <w:rPr>
          <w:rFonts w:eastAsia="Times New Roman" w:cs="Times New Roman"/>
        </w:rPr>
      </w:pPr>
      <w:r w:rsidRPr="00373DD4">
        <w:rPr>
          <w:rFonts w:eastAsia="Times New Roman" w:cs="Times New Roman"/>
        </w:rPr>
        <w:t xml:space="preserve">Priority </w:t>
      </w:r>
      <w:proofErr w:type="gramStart"/>
      <w:r w:rsidRPr="00373DD4">
        <w:rPr>
          <w:rFonts w:eastAsia="Times New Roman" w:cs="Times New Roman"/>
        </w:rPr>
        <w:t>bude</w:t>
      </w:r>
      <w:proofErr w:type="gramEnd"/>
      <w:r w:rsidRPr="00373DD4">
        <w:rPr>
          <w:rFonts w:eastAsia="Times New Roman" w:cs="Times New Roman"/>
        </w:rPr>
        <w:t xml:space="preserve"> určovat zejména nový </w:t>
      </w:r>
      <w:proofErr w:type="gramStart"/>
      <w:r w:rsidRPr="00373DD4">
        <w:rPr>
          <w:rFonts w:eastAsia="Times New Roman" w:cs="Times New Roman"/>
        </w:rPr>
        <w:t>POH</w:t>
      </w:r>
      <w:proofErr w:type="gramEnd"/>
      <w:r w:rsidRPr="00373DD4">
        <w:rPr>
          <w:rFonts w:eastAsia="Times New Roman" w:cs="Times New Roman"/>
        </w:rPr>
        <w:t xml:space="preserve"> pro období 2015-2024</w:t>
      </w:r>
      <w:r>
        <w:rPr>
          <w:rFonts w:eastAsia="Times New Roman" w:cs="Times New Roman"/>
        </w:rPr>
        <w:t xml:space="preserve">. </w:t>
      </w:r>
      <w:r w:rsidRPr="00373DD4">
        <w:rPr>
          <w:rFonts w:eastAsia="Times New Roman" w:cs="Times New Roman"/>
        </w:rPr>
        <w:t xml:space="preserve">Cílem podpory je snížení produkce odpadů, zvýšení podílu využívaných odpadů na základě podpory odděleného sběru odpadů, budování třídících linek a zařízení na recyklaci odpadů, systémy na podporu odděleně sbíraných a následně využívaných specifických druhů odpadů, snižování množství odstraňovaných odpadů a energetické využití odpadů. Rovněž </w:t>
      </w:r>
      <w:r>
        <w:rPr>
          <w:rFonts w:eastAsia="Times New Roman" w:cs="Times New Roman"/>
        </w:rPr>
        <w:t>budou</w:t>
      </w:r>
      <w:r w:rsidRPr="00373DD4">
        <w:rPr>
          <w:rFonts w:eastAsia="Times New Roman" w:cs="Times New Roman"/>
        </w:rPr>
        <w:t xml:space="preserve"> podporovány technologie k využívání odpadů a projekty ke snižování měrné produkce nebezpečných odpadů, včetně zařízení k nakládání s nimi.</w:t>
      </w:r>
    </w:p>
    <w:p w:rsidR="00B17192" w:rsidRDefault="00B17192" w:rsidP="00B17192">
      <w:pPr>
        <w:autoSpaceDE w:val="0"/>
        <w:autoSpaceDN w:val="0"/>
        <w:adjustRightInd w:val="0"/>
        <w:rPr>
          <w:rFonts w:eastAsia="Times New Roman" w:cs="Times New Roman"/>
        </w:rPr>
      </w:pPr>
      <w:r w:rsidRPr="00F04456">
        <w:rPr>
          <w:rFonts w:eastAsia="Times New Roman" w:cs="Times New Roman"/>
        </w:rPr>
        <w:t>Podpor</w:t>
      </w:r>
      <w:r>
        <w:rPr>
          <w:rFonts w:eastAsia="Times New Roman" w:cs="Times New Roman"/>
        </w:rPr>
        <w:t>a</w:t>
      </w:r>
      <w:r w:rsidRPr="00F04456">
        <w:rPr>
          <w:rFonts w:eastAsia="Times New Roman" w:cs="Times New Roman"/>
        </w:rPr>
        <w:t xml:space="preserve"> </w:t>
      </w:r>
      <w:r>
        <w:rPr>
          <w:rFonts w:eastAsia="Times New Roman" w:cs="Times New Roman"/>
        </w:rPr>
        <w:t>bude zaměřena</w:t>
      </w:r>
      <w:r w:rsidRPr="00F04456">
        <w:rPr>
          <w:rFonts w:eastAsia="Times New Roman" w:cs="Times New Roman"/>
        </w:rPr>
        <w:t xml:space="preserve"> na projekty vedoucí ke snížení množství vznikajících odpadů a</w:t>
      </w:r>
      <w:r>
        <w:rPr>
          <w:rFonts w:eastAsia="Times New Roman" w:cs="Times New Roman"/>
        </w:rPr>
        <w:t> </w:t>
      </w:r>
      <w:r w:rsidRPr="00F04456">
        <w:rPr>
          <w:rFonts w:eastAsia="Times New Roman" w:cs="Times New Roman"/>
        </w:rPr>
        <w:t>odpadové náro</w:t>
      </w:r>
      <w:r>
        <w:rPr>
          <w:rFonts w:eastAsia="Times New Roman" w:cs="Times New Roman"/>
        </w:rPr>
        <w:t>čnosti technologických procesů a především k p</w:t>
      </w:r>
      <w:r w:rsidRPr="00F04456">
        <w:rPr>
          <w:rFonts w:eastAsia="Times New Roman" w:cs="Times New Roman"/>
        </w:rPr>
        <w:t xml:space="preserve">ředcházení vzniku odpadů </w:t>
      </w:r>
      <w:r>
        <w:rPr>
          <w:rFonts w:eastAsia="Times New Roman" w:cs="Times New Roman"/>
        </w:rPr>
        <w:t xml:space="preserve">spojeným s </w:t>
      </w:r>
      <w:r w:rsidRPr="00F04456">
        <w:rPr>
          <w:rFonts w:eastAsia="Times New Roman" w:cs="Times New Roman"/>
        </w:rPr>
        <w:t xml:space="preserve">vývojem a zlepšováním výrobních metod, postupů a technologií. </w:t>
      </w:r>
    </w:p>
    <w:p w:rsidR="00B17192" w:rsidRPr="00373DD4" w:rsidRDefault="00B17192" w:rsidP="00B17192">
      <w:pPr>
        <w:autoSpaceDE w:val="0"/>
        <w:autoSpaceDN w:val="0"/>
        <w:adjustRightInd w:val="0"/>
        <w:rPr>
          <w:rFonts w:eastAsia="Times New Roman" w:cs="Times New Roman"/>
          <w:strike/>
        </w:rPr>
      </w:pPr>
      <w:r w:rsidRPr="00373DD4">
        <w:rPr>
          <w:rFonts w:eastAsia="Times New Roman" w:cs="Times New Roman"/>
        </w:rPr>
        <w:t xml:space="preserve">Mezi podporované aktivity patří také rekultivace </w:t>
      </w:r>
      <w:r>
        <w:rPr>
          <w:rFonts w:eastAsia="Times New Roman" w:cs="Times New Roman"/>
        </w:rPr>
        <w:t xml:space="preserve">„starých </w:t>
      </w:r>
      <w:r w:rsidRPr="00373DD4">
        <w:rPr>
          <w:rFonts w:eastAsia="Times New Roman" w:cs="Times New Roman"/>
        </w:rPr>
        <w:t>skládek</w:t>
      </w:r>
      <w:r>
        <w:rPr>
          <w:rFonts w:eastAsia="Times New Roman" w:cs="Times New Roman"/>
        </w:rPr>
        <w:t>“, které byly založeny a </w:t>
      </w:r>
      <w:r w:rsidRPr="00373DD4">
        <w:rPr>
          <w:rFonts w:eastAsia="Times New Roman" w:cs="Times New Roman"/>
        </w:rPr>
        <w:t xml:space="preserve">provozovány, zejména obcemi, před </w:t>
      </w:r>
      <w:r>
        <w:rPr>
          <w:rFonts w:eastAsia="Times New Roman" w:cs="Times New Roman"/>
        </w:rPr>
        <w:t>r. 1991</w:t>
      </w:r>
      <w:r w:rsidRPr="00373DD4">
        <w:rPr>
          <w:rFonts w:eastAsia="Times New Roman" w:cs="Times New Roman"/>
        </w:rPr>
        <w:t xml:space="preserve"> a představují stále značný</w:t>
      </w:r>
      <w:r>
        <w:rPr>
          <w:rFonts w:eastAsia="Times New Roman" w:cs="Times New Roman"/>
        </w:rPr>
        <w:t xml:space="preserve"> pr</w:t>
      </w:r>
      <w:r w:rsidRPr="00373DD4">
        <w:rPr>
          <w:rFonts w:eastAsia="Times New Roman" w:cs="Times New Roman"/>
        </w:rPr>
        <w:t>oblém</w:t>
      </w:r>
      <w:r>
        <w:rPr>
          <w:rFonts w:eastAsia="Times New Roman" w:cs="Times New Roman"/>
        </w:rPr>
        <w:t xml:space="preserve"> (nejedná se o </w:t>
      </w:r>
      <w:r w:rsidRPr="00373DD4">
        <w:rPr>
          <w:rFonts w:eastAsia="Times New Roman" w:cs="Times New Roman"/>
        </w:rPr>
        <w:t>odstraňování skládek, které by byly nezákonně založeny v současnosti).</w:t>
      </w:r>
    </w:p>
    <w:p w:rsidR="00B17192" w:rsidRPr="00373DD4" w:rsidRDefault="00B17192" w:rsidP="00B17192">
      <w:pPr>
        <w:autoSpaceDE w:val="0"/>
        <w:autoSpaceDN w:val="0"/>
        <w:adjustRightInd w:val="0"/>
        <w:rPr>
          <w:rFonts w:eastAsia="Times New Roman" w:cs="Times New Roman"/>
        </w:rPr>
      </w:pPr>
      <w:r w:rsidRPr="00373DD4">
        <w:rPr>
          <w:rFonts w:eastAsia="Times New Roman" w:cs="Times New Roman"/>
        </w:rPr>
        <w:t xml:space="preserve">Pro efektivní řízení </w:t>
      </w:r>
      <w:r w:rsidRPr="00373DD4">
        <w:rPr>
          <w:rFonts w:eastAsia="Times New Roman" w:cs="Times New Roman"/>
          <w:b/>
        </w:rPr>
        <w:t>odstraňování starých ekologických zátěží</w:t>
      </w:r>
      <w:r w:rsidRPr="00373DD4">
        <w:rPr>
          <w:rFonts w:eastAsia="Times New Roman" w:cs="Times New Roman"/>
        </w:rPr>
        <w:t xml:space="preserve"> je nezbytné provést komplexní jednorázovou inventarizaci kontaminovaných míst na území celé ČR podle jednotné metodiky a s jednotným výstupem v podobě databáze lokalit a jejich priorit, která bude sloužit státní správě a samosprávám jako efektivní nástroj při rozhodování o podpoře projektů sanací. Bude tak zajištěna koncentrace prostředků do</w:t>
      </w:r>
      <w:r>
        <w:rPr>
          <w:rFonts w:eastAsia="Times New Roman" w:cs="Times New Roman"/>
        </w:rPr>
        <w:t xml:space="preserve"> nejrizikovějších</w:t>
      </w:r>
      <w:r w:rsidRPr="00373DD4">
        <w:rPr>
          <w:rFonts w:eastAsia="Times New Roman" w:cs="Times New Roman"/>
        </w:rPr>
        <w:t xml:space="preserve"> lokalit.  </w:t>
      </w:r>
    </w:p>
    <w:p w:rsidR="00B17192" w:rsidRPr="00373DD4" w:rsidRDefault="00B17192" w:rsidP="00B17192">
      <w:pPr>
        <w:autoSpaceDE w:val="0"/>
        <w:autoSpaceDN w:val="0"/>
        <w:adjustRightInd w:val="0"/>
        <w:rPr>
          <w:rFonts w:eastAsia="Times New Roman" w:cs="Times New Roman"/>
        </w:rPr>
      </w:pPr>
      <w:r w:rsidRPr="00373DD4">
        <w:rPr>
          <w:rFonts w:eastAsia="Times New Roman" w:cs="Times New Roman"/>
        </w:rPr>
        <w:lastRenderedPageBreak/>
        <w:t xml:space="preserve">V návaznosti na vlastní inventarizaci kontaminovaných lokalit je nutno provádět na těchto lokalitách průzkumy rozsahu a závažnosti znečištění a sestavovat analýzy rizik, na </w:t>
      </w:r>
      <w:r>
        <w:rPr>
          <w:rFonts w:eastAsia="Times New Roman" w:cs="Times New Roman"/>
        </w:rPr>
        <w:t xml:space="preserve">jejichž </w:t>
      </w:r>
      <w:r w:rsidRPr="00373DD4">
        <w:rPr>
          <w:rFonts w:eastAsia="Times New Roman" w:cs="Times New Roman"/>
        </w:rPr>
        <w:t>základě bude rozhodnuto o potřebě sanačního zásahu a jeho postupu.</w:t>
      </w:r>
    </w:p>
    <w:p w:rsidR="00B17192" w:rsidRPr="00373DD4" w:rsidRDefault="00B17192" w:rsidP="00B17192">
      <w:pPr>
        <w:autoSpaceDE w:val="0"/>
        <w:autoSpaceDN w:val="0"/>
        <w:adjustRightInd w:val="0"/>
        <w:rPr>
          <w:rFonts w:eastAsia="Times New Roman" w:cs="Times New Roman"/>
          <w:strike/>
        </w:rPr>
      </w:pPr>
      <w:r w:rsidRPr="00373DD4">
        <w:rPr>
          <w:rFonts w:eastAsia="Times New Roman" w:cs="Times New Roman"/>
        </w:rPr>
        <w:t xml:space="preserve">Podporovány </w:t>
      </w:r>
      <w:r>
        <w:rPr>
          <w:rFonts w:eastAsia="Times New Roman" w:cs="Times New Roman"/>
        </w:rPr>
        <w:t xml:space="preserve">budou </w:t>
      </w:r>
      <w:r w:rsidRPr="00373DD4">
        <w:rPr>
          <w:rFonts w:eastAsia="Times New Roman" w:cs="Times New Roman"/>
        </w:rPr>
        <w:t>vždy pouze projekty sanací</w:t>
      </w:r>
      <w:r>
        <w:rPr>
          <w:rFonts w:eastAsia="Times New Roman" w:cs="Times New Roman"/>
        </w:rPr>
        <w:t xml:space="preserve"> starých zátěží</w:t>
      </w:r>
      <w:r w:rsidRPr="00373DD4">
        <w:rPr>
          <w:rFonts w:eastAsia="Times New Roman" w:cs="Times New Roman"/>
        </w:rPr>
        <w:t xml:space="preserve">, u nichž původce není znám, neexistuje, či již zanikl, a </w:t>
      </w:r>
      <w:r>
        <w:rPr>
          <w:rFonts w:eastAsia="Times New Roman" w:cs="Times New Roman"/>
        </w:rPr>
        <w:t>které</w:t>
      </w:r>
      <w:r w:rsidRPr="00373DD4">
        <w:rPr>
          <w:rFonts w:eastAsia="Times New Roman" w:cs="Times New Roman"/>
        </w:rPr>
        <w:t xml:space="preserve"> představují akutní ohrožení lidského zdraví či</w:t>
      </w:r>
      <w:r>
        <w:rPr>
          <w:rFonts w:eastAsia="Times New Roman" w:cs="Times New Roman"/>
        </w:rPr>
        <w:t> </w:t>
      </w:r>
      <w:r w:rsidRPr="00373DD4">
        <w:rPr>
          <w:rFonts w:eastAsia="Times New Roman" w:cs="Times New Roman"/>
        </w:rPr>
        <w:t xml:space="preserve">ekosystémů. </w:t>
      </w:r>
      <w:r w:rsidRPr="0033290F">
        <w:t>Tím je naplněn princip „znečišťovatel platí“ a zajištěno směřování prostředků pouze na lokality, které ovlivňují nebo mohou prokazatelně negativně ovlivnit zdraví osob či stav ekosystémů</w:t>
      </w:r>
      <w:r>
        <w:rPr>
          <w:rFonts w:eastAsia="Times New Roman" w:cs="Times New Roman"/>
          <w:color w:val="FF0000"/>
        </w:rPr>
        <w:t>.</w:t>
      </w:r>
    </w:p>
    <w:p w:rsidR="00B17192" w:rsidRPr="00373DD4" w:rsidRDefault="00B17192" w:rsidP="00B17192">
      <w:pPr>
        <w:rPr>
          <w:rFonts w:eastAsia="Times New Roman" w:cs="Times New Roman"/>
        </w:rPr>
      </w:pPr>
      <w:r w:rsidRPr="00373DD4">
        <w:rPr>
          <w:rFonts w:eastAsia="Times New Roman" w:cs="Times New Roman"/>
        </w:rPr>
        <w:t xml:space="preserve">Výsledkem podpory v oblasti </w:t>
      </w:r>
      <w:r w:rsidRPr="00373DD4">
        <w:rPr>
          <w:rFonts w:eastAsia="Times New Roman" w:cs="Times New Roman"/>
          <w:b/>
        </w:rPr>
        <w:t>snižování environmentálních rizik</w:t>
      </w:r>
      <w:r w:rsidRPr="00373DD4">
        <w:rPr>
          <w:rFonts w:eastAsia="Times New Roman" w:cs="Times New Roman"/>
        </w:rPr>
        <w:t xml:space="preserve"> bude rozvoj inovačních a informačních technologií, realizace technologií s vyšší bezpečností provozu, vytvoření ucelené soustavy hodnocení </w:t>
      </w:r>
      <w:r>
        <w:rPr>
          <w:rFonts w:eastAsia="Times New Roman" w:cs="Times New Roman"/>
        </w:rPr>
        <w:t xml:space="preserve">a omezování </w:t>
      </w:r>
      <w:r w:rsidRPr="00373DD4">
        <w:rPr>
          <w:rFonts w:eastAsia="Times New Roman" w:cs="Times New Roman"/>
        </w:rPr>
        <w:t>rizik chemických látek a vytvoření systému prevence závažných havárií. N</w:t>
      </w:r>
      <w:r>
        <w:rPr>
          <w:rFonts w:eastAsia="Times New Roman" w:cs="Times New Roman"/>
        </w:rPr>
        <w:t>utnou</w:t>
      </w:r>
      <w:r w:rsidRPr="00373DD4">
        <w:rPr>
          <w:rFonts w:eastAsia="Times New Roman" w:cs="Times New Roman"/>
        </w:rPr>
        <w:t xml:space="preserve"> podmínkou je zpracování informací do veřejně přístupných databází a jejich propojení s možností analýz jednotlivých dat.</w:t>
      </w:r>
    </w:p>
    <w:p w:rsidR="00B17192" w:rsidRPr="00373DD4" w:rsidRDefault="00B17192" w:rsidP="00B17192">
      <w:pPr>
        <w:rPr>
          <w:rFonts w:eastAsia="Times New Roman" w:cs="Times New Roman"/>
        </w:rPr>
      </w:pPr>
      <w:r w:rsidRPr="00373DD4">
        <w:rPr>
          <w:rFonts w:eastAsia="Times New Roman" w:cs="Times New Roman"/>
        </w:rPr>
        <w:t xml:space="preserve">Podporované aktivity budou </w:t>
      </w:r>
      <w:r>
        <w:rPr>
          <w:rFonts w:eastAsia="Times New Roman" w:cs="Times New Roman"/>
        </w:rPr>
        <w:t xml:space="preserve">zahrnovat </w:t>
      </w:r>
      <w:r w:rsidRPr="00373DD4">
        <w:rPr>
          <w:rFonts w:eastAsia="Times New Roman" w:cs="Times New Roman"/>
        </w:rPr>
        <w:t>náhrad</w:t>
      </w:r>
      <w:r>
        <w:rPr>
          <w:rFonts w:eastAsia="Times New Roman" w:cs="Times New Roman"/>
        </w:rPr>
        <w:t>u</w:t>
      </w:r>
      <w:r w:rsidRPr="00373DD4">
        <w:rPr>
          <w:rFonts w:eastAsia="Times New Roman" w:cs="Times New Roman"/>
        </w:rPr>
        <w:t xml:space="preserve"> nebo rekonstrukc</w:t>
      </w:r>
      <w:r>
        <w:rPr>
          <w:rFonts w:eastAsia="Times New Roman" w:cs="Times New Roman"/>
        </w:rPr>
        <w:t>i</w:t>
      </w:r>
      <w:r w:rsidRPr="00373DD4">
        <w:rPr>
          <w:rFonts w:eastAsia="Times New Roman" w:cs="Times New Roman"/>
        </w:rPr>
        <w:t xml:space="preserve"> zařízení, ve kterém je nebezpečná chemická látka vyráběna, zpracovávána, používána, přepravována nebo skladována, s cílem zvýšení bezpečnosti provozu, snížení míry rizika a omezování následků závažných havárií; vytvoření informačních systémů, znalostních portálů a SW nástrojů pro</w:t>
      </w:r>
      <w:r>
        <w:rPr>
          <w:rFonts w:eastAsia="Times New Roman" w:cs="Times New Roman"/>
        </w:rPr>
        <w:t> </w:t>
      </w:r>
      <w:r w:rsidRPr="00373DD4">
        <w:rPr>
          <w:rFonts w:eastAsia="Times New Roman" w:cs="Times New Roman"/>
        </w:rPr>
        <w:t>tvorbu a aplikaci nových metodik a postupů v managementu chemických látek a prevenci závažných havárií; vytvoření expertních center REACH a center prevence rizik - infrastruktura pro institucionální zázemí implementace REACH a prevence závažných havárií.</w:t>
      </w:r>
    </w:p>
    <w:p w:rsidR="00B17192" w:rsidRPr="00D04A78" w:rsidRDefault="00B17192" w:rsidP="00B17192">
      <w:pPr>
        <w:rPr>
          <w:rFonts w:eastAsia="Times New Roman" w:cs="Times New Roman"/>
          <w:b/>
          <w:i/>
          <w:color w:val="76923C" w:themeColor="accent3" w:themeShade="BF"/>
          <w:sz w:val="24"/>
          <w:szCs w:val="24"/>
          <w:u w:val="single"/>
        </w:rPr>
      </w:pPr>
      <w:r w:rsidRPr="0033290F">
        <w:rPr>
          <w:rFonts w:eastAsia="Times New Roman" w:cs="Times New Roman"/>
          <w:b/>
          <w:i/>
          <w:color w:val="76923C" w:themeColor="accent3" w:themeShade="BF"/>
          <w:sz w:val="24"/>
          <w:szCs w:val="24"/>
          <w:u w:val="single"/>
        </w:rPr>
        <w:t>Priorita 4: Ochrana a péče o přírodu a krajinu</w:t>
      </w:r>
    </w:p>
    <w:p w:rsidR="00B17192" w:rsidRPr="00373DD4" w:rsidRDefault="00B17192" w:rsidP="00B17192">
      <w:pPr>
        <w:rPr>
          <w:rFonts w:eastAsia="Times New Roman" w:cs="Times New Roman"/>
          <w:b/>
        </w:rPr>
      </w:pPr>
      <w:r w:rsidRPr="00373DD4">
        <w:rPr>
          <w:rFonts w:eastAsia="Times New Roman" w:cs="Times New Roman"/>
          <w:b/>
        </w:rPr>
        <w:t>Aktuální stav - Problémy</w:t>
      </w:r>
    </w:p>
    <w:p w:rsidR="00B17192" w:rsidRPr="00373DD4" w:rsidRDefault="00B17192" w:rsidP="00B17192">
      <w:pPr>
        <w:rPr>
          <w:rFonts w:eastAsia="Times New Roman" w:cs="Calibri"/>
        </w:rPr>
      </w:pPr>
      <w:r w:rsidRPr="00373DD4">
        <w:rPr>
          <w:rFonts w:eastAsia="Times New Roman" w:cs="Calibri"/>
        </w:rPr>
        <w:t>ČR je kulturní krajinou, v níž je vlivem historického vývoje většina ekosystémů, resp. stanovišť pozměněných či přeměněných. Stanoviště, která lze klasifikovat jako přírodní a která zahrnují stanoviště uvedená v příloze II Směrnice 92/43/EHS, jsou zachována na 17% rozlohy (polopřirozené travní porosty, lesní porosty s dochovanou přírodě odpovídající skladbou, vodní a mokřadní stanoviště a další plošně méně významné typy stanovišť</w:t>
      </w:r>
      <w:r w:rsidRPr="00A16A4D">
        <w:rPr>
          <w:rFonts w:eastAsia="Times New Roman" w:cs="Calibri"/>
        </w:rPr>
        <w:t xml:space="preserve">). Stav </w:t>
      </w:r>
      <w:r>
        <w:rPr>
          <w:rFonts w:eastAsia="Times New Roman" w:cs="Calibri"/>
        </w:rPr>
        <w:t>přírodních stanovišť je spíše</w:t>
      </w:r>
      <w:r w:rsidRPr="00A16A4D">
        <w:rPr>
          <w:rFonts w:eastAsia="Times New Roman" w:cs="Calibri"/>
        </w:rPr>
        <w:t xml:space="preserve"> méně nepříznivý (52 %); viz graf č. 4 v Příloze 1.</w:t>
      </w:r>
      <w:r w:rsidRPr="00373DD4">
        <w:rPr>
          <w:rFonts w:eastAsia="Times New Roman" w:cs="Calibri"/>
        </w:rPr>
        <w:t xml:space="preserve"> Nejzávažnější je stav vodních stanovišť, kde pouze na 6% rozlohy lze identifikovat dochovaná přírodní stanoviště (1% na tekoucích vodách, 5% v rámci stojatých vod), </w:t>
      </w:r>
      <w:r w:rsidRPr="00761BE0">
        <w:rPr>
          <w:rFonts w:eastAsia="Times New Roman" w:cs="Calibri"/>
        </w:rPr>
        <w:t xml:space="preserve">přičemž pouze u jednoho typu habitatu lze stav hodnotit jako příznivý, u </w:t>
      </w:r>
      <w:r>
        <w:rPr>
          <w:rFonts w:eastAsia="Times New Roman" w:cs="Calibri"/>
        </w:rPr>
        <w:t>56</w:t>
      </w:r>
      <w:r w:rsidRPr="00761BE0">
        <w:rPr>
          <w:rFonts w:eastAsia="Times New Roman" w:cs="Calibri"/>
        </w:rPr>
        <w:t>% jde o méně</w:t>
      </w:r>
      <w:r>
        <w:rPr>
          <w:rFonts w:eastAsia="Times New Roman" w:cs="Calibri"/>
        </w:rPr>
        <w:t xml:space="preserve"> nepříznivý stav a u zbylých 33% o </w:t>
      </w:r>
      <w:r w:rsidRPr="00761BE0">
        <w:rPr>
          <w:rFonts w:eastAsia="Times New Roman" w:cs="Calibri"/>
        </w:rPr>
        <w:t>nepříznivý</w:t>
      </w:r>
      <w:r>
        <w:rPr>
          <w:rFonts w:eastAsia="Times New Roman" w:cs="Calibri"/>
        </w:rPr>
        <w:t>.  Z travních porostů</w:t>
      </w:r>
      <w:r w:rsidRPr="00200A91">
        <w:rPr>
          <w:rFonts w:eastAsia="Times New Roman" w:cs="Calibri"/>
        </w:rPr>
        <w:t xml:space="preserve"> je přibližně 30% klasifikováno jako přírodní stanoviště, jejich </w:t>
      </w:r>
      <w:r>
        <w:rPr>
          <w:rFonts w:eastAsia="Times New Roman" w:cs="Calibri"/>
        </w:rPr>
        <w:t>stav je méně nepříznivý z 58% a </w:t>
      </w:r>
      <w:r w:rsidRPr="00200A91">
        <w:rPr>
          <w:rFonts w:eastAsia="Times New Roman" w:cs="Calibri"/>
        </w:rPr>
        <w:t>nepříznivý z 30%, pouze u 12 % habitatů lze stav označit za</w:t>
      </w:r>
      <w:r>
        <w:rPr>
          <w:rFonts w:eastAsia="Times New Roman" w:cs="Calibri"/>
        </w:rPr>
        <w:t xml:space="preserve"> příznivý. </w:t>
      </w:r>
      <w:r w:rsidRPr="00373DD4">
        <w:rPr>
          <w:rFonts w:eastAsia="Times New Roman" w:cs="Calibri"/>
        </w:rPr>
        <w:t xml:space="preserve"> Situace u</w:t>
      </w:r>
      <w:r>
        <w:rPr>
          <w:rFonts w:eastAsia="Times New Roman" w:cs="Calibri"/>
        </w:rPr>
        <w:t> </w:t>
      </w:r>
      <w:r w:rsidRPr="00373DD4">
        <w:rPr>
          <w:rFonts w:eastAsia="Times New Roman" w:cs="Calibri"/>
        </w:rPr>
        <w:t xml:space="preserve">ostatních typů stanovišť je rozdílná – nejméně jsou dotčena stanoviště, která nejsou nebo nebyla příliš vystavena vlivům intenzivního hospodaření, jako stanoviště skal </w:t>
      </w:r>
      <w:r>
        <w:rPr>
          <w:rFonts w:eastAsia="Times New Roman" w:cs="Calibri"/>
        </w:rPr>
        <w:t>a sutí, alpinská bezlesí atp. u </w:t>
      </w:r>
      <w:r w:rsidRPr="00373DD4">
        <w:rPr>
          <w:rFonts w:eastAsia="Times New Roman" w:cs="Calibri"/>
        </w:rPr>
        <w:t>části plošně méně významných typů stanovišť je situace opačná, jako např. v případě vrchovišť, slatinišť, vřesovišť aj.</w:t>
      </w:r>
    </w:p>
    <w:p w:rsidR="00B17192" w:rsidRPr="00373DD4" w:rsidRDefault="00B17192" w:rsidP="00B17192">
      <w:pPr>
        <w:rPr>
          <w:rFonts w:eastAsia="Times New Roman" w:cs="Calibri"/>
        </w:rPr>
      </w:pPr>
      <w:r w:rsidRPr="00373DD4">
        <w:rPr>
          <w:rFonts w:eastAsia="Times New Roman" w:cs="Calibri"/>
        </w:rPr>
        <w:t>U lesů</w:t>
      </w:r>
      <w:r>
        <w:rPr>
          <w:rFonts w:eastAsia="Times New Roman" w:cs="Calibri"/>
        </w:rPr>
        <w:t xml:space="preserve"> (</w:t>
      </w:r>
      <w:r w:rsidRPr="00373DD4">
        <w:rPr>
          <w:rFonts w:eastAsia="Times New Roman" w:cs="Calibri"/>
        </w:rPr>
        <w:t>přibližně 34% rozlohy ČR</w:t>
      </w:r>
      <w:r w:rsidR="00EB6C6E">
        <w:rPr>
          <w:rFonts w:eastAsia="Times New Roman" w:cs="Calibri"/>
        </w:rPr>
        <w:t>)</w:t>
      </w:r>
      <w:r w:rsidRPr="00373DD4">
        <w:rPr>
          <w:rFonts w:eastAsia="Times New Roman" w:cs="Calibri"/>
        </w:rPr>
        <w:t xml:space="preserve"> lze na základě dochované skladby stromového a bylinného patra mezi některý z typů přírodních stanovišť řadit porosty pouze na 30% rozlohy l</w:t>
      </w:r>
      <w:r>
        <w:rPr>
          <w:rFonts w:eastAsia="Times New Roman" w:cs="Calibri"/>
        </w:rPr>
        <w:t>esů, stav těchto stanovišť je z 41% nepříznivý a z 52% méně nepříznivý,</w:t>
      </w:r>
      <w:r w:rsidRPr="00373DD4">
        <w:rPr>
          <w:rFonts w:eastAsia="Times New Roman" w:cs="Calibri"/>
        </w:rPr>
        <w:t xml:space="preserve"> (tj. porosty zpravidla mají oproti </w:t>
      </w:r>
      <w:r w:rsidRPr="00373DD4">
        <w:rPr>
          <w:rFonts w:eastAsia="Times New Roman" w:cs="Calibri"/>
        </w:rPr>
        <w:lastRenderedPageBreak/>
        <w:t>přirozenému stavu ochuzenou druhovou skladbu a prostorovou či věkovou strukturu s dopady na stav bylinného patra).</w:t>
      </w:r>
      <w:r>
        <w:rPr>
          <w:rFonts w:eastAsia="Times New Roman" w:cs="Calibri"/>
        </w:rPr>
        <w:t xml:space="preserve"> Stejně jako u vodních stanovišť, je stavem příznivým klasifikován pouze jeden typ lesního habitatu.</w:t>
      </w:r>
    </w:p>
    <w:p w:rsidR="00B17192" w:rsidRPr="00373DD4" w:rsidRDefault="00B17192" w:rsidP="00B17192">
      <w:pPr>
        <w:autoSpaceDE w:val="0"/>
        <w:autoSpaceDN w:val="0"/>
        <w:adjustRightInd w:val="0"/>
        <w:rPr>
          <w:rFonts w:eastAsia="Times New Roman" w:cs="Calibri"/>
          <w:i/>
          <w:iCs/>
        </w:rPr>
      </w:pPr>
      <w:r w:rsidRPr="00373DD4">
        <w:rPr>
          <w:rFonts w:eastAsia="Times New Roman" w:cs="Calibri"/>
        </w:rPr>
        <w:t xml:space="preserve">Na území ČR je popsáno téměř 80 tisíc různých druhů organismů (cca 3500 druhů cévnatých rostlin, 886 druhů mechorostů, 1500 druhů lišejníků, až 40 000 druhů hub, cca 28 000 druhů hmyzu, kolem 8000 druhů dalších bezobratlých a 711 druhů obratlovců). Druhová rozmanitost není ovšem rovnoměrně rozložená (oblasti s vysokým počtem druhů se nachází nejen v chráněných územích a lokalitách soustavy Natura 2000, ale i ve volné krajině a řada druhů je vázána i na urbanizovaná území). </w:t>
      </w:r>
    </w:p>
    <w:p w:rsidR="00B17192" w:rsidRPr="00373DD4" w:rsidRDefault="00B17192" w:rsidP="00B17192">
      <w:pPr>
        <w:rPr>
          <w:rFonts w:eastAsia="Times New Roman" w:cs="Calibri"/>
        </w:rPr>
      </w:pPr>
      <w:r w:rsidRPr="00373DD4">
        <w:rPr>
          <w:rFonts w:eastAsia="Times New Roman" w:cs="Calibri"/>
        </w:rPr>
        <w:t>Dle aktuálních Červených seznamů se v některém stupni ohrožení nachází více než 50 % původních druhů vyšších rostlin, 26% mechorostů a 20-25% hub, 20% druhů savců a 50 % druhů ryb, obojživelníků a plazů (viz graf č. 5 v Příloze 1). Za nejvíce ohrožené skupiny živočichů jsou obecně považovány populace bezobratlých (např. motýli). ČR se s více jak 11% vyhynulých druhů denních motýlů řadí na 4. místo v relativním, a na 1. místo v absolutním počtu ztrát v Evropě.</w:t>
      </w:r>
    </w:p>
    <w:p w:rsidR="00B17192" w:rsidRPr="00373DD4" w:rsidRDefault="00B17192" w:rsidP="00B17192">
      <w:pPr>
        <w:rPr>
          <w:rFonts w:eastAsia="Times New Roman" w:cs="Calibri"/>
        </w:rPr>
      </w:pPr>
      <w:r w:rsidRPr="00373DD4">
        <w:rPr>
          <w:rFonts w:eastAsia="Times New Roman" w:cs="Calibri"/>
        </w:rPr>
        <w:t xml:space="preserve">Pokles stavu populací </w:t>
      </w:r>
      <w:r>
        <w:rPr>
          <w:rFonts w:eastAsia="Times New Roman" w:cs="Calibri"/>
        </w:rPr>
        <w:t>se dle</w:t>
      </w:r>
      <w:r w:rsidRPr="00373DD4">
        <w:rPr>
          <w:rFonts w:eastAsia="Times New Roman" w:cs="Calibri"/>
        </w:rPr>
        <w:t xml:space="preserve"> index</w:t>
      </w:r>
      <w:r>
        <w:rPr>
          <w:rFonts w:eastAsia="Times New Roman" w:cs="Calibri"/>
        </w:rPr>
        <w:t>u</w:t>
      </w:r>
      <w:r w:rsidRPr="00373DD4">
        <w:rPr>
          <w:rFonts w:eastAsia="Times New Roman" w:cs="Calibri"/>
        </w:rPr>
        <w:t xml:space="preserve"> běžných druhů ptáků (viz graf č. 6 v Příloze 1) týká nejvíce ptáků otevřených stanovišť a zemědělské krajiny (např. drop velký, u nějž došlo k vymizení hnízdní populace, čejka chocholatá, u níž je úbytek 91%) a z části také vodních druhů. U lesních druhů jsou ohroženy pouze některé skupiny - např.  tetřevovití (populace tetřeva hlušce čítá pouze cca 280 jedinců, u tetřívka je počet vyšší, mezi lety 2000 a 2005 však došlo k 20 % poklesu velikosti populace), celkově ohrožené jsou také druhy vázané na staré a </w:t>
      </w:r>
      <w:proofErr w:type="spellStart"/>
      <w:r w:rsidRPr="00373DD4">
        <w:rPr>
          <w:rFonts w:eastAsia="Times New Roman" w:cs="Calibri"/>
        </w:rPr>
        <w:t>doupné</w:t>
      </w:r>
      <w:proofErr w:type="spellEnd"/>
      <w:r w:rsidRPr="00373DD4">
        <w:rPr>
          <w:rFonts w:eastAsia="Times New Roman" w:cs="Calibri"/>
        </w:rPr>
        <w:t xml:space="preserve"> stromy.</w:t>
      </w:r>
    </w:p>
    <w:p w:rsidR="00B17192" w:rsidRDefault="00B17192" w:rsidP="00B17192">
      <w:pPr>
        <w:rPr>
          <w:rFonts w:eastAsia="Times New Roman" w:cs="Calibri"/>
          <w:bCs/>
        </w:rPr>
      </w:pPr>
      <w:r w:rsidRPr="00373DD4">
        <w:rPr>
          <w:rFonts w:eastAsia="Times New Roman" w:cs="Calibri"/>
        </w:rPr>
        <w:t>V ČR se vyskytuje řada nepůvodních a invazně se šířících druhů</w:t>
      </w:r>
      <w:r>
        <w:rPr>
          <w:rFonts w:eastAsia="Times New Roman" w:cs="Calibri"/>
        </w:rPr>
        <w:t xml:space="preserve"> </w:t>
      </w:r>
      <w:r w:rsidRPr="00373DD4">
        <w:rPr>
          <w:rFonts w:eastAsia="Times New Roman" w:cs="Calibri"/>
        </w:rPr>
        <w:t>nepříznivě ovlivňují</w:t>
      </w:r>
      <w:r>
        <w:rPr>
          <w:rFonts w:eastAsia="Times New Roman" w:cs="Calibri"/>
        </w:rPr>
        <w:t xml:space="preserve">cích stav </w:t>
      </w:r>
      <w:r w:rsidRPr="00373DD4">
        <w:rPr>
          <w:rFonts w:eastAsia="Times New Roman" w:cs="Calibri"/>
        </w:rPr>
        <w:t xml:space="preserve">stanovišť i druhů a </w:t>
      </w:r>
      <w:r>
        <w:rPr>
          <w:rFonts w:eastAsia="Times New Roman" w:cs="Calibri"/>
        </w:rPr>
        <w:t>pří</w:t>
      </w:r>
      <w:r w:rsidRPr="00373DD4">
        <w:rPr>
          <w:rFonts w:eastAsia="Times New Roman" w:cs="Calibri"/>
        </w:rPr>
        <w:t>padně zhoršují</w:t>
      </w:r>
      <w:r>
        <w:rPr>
          <w:rFonts w:eastAsia="Times New Roman" w:cs="Calibri"/>
        </w:rPr>
        <w:t>cích</w:t>
      </w:r>
      <w:r w:rsidRPr="00373DD4">
        <w:rPr>
          <w:rFonts w:eastAsia="Times New Roman" w:cs="Calibri"/>
        </w:rPr>
        <w:t xml:space="preserve"> hospodářsk</w:t>
      </w:r>
      <w:r>
        <w:rPr>
          <w:rFonts w:eastAsia="Times New Roman" w:cs="Calibri"/>
        </w:rPr>
        <w:t xml:space="preserve">é </w:t>
      </w:r>
      <w:r w:rsidRPr="00373DD4">
        <w:rPr>
          <w:rFonts w:eastAsia="Times New Roman" w:cs="Calibri"/>
        </w:rPr>
        <w:t xml:space="preserve">a další funkce půdy. U rostlin bylo zaznamenáno více než 1400 nepůvodních druhů, z nichž je nejméně 60 považováno za invazní. Mezi nejproblematičtější patří křídlatky, netýkavka </w:t>
      </w:r>
      <w:proofErr w:type="spellStart"/>
      <w:r w:rsidRPr="00373DD4">
        <w:rPr>
          <w:rFonts w:eastAsia="Times New Roman" w:cs="Calibri"/>
        </w:rPr>
        <w:t>žlaznatá</w:t>
      </w:r>
      <w:proofErr w:type="spellEnd"/>
      <w:r w:rsidRPr="00373DD4">
        <w:rPr>
          <w:rFonts w:eastAsia="Times New Roman" w:cs="Calibri"/>
        </w:rPr>
        <w:t xml:space="preserve">, bolševník velkolepý, zlatobýly, topinambur a v některých oblastech i vlčí bob nebo šťovík alpský. Z dřevin pak trnovník akát, pajasan </w:t>
      </w:r>
      <w:proofErr w:type="spellStart"/>
      <w:r w:rsidRPr="00373DD4">
        <w:rPr>
          <w:rFonts w:eastAsia="Times New Roman" w:cs="Calibri"/>
        </w:rPr>
        <w:t>žlaznatý</w:t>
      </w:r>
      <w:proofErr w:type="spellEnd"/>
      <w:r w:rsidRPr="00373DD4">
        <w:rPr>
          <w:rFonts w:eastAsia="Times New Roman" w:cs="Calibri"/>
        </w:rPr>
        <w:t>, javor jasanolistý, dub červený nebo borovice ve</w:t>
      </w:r>
      <w:r>
        <w:rPr>
          <w:rFonts w:eastAsia="Times New Roman" w:cs="Calibri"/>
        </w:rPr>
        <w:t>jmutovka.  Obdobná situace je i </w:t>
      </w:r>
      <w:r w:rsidRPr="00373DD4">
        <w:rPr>
          <w:rFonts w:eastAsia="Times New Roman" w:cs="Calibri"/>
        </w:rPr>
        <w:t>u živočichů</w:t>
      </w:r>
      <w:r w:rsidRPr="00373DD4">
        <w:rPr>
          <w:rFonts w:eastAsia="Times New Roman" w:cs="Calibri"/>
          <w:bCs/>
        </w:rPr>
        <w:t xml:space="preserve">, z nichž nejvážněji ovlivňují dochované přírodní hodnoty především nepůvodní druhy raků (přenášející nákazu tzv. račího moru), norek americký, psík mývalovitý, mýval severní. </w:t>
      </w:r>
    </w:p>
    <w:p w:rsidR="00B17192" w:rsidRPr="00373DD4" w:rsidRDefault="00B17192" w:rsidP="00EB6C6E">
      <w:pPr>
        <w:spacing w:after="0" w:afterAutospacing="0"/>
        <w:rPr>
          <w:rFonts w:eastAsia="Times New Roman" w:cs="Times New Roman"/>
        </w:rPr>
      </w:pPr>
      <w:r w:rsidRPr="00373DD4">
        <w:rPr>
          <w:rFonts w:eastAsia="Times New Roman" w:cs="Times New Roman"/>
        </w:rPr>
        <w:t xml:space="preserve">Nejzávažnějšími současnými problémy jsou: </w:t>
      </w:r>
    </w:p>
    <w:p w:rsidR="00B17192" w:rsidRPr="00373DD4" w:rsidRDefault="00B17192" w:rsidP="00EB6C6E">
      <w:pPr>
        <w:numPr>
          <w:ilvl w:val="0"/>
          <w:numId w:val="75"/>
        </w:numPr>
        <w:spacing w:after="0" w:afterAutospacing="0"/>
        <w:contextualSpacing/>
        <w:rPr>
          <w:rFonts w:eastAsia="Times New Roman" w:cs="Times New Roman"/>
          <w:b/>
        </w:rPr>
      </w:pPr>
      <w:r>
        <w:rPr>
          <w:rFonts w:eastAsia="Times New Roman" w:cs="Times New Roman"/>
          <w:b/>
        </w:rPr>
        <w:t>s</w:t>
      </w:r>
      <w:r w:rsidRPr="00373DD4">
        <w:rPr>
          <w:rFonts w:eastAsia="Times New Roman" w:cs="Times New Roman"/>
          <w:b/>
        </w:rPr>
        <w:t>nižování biodiverzity v souvislosti s nedostatečnou péčí o biologicky cenná území (ZCHÚ, Natura 2000, HNV)</w:t>
      </w:r>
      <w:r>
        <w:rPr>
          <w:rFonts w:eastAsia="Times New Roman" w:cs="Times New Roman"/>
          <w:b/>
        </w:rPr>
        <w:t>,</w:t>
      </w:r>
    </w:p>
    <w:p w:rsidR="00B17192" w:rsidRPr="00373DD4" w:rsidRDefault="00B17192" w:rsidP="00B17192">
      <w:pPr>
        <w:numPr>
          <w:ilvl w:val="0"/>
          <w:numId w:val="75"/>
        </w:numPr>
        <w:contextualSpacing/>
        <w:rPr>
          <w:rFonts w:eastAsia="Times New Roman" w:cs="Times New Roman"/>
        </w:rPr>
      </w:pPr>
      <w:r>
        <w:rPr>
          <w:rFonts w:eastAsia="Times New Roman" w:cs="Times New Roman"/>
          <w:b/>
        </w:rPr>
        <w:t>z</w:t>
      </w:r>
      <w:r w:rsidRPr="00373DD4">
        <w:rPr>
          <w:rFonts w:eastAsia="Times New Roman" w:cs="Times New Roman"/>
          <w:b/>
        </w:rPr>
        <w:t>tráta a oslabování přirozených funkcí krajiny, zejména v souvislosti s narušením přirozeného vodního režimu</w:t>
      </w:r>
      <w:r>
        <w:rPr>
          <w:rFonts w:eastAsia="Times New Roman" w:cs="Times New Roman"/>
        </w:rPr>
        <w:t>,</w:t>
      </w:r>
      <w:r w:rsidRPr="00373DD4">
        <w:rPr>
          <w:rFonts w:eastAsia="Times New Roman" w:cs="Times New Roman"/>
        </w:rPr>
        <w:t xml:space="preserve"> </w:t>
      </w:r>
    </w:p>
    <w:p w:rsidR="00B17192" w:rsidRDefault="00B17192" w:rsidP="00B17192">
      <w:pPr>
        <w:numPr>
          <w:ilvl w:val="0"/>
          <w:numId w:val="75"/>
        </w:numPr>
        <w:contextualSpacing/>
        <w:rPr>
          <w:rFonts w:eastAsia="Times New Roman" w:cs="Times New Roman"/>
        </w:rPr>
      </w:pPr>
      <w:r w:rsidRPr="00373DD4">
        <w:rPr>
          <w:rFonts w:eastAsia="Times New Roman" w:cs="Times New Roman"/>
          <w:b/>
        </w:rPr>
        <w:t>Nedostatečná kvalita prostředí v sídlech z hlediska ekosystémových funkcí</w:t>
      </w:r>
      <w:r w:rsidR="005876BE">
        <w:rPr>
          <w:rFonts w:eastAsia="Times New Roman" w:cs="Times New Roman"/>
          <w:b/>
        </w:rPr>
        <w:t>.</w:t>
      </w:r>
    </w:p>
    <w:p w:rsidR="00B17192" w:rsidRPr="00373DD4" w:rsidRDefault="00B17192" w:rsidP="00B17192">
      <w:pPr>
        <w:ind w:left="720"/>
        <w:contextualSpacing/>
        <w:rPr>
          <w:rFonts w:eastAsia="Times New Roman" w:cs="Times New Roman"/>
        </w:rPr>
      </w:pPr>
    </w:p>
    <w:p w:rsidR="00B17192" w:rsidRPr="00373DD4" w:rsidRDefault="00B17192" w:rsidP="00B17192">
      <w:pPr>
        <w:rPr>
          <w:rFonts w:eastAsia="Times New Roman" w:cs="Times New Roman"/>
          <w:b/>
        </w:rPr>
      </w:pPr>
      <w:r w:rsidRPr="00373DD4">
        <w:rPr>
          <w:rFonts w:eastAsia="Times New Roman" w:cs="Times New Roman"/>
          <w:b/>
        </w:rPr>
        <w:t>Aktuální stav – Příčiny</w:t>
      </w:r>
    </w:p>
    <w:p w:rsidR="00B17192" w:rsidRPr="00373DD4" w:rsidRDefault="00B17192" w:rsidP="00B17192">
      <w:pPr>
        <w:rPr>
          <w:rFonts w:eastAsia="Times New Roman" w:cs="Times New Roman"/>
        </w:rPr>
      </w:pPr>
      <w:r w:rsidRPr="00373DD4">
        <w:rPr>
          <w:rFonts w:eastAsia="Times New Roman" w:cs="Times New Roman"/>
        </w:rPr>
        <w:t xml:space="preserve">Většinu území ČR tvoří </w:t>
      </w:r>
      <w:proofErr w:type="spellStart"/>
      <w:r w:rsidRPr="00373DD4">
        <w:rPr>
          <w:rFonts w:eastAsia="Times New Roman" w:cs="Times New Roman"/>
        </w:rPr>
        <w:t>lesozemědělská</w:t>
      </w:r>
      <w:proofErr w:type="spellEnd"/>
      <w:r w:rsidRPr="00373DD4">
        <w:rPr>
          <w:rFonts w:eastAsia="Times New Roman" w:cs="Times New Roman"/>
        </w:rPr>
        <w:t xml:space="preserve"> krajina s vysokým podílem orné půdy, travních porostů a lesů. R</w:t>
      </w:r>
      <w:r w:rsidRPr="00373DD4">
        <w:rPr>
          <w:rFonts w:eastAsia="Times New Roman" w:cs="Calibri"/>
          <w:bCs/>
        </w:rPr>
        <w:t>ozvoj ČR je za</w:t>
      </w:r>
      <w:r w:rsidRPr="00373DD4">
        <w:rPr>
          <w:rFonts w:eastAsia="Times New Roman" w:cs="Times New Roman"/>
        </w:rPr>
        <w:t xml:space="preserve"> posledních </w:t>
      </w:r>
      <w:r w:rsidRPr="00373DD4">
        <w:rPr>
          <w:rFonts w:eastAsia="Times New Roman" w:cs="Calibri"/>
          <w:bCs/>
        </w:rPr>
        <w:t>200 let doprovázen stále častějšími</w:t>
      </w:r>
      <w:r w:rsidRPr="00373DD4">
        <w:rPr>
          <w:rFonts w:eastAsia="Times New Roman" w:cs="Times New Roman"/>
        </w:rPr>
        <w:t xml:space="preserve"> a </w:t>
      </w:r>
      <w:r w:rsidRPr="00373DD4">
        <w:rPr>
          <w:rFonts w:eastAsia="Times New Roman" w:cs="Calibri"/>
          <w:bCs/>
        </w:rPr>
        <w:t xml:space="preserve">plošně významnějšími </w:t>
      </w:r>
      <w:r w:rsidRPr="00373DD4">
        <w:rPr>
          <w:rFonts w:eastAsia="Times New Roman" w:cs="Calibri"/>
          <w:bCs/>
        </w:rPr>
        <w:lastRenderedPageBreak/>
        <w:t xml:space="preserve">změnami využívání krajiny, </w:t>
      </w:r>
      <w:r w:rsidRPr="00373DD4">
        <w:rPr>
          <w:rFonts w:eastAsia="Times New Roman" w:cs="Times New Roman"/>
        </w:rPr>
        <w:t xml:space="preserve">a </w:t>
      </w:r>
      <w:r w:rsidRPr="00373DD4">
        <w:rPr>
          <w:rFonts w:eastAsia="Times New Roman" w:cs="Calibri"/>
          <w:bCs/>
        </w:rPr>
        <w:t>to jak ve struktuře, tak ve způsobu i intenzitě čímž dochází zejména v posledních desetiletích k závažnému oslabování přirozených funkcí krajiny</w:t>
      </w:r>
      <w:r w:rsidRPr="00373DD4">
        <w:rPr>
          <w:rFonts w:eastAsia="Times New Roman" w:cs="Times New Roman"/>
        </w:rPr>
        <w:t xml:space="preserve">. </w:t>
      </w:r>
    </w:p>
    <w:p w:rsidR="00B17192" w:rsidRPr="00373DD4" w:rsidRDefault="00B17192" w:rsidP="00B17192">
      <w:pPr>
        <w:rPr>
          <w:rFonts w:eastAsia="Times New Roman" w:cs="Times New Roman"/>
        </w:rPr>
      </w:pPr>
      <w:r w:rsidRPr="00373DD4">
        <w:rPr>
          <w:rFonts w:eastAsia="Times New Roman" w:cs="Times New Roman"/>
          <w:b/>
          <w:iCs/>
          <w:szCs w:val="20"/>
        </w:rPr>
        <w:t xml:space="preserve">Současné intenzivní způsoby a struktura hospodářského využívání krajiny, </w:t>
      </w:r>
      <w:r w:rsidRPr="00373DD4">
        <w:rPr>
          <w:rFonts w:eastAsia="Times New Roman" w:cs="Times New Roman"/>
          <w:iCs/>
          <w:szCs w:val="20"/>
        </w:rPr>
        <w:t>z</w:t>
      </w:r>
      <w:r w:rsidRPr="00373DD4">
        <w:rPr>
          <w:rFonts w:eastAsia="Times New Roman" w:cs="Times New Roman"/>
          <w:bCs/>
        </w:rPr>
        <w:t xml:space="preserve">ejména </w:t>
      </w:r>
      <w:r w:rsidRPr="00373DD4">
        <w:rPr>
          <w:rFonts w:eastAsia="Times New Roman" w:cs="Times New Roman"/>
        </w:rPr>
        <w:t>i</w:t>
      </w:r>
      <w:r w:rsidRPr="00373DD4">
        <w:rPr>
          <w:rFonts w:eastAsia="Times New Roman" w:cs="Times New Roman"/>
          <w:iCs/>
          <w:szCs w:val="20"/>
        </w:rPr>
        <w:t xml:space="preserve">ntenzivní lesní hospodaření a zemědělství, regulace vodních toků a niv, rozvoj sídel a infrastruktury a také intenzivní rozvoj rekreace způsobuje </w:t>
      </w:r>
      <w:r w:rsidRPr="00373DD4">
        <w:rPr>
          <w:rFonts w:eastAsia="Times New Roman" w:cs="Times New Roman"/>
          <w:b/>
          <w:bCs/>
        </w:rPr>
        <w:t xml:space="preserve">degradaci a úbytek přirozených stanovišť. </w:t>
      </w:r>
      <w:r w:rsidRPr="00373DD4">
        <w:rPr>
          <w:rFonts w:eastAsia="Times New Roman" w:cs="Times New Roman"/>
          <w:bCs/>
        </w:rPr>
        <w:t xml:space="preserve">Negativní dopady však má v některých územích také ukončení tradičního a plošně diverzifikovaného zemědělského a lesnického hospodaření, které dlouho vytvářelo stanovištní podmínky pro existenci specifických společenstev a </w:t>
      </w:r>
      <w:r w:rsidRPr="00373DD4">
        <w:rPr>
          <w:rFonts w:eastAsia="Times New Roman" w:cs="Times New Roman"/>
          <w:iCs/>
          <w:szCs w:val="20"/>
        </w:rPr>
        <w:t xml:space="preserve">řady </w:t>
      </w:r>
      <w:r w:rsidRPr="00373DD4">
        <w:rPr>
          <w:rFonts w:eastAsia="Times New Roman" w:cs="Times New Roman"/>
        </w:rPr>
        <w:t>vzácných druhů.</w:t>
      </w:r>
      <w:r w:rsidRPr="00373DD4">
        <w:rPr>
          <w:rFonts w:eastAsia="Times New Roman" w:cs="Times New Roman"/>
          <w:iCs/>
          <w:szCs w:val="20"/>
        </w:rPr>
        <w:t xml:space="preserve"> K poklesu druhové rozmanitosti přispívá rostoucí fragmentace krajiny a omezování konektivity krajiny se snížením migrační prostupnosti (bariérový efekt dopravních staveb, sídelních a průmyslových areálů, rozsáhlých ploch monokultur atp.). </w:t>
      </w:r>
    </w:p>
    <w:p w:rsidR="00B17192" w:rsidRPr="00373DD4" w:rsidRDefault="00B17192" w:rsidP="00B17192">
      <w:pPr>
        <w:rPr>
          <w:rFonts w:eastAsia="Times New Roman" w:cs="Times New Roman"/>
        </w:rPr>
      </w:pPr>
      <w:r w:rsidRPr="00373DD4">
        <w:rPr>
          <w:rFonts w:eastAsia="Times New Roman" w:cs="Times New Roman"/>
        </w:rPr>
        <w:t xml:space="preserve">Změny ve způsobu využívání krajiny ovlivňují také chráněná území, reprezentující lokality s unikátní nebo reprezentativní biologickou rozmanitostí a to jak na úrovni druhů, populací, společenstev či stanovišť nebo lokality, jejichž předmětem ochrany jsou prvky neživé přírody.  V ČR je celkem 2 478 zvláště chráněných území, v několika kategoriích o výměře 1 257 426 ha, což představuje 15,9 % rozlohy a celkem 1116 území Natura 2000 o výměře 1 106 117 (viz obrázky č. 10 a 11 v Příloze 1) což představuje 14,3 % rozlohy, tato území se z části překrývají. Celkem se jedná o 3 500 oblastí, které představují 21,38 % rozlohy území ČR. </w:t>
      </w:r>
    </w:p>
    <w:p w:rsidR="00B17192" w:rsidRPr="00373DD4" w:rsidRDefault="00B17192" w:rsidP="00B17192">
      <w:pPr>
        <w:rPr>
          <w:rFonts w:eastAsia="Times New Roman" w:cs="Calibri"/>
          <w:bCs/>
        </w:rPr>
      </w:pPr>
      <w:r w:rsidRPr="00373DD4">
        <w:rPr>
          <w:rFonts w:eastAsia="Times New Roman" w:cs="Times New Roman"/>
        </w:rPr>
        <w:t>N</w:t>
      </w:r>
      <w:r w:rsidRPr="00373DD4">
        <w:rPr>
          <w:rFonts w:eastAsia="Times New Roman" w:cs="Times New Roman"/>
          <w:bCs/>
        </w:rPr>
        <w:t>ejvětší dopady na ekologickou stabilitu krajiny má</w:t>
      </w:r>
      <w:r w:rsidRPr="00373DD4">
        <w:rPr>
          <w:rFonts w:eastAsia="Times New Roman" w:cs="Times New Roman"/>
          <w:b/>
        </w:rPr>
        <w:t> narušení přirozeného vodního režimu krajiny, který se projevuje zrychleným odtokem vody a sníženou retenční schopností</w:t>
      </w:r>
      <w:r w:rsidRPr="00373DD4">
        <w:rPr>
          <w:rFonts w:eastAsia="Times New Roman" w:cs="Times New Roman"/>
          <w:b/>
          <w:iCs/>
          <w:szCs w:val="20"/>
        </w:rPr>
        <w:t xml:space="preserve">. </w:t>
      </w:r>
      <w:r w:rsidRPr="00373DD4">
        <w:rPr>
          <w:rFonts w:eastAsia="Times New Roman" w:cs="Times New Roman"/>
          <w:iCs/>
          <w:szCs w:val="20"/>
        </w:rPr>
        <w:t>Za účelem získání maximálních ploch pro zemědělskou výrobu bylo v historii provedeno plošné odvodnění krajiny, doprovázené likvidací krajinných prvků, což vedlo k zániku mnoha cenných stanovišť a zjednodušení krajinné mozaiky.</w:t>
      </w:r>
      <w:r w:rsidRPr="00373DD4">
        <w:rPr>
          <w:rFonts w:eastAsia="Times New Roman" w:cs="Calibri"/>
        </w:rPr>
        <w:t xml:space="preserve"> Přes vysokou lesnatost území i pozitivní změny v posledních letech není z hlediska odolnosti, vodního režimu a biodiverzity uspokojivý ani stav lesních ekosystémů, neboť převažuje zájem na produkci dříví formou holosečného hospodaření nad dlouhodobou udržitelností hospodářského lesa.</w:t>
      </w:r>
      <w:r w:rsidRPr="00373DD4">
        <w:rPr>
          <w:rFonts w:eastAsia="Times New Roman" w:cs="Times New Roman"/>
        </w:rPr>
        <w:t xml:space="preserve"> </w:t>
      </w:r>
      <w:r w:rsidRPr="00373DD4">
        <w:rPr>
          <w:rFonts w:eastAsia="Times New Roman" w:cs="Times New Roman"/>
          <w:iCs/>
          <w:szCs w:val="20"/>
        </w:rPr>
        <w:t xml:space="preserve">Obecně se snižuje </w:t>
      </w:r>
      <w:r w:rsidRPr="00373DD4">
        <w:rPr>
          <w:rFonts w:eastAsia="Times New Roman" w:cs="Calibri"/>
          <w:bCs/>
        </w:rPr>
        <w:t xml:space="preserve">ekologická stabilita a přirozená regenerační schopnost krajiny; klesá její odolnost a adaptabilita vůči zvyšující se četnosti extrémních klimatických jevů. </w:t>
      </w:r>
    </w:p>
    <w:p w:rsidR="00B17192" w:rsidRDefault="00B17192" w:rsidP="00B17192">
      <w:pPr>
        <w:rPr>
          <w:rFonts w:eastAsia="Times New Roman" w:cs="Times New Roman"/>
        </w:rPr>
      </w:pPr>
      <w:r w:rsidRPr="00373DD4">
        <w:rPr>
          <w:rFonts w:eastAsia="Times New Roman" w:cs="Times New Roman"/>
        </w:rPr>
        <w:t xml:space="preserve">Specifická je situace v sídlech, zejména ve větších městech, kde postupně narůstá podíl zpevněných nepropustných ploch na úkor </w:t>
      </w:r>
      <w:r>
        <w:rPr>
          <w:rFonts w:eastAsia="Times New Roman" w:cs="Times New Roman"/>
        </w:rPr>
        <w:t xml:space="preserve">ploch </w:t>
      </w:r>
      <w:r w:rsidRPr="00373DD4">
        <w:rPr>
          <w:rFonts w:eastAsia="Times New Roman" w:cs="Times New Roman"/>
        </w:rPr>
        <w:t xml:space="preserve">zeleně, na něž jsou vázány důležité funkce (regulace kvality ovzduší, místních klimatických poměrů a vodního režimu) a biodiverzita. Z hlediska diverzity druhů a přírodních stanovišť je sídelní prostředí ochuzené vlivem nevhodné druhové skladby porostů a absence vertikální i horizontální členitosti porostů. Kromě poklesu ploch zeleně klesá zastoupení vodních a mokřadních stanovišť, a tím klesá schopnost sídelních ekosystémů zadržovat a pozvolna uvolňovat vodu. </w:t>
      </w:r>
    </w:p>
    <w:p w:rsidR="00B17192" w:rsidRPr="00373DD4" w:rsidRDefault="00B17192" w:rsidP="00B17192">
      <w:pPr>
        <w:rPr>
          <w:rFonts w:eastAsia="Times New Roman" w:cs="Times New Roman"/>
          <w:b/>
        </w:rPr>
      </w:pPr>
      <w:r w:rsidRPr="00373DD4">
        <w:rPr>
          <w:rFonts w:eastAsia="Times New Roman" w:cs="Times New Roman"/>
          <w:b/>
        </w:rPr>
        <w:t>Hodnocení přínosu OP ŽP 2007-2013</w:t>
      </w:r>
    </w:p>
    <w:p w:rsidR="00B17192" w:rsidRPr="00373DD4" w:rsidRDefault="00B17192" w:rsidP="00B17192">
      <w:pPr>
        <w:rPr>
          <w:rFonts w:eastAsia="Times New Roman" w:cs="Times New Roman"/>
        </w:rPr>
      </w:pPr>
      <w:r w:rsidRPr="00373DD4">
        <w:rPr>
          <w:rFonts w:eastAsia="Times New Roman" w:cs="Times New Roman"/>
        </w:rPr>
        <w:t>Hlavním cílem bylo zastavení poklesu biodiverzity a zvýšení e</w:t>
      </w:r>
      <w:r>
        <w:rPr>
          <w:rFonts w:eastAsia="Times New Roman" w:cs="Times New Roman"/>
        </w:rPr>
        <w:t>kologické stability krajiny. Do </w:t>
      </w:r>
      <w:r w:rsidRPr="00373DD4">
        <w:rPr>
          <w:rFonts w:eastAsia="Times New Roman" w:cs="Times New Roman"/>
        </w:rPr>
        <w:t xml:space="preserve">února 2014 proběhlo celkem 10 výzev. Počet </w:t>
      </w:r>
      <w:r>
        <w:rPr>
          <w:rFonts w:eastAsia="Times New Roman" w:cs="Times New Roman"/>
        </w:rPr>
        <w:t xml:space="preserve">podpořených </w:t>
      </w:r>
      <w:r w:rsidRPr="00373DD4">
        <w:rPr>
          <w:rFonts w:eastAsia="Times New Roman" w:cs="Times New Roman"/>
        </w:rPr>
        <w:t xml:space="preserve">projektů </w:t>
      </w:r>
      <w:r>
        <w:rPr>
          <w:rFonts w:eastAsia="Times New Roman" w:cs="Times New Roman"/>
        </w:rPr>
        <w:t xml:space="preserve">dosáhl </w:t>
      </w:r>
      <w:r w:rsidRPr="00373DD4">
        <w:rPr>
          <w:rFonts w:eastAsia="Times New Roman" w:cs="Times New Roman"/>
        </w:rPr>
        <w:t xml:space="preserve">do přelomu února a března 2014 počtu 9 137 s celkovým finančním nárokem 7, 680 </w:t>
      </w:r>
      <w:proofErr w:type="spellStart"/>
      <w:r w:rsidRPr="00373DD4">
        <w:rPr>
          <w:rFonts w:eastAsia="Times New Roman" w:cs="Times New Roman"/>
        </w:rPr>
        <w:t>m</w:t>
      </w:r>
      <w:r>
        <w:rPr>
          <w:rFonts w:eastAsia="Times New Roman" w:cs="Times New Roman"/>
        </w:rPr>
        <w:t>ld</w:t>
      </w:r>
      <w:proofErr w:type="spellEnd"/>
      <w:r w:rsidRPr="00373DD4">
        <w:rPr>
          <w:rFonts w:eastAsia="Times New Roman" w:cs="Times New Roman"/>
        </w:rPr>
        <w:t xml:space="preserve"> Kč.</w:t>
      </w:r>
    </w:p>
    <w:p w:rsidR="00B17192" w:rsidRPr="00373DD4" w:rsidRDefault="00B17192" w:rsidP="00B17192">
      <w:pPr>
        <w:rPr>
          <w:rFonts w:eastAsia="Times New Roman" w:cs="Times New Roman"/>
        </w:rPr>
      </w:pPr>
      <w:r w:rsidRPr="00373DD4">
        <w:rPr>
          <w:rFonts w:eastAsia="Times New Roman" w:cs="Times New Roman"/>
        </w:rPr>
        <w:lastRenderedPageBreak/>
        <w:t>Dopad realizovaných opatření na posílení biodiverzity či ekologické stability není okamžitý a výsledný efekt lze zpravidla vysledovat za delší období (v řádu let)</w:t>
      </w:r>
      <w:r>
        <w:rPr>
          <w:rFonts w:eastAsia="Times New Roman" w:cs="Times New Roman"/>
        </w:rPr>
        <w:t>.</w:t>
      </w:r>
    </w:p>
    <w:p w:rsidR="00B17192" w:rsidRPr="00373DD4" w:rsidRDefault="00B17192" w:rsidP="00B17192">
      <w:pPr>
        <w:rPr>
          <w:rFonts w:eastAsia="Times New Roman" w:cs="Times New Roman"/>
          <w:b/>
        </w:rPr>
      </w:pPr>
      <w:r w:rsidRPr="00373DD4">
        <w:rPr>
          <w:rFonts w:eastAsia="Times New Roman" w:cs="Times New Roman"/>
          <w:b/>
        </w:rPr>
        <w:t xml:space="preserve">Strategický přístup </w:t>
      </w:r>
    </w:p>
    <w:p w:rsidR="00B17192" w:rsidRDefault="00B17192" w:rsidP="00B17192">
      <w:pPr>
        <w:rPr>
          <w:rFonts w:eastAsia="Calibri" w:cs="Times New Roman"/>
        </w:rPr>
      </w:pPr>
      <w:r w:rsidRPr="00373DD4">
        <w:rPr>
          <w:rFonts w:eastAsia="Calibri" w:cs="Times New Roman"/>
        </w:rPr>
        <w:t xml:space="preserve">Prioritní osa 4: Ochrana a péče o přírodu a krajinu (dále „PO 4“) je formulována v souladu se </w:t>
      </w:r>
      <w:r w:rsidRPr="00373DD4">
        <w:rPr>
          <w:rFonts w:eastAsia="Calibri" w:cs="Times New Roman"/>
          <w:b/>
        </w:rPr>
        <w:t>Strategií EU v oblasti biologické rozmanitosti do r. 2020</w:t>
      </w:r>
      <w:r>
        <w:rPr>
          <w:rFonts w:eastAsia="Calibri" w:cs="Times New Roman"/>
        </w:rPr>
        <w:t xml:space="preserve"> a jejím z</w:t>
      </w:r>
      <w:r w:rsidRPr="00373DD4">
        <w:rPr>
          <w:rFonts w:eastAsia="Calibri" w:cs="Times New Roman"/>
        </w:rPr>
        <w:t xml:space="preserve">ákladním cílem je </w:t>
      </w:r>
      <w:r>
        <w:rPr>
          <w:rFonts w:eastAsia="Calibri" w:cs="Times New Roman"/>
        </w:rPr>
        <w:t xml:space="preserve">tedy </w:t>
      </w:r>
      <w:r w:rsidRPr="00373DD4">
        <w:rPr>
          <w:rFonts w:eastAsia="Calibri" w:cs="Times New Roman"/>
        </w:rPr>
        <w:t xml:space="preserve">zastavení úbytku biologické rozmanitosti a degradace ekosystémových služeb. Dílčí cíle zahrnují naplňování </w:t>
      </w:r>
      <w:r>
        <w:rPr>
          <w:rFonts w:eastAsia="Calibri" w:cs="Times New Roman"/>
        </w:rPr>
        <w:t xml:space="preserve">stěžejní </w:t>
      </w:r>
      <w:r w:rsidRPr="00373DD4">
        <w:rPr>
          <w:rFonts w:eastAsia="Calibri" w:cs="Times New Roman"/>
        </w:rPr>
        <w:t>legislativy EU</w:t>
      </w:r>
      <w:r>
        <w:rPr>
          <w:rFonts w:eastAsia="Calibri" w:cs="Times New Roman"/>
        </w:rPr>
        <w:t xml:space="preserve">, zejména </w:t>
      </w:r>
      <w:r w:rsidRPr="00373DD4">
        <w:rPr>
          <w:rFonts w:eastAsia="Calibri" w:cs="Times New Roman"/>
        </w:rPr>
        <w:t>Směrnice 92/43/EHS a 2009/147/ES, zachování a</w:t>
      </w:r>
      <w:r w:rsidR="00C20460">
        <w:rPr>
          <w:rFonts w:eastAsia="Calibri" w:cs="Times New Roman"/>
        </w:rPr>
        <w:t> </w:t>
      </w:r>
      <w:r w:rsidRPr="00373DD4">
        <w:rPr>
          <w:rFonts w:eastAsia="Calibri" w:cs="Times New Roman"/>
        </w:rPr>
        <w:t xml:space="preserve">obnovu ekosystémů a </w:t>
      </w:r>
      <w:r>
        <w:rPr>
          <w:rFonts w:eastAsia="Calibri" w:cs="Times New Roman"/>
        </w:rPr>
        <w:t> </w:t>
      </w:r>
      <w:r w:rsidRPr="00373DD4">
        <w:rPr>
          <w:rFonts w:eastAsia="Calibri" w:cs="Times New Roman"/>
        </w:rPr>
        <w:t>jejich služeb</w:t>
      </w:r>
      <w:r>
        <w:rPr>
          <w:rFonts w:eastAsia="Calibri" w:cs="Times New Roman"/>
        </w:rPr>
        <w:t xml:space="preserve">, </w:t>
      </w:r>
      <w:r w:rsidRPr="00373DD4">
        <w:rPr>
          <w:rFonts w:eastAsia="Calibri" w:cs="Times New Roman"/>
        </w:rPr>
        <w:t>boj s nepůvodními invazními druhy a</w:t>
      </w:r>
      <w:r>
        <w:rPr>
          <w:rFonts w:eastAsia="Calibri" w:cs="Times New Roman"/>
        </w:rPr>
        <w:t> </w:t>
      </w:r>
      <w:r w:rsidRPr="00373DD4">
        <w:rPr>
          <w:rFonts w:eastAsia="Calibri" w:cs="Times New Roman"/>
        </w:rPr>
        <w:t>snahu o odvrácení úbytku biologické rozmanitosti.</w:t>
      </w:r>
    </w:p>
    <w:p w:rsidR="00B17192" w:rsidRPr="00373DD4" w:rsidRDefault="00B17192" w:rsidP="00B17192">
      <w:pPr>
        <w:rPr>
          <w:rFonts w:eastAsia="Times New Roman" w:cs="Times New Roman"/>
          <w:b/>
        </w:rPr>
      </w:pPr>
      <w:r w:rsidRPr="00373DD4">
        <w:rPr>
          <w:rFonts w:eastAsia="Calibri" w:cs="Times New Roman"/>
        </w:rPr>
        <w:t xml:space="preserve">Na národní úrovni je PO 4 formulována v souladu se </w:t>
      </w:r>
      <w:r w:rsidRPr="00373DD4">
        <w:rPr>
          <w:rFonts w:eastAsia="Calibri" w:cs="Times New Roman"/>
          <w:b/>
        </w:rPr>
        <w:t xml:space="preserve">Státní politikou životního prostředí ČR </w:t>
      </w:r>
      <w:r w:rsidRPr="00373DD4">
        <w:rPr>
          <w:rFonts w:eastAsia="Times New Roman" w:cs="Times New Roman"/>
          <w:b/>
        </w:rPr>
        <w:t>2012</w:t>
      </w:r>
      <w:r>
        <w:rPr>
          <w:rFonts w:eastAsia="Times New Roman" w:cs="Times New Roman"/>
          <w:b/>
        </w:rPr>
        <w:noBreakHyphen/>
      </w:r>
      <w:r w:rsidRPr="00373DD4">
        <w:rPr>
          <w:rFonts w:eastAsia="Times New Roman" w:cs="Times New Roman"/>
          <w:b/>
        </w:rPr>
        <w:t>2020, schválenou vládou ČR dne 9. 1. 2013, která</w:t>
      </w:r>
      <w:r w:rsidRPr="00373DD4">
        <w:rPr>
          <w:rFonts w:eastAsia="Times New Roman" w:cs="Times New Roman"/>
        </w:rPr>
        <w:t xml:space="preserve"> stanovuje pro oblast ochrany přírody a krajiny následující </w:t>
      </w:r>
      <w:r w:rsidRPr="00373DD4">
        <w:rPr>
          <w:rFonts w:eastAsia="Times New Roman" w:cs="Times New Roman"/>
          <w:b/>
        </w:rPr>
        <w:t>cíle</w:t>
      </w:r>
      <w:r>
        <w:rPr>
          <w:rFonts w:eastAsia="Times New Roman" w:cs="Times New Roman"/>
          <w:b/>
        </w:rPr>
        <w:t xml:space="preserve"> relevantní pro prioritní osu 4</w:t>
      </w:r>
      <w:r w:rsidRPr="00373DD4">
        <w:rPr>
          <w:rFonts w:eastAsia="Times New Roman" w:cs="Times New Roman"/>
          <w:b/>
        </w:rPr>
        <w:t>:</w:t>
      </w:r>
    </w:p>
    <w:p w:rsidR="00B17192" w:rsidRDefault="00B17192" w:rsidP="00B17192">
      <w:pPr>
        <w:pStyle w:val="Odstavecseseznamem"/>
        <w:numPr>
          <w:ilvl w:val="0"/>
          <w:numId w:val="79"/>
        </w:numPr>
        <w:spacing w:after="0" w:afterAutospacing="0"/>
      </w:pPr>
      <w:r>
        <w:t>s</w:t>
      </w:r>
      <w:r w:rsidRPr="002E0AAE">
        <w:t>nižov</w:t>
      </w:r>
      <w:r>
        <w:t>ání</w:t>
      </w:r>
      <w:r w:rsidRPr="002E0AAE">
        <w:t xml:space="preserve"> ohrožení zemědělské a lesní půdy a hornin erozí</w:t>
      </w:r>
      <w:r>
        <w:t>,</w:t>
      </w:r>
    </w:p>
    <w:p w:rsidR="00B17192" w:rsidRDefault="00B17192" w:rsidP="00B17192">
      <w:pPr>
        <w:pStyle w:val="Odstavecseseznamem"/>
        <w:numPr>
          <w:ilvl w:val="0"/>
          <w:numId w:val="79"/>
        </w:numPr>
        <w:spacing w:after="0" w:afterAutospacing="0"/>
      </w:pPr>
      <w:r>
        <w:t>z</w:t>
      </w:r>
      <w:r w:rsidRPr="002E0AAE">
        <w:t>výšení schopnosti přizpůsobení se změnám klimatu</w:t>
      </w:r>
      <w:r>
        <w:t>,</w:t>
      </w:r>
    </w:p>
    <w:p w:rsidR="00B17192" w:rsidRDefault="00B17192" w:rsidP="00B17192">
      <w:pPr>
        <w:pStyle w:val="Odstavecseseznamem"/>
        <w:numPr>
          <w:ilvl w:val="0"/>
          <w:numId w:val="79"/>
        </w:numPr>
        <w:spacing w:after="0" w:afterAutospacing="0"/>
      </w:pPr>
      <w:r>
        <w:t>z</w:t>
      </w:r>
      <w:r w:rsidRPr="002E0AAE">
        <w:t>výšení ekologické stability krajiny</w:t>
      </w:r>
      <w:r>
        <w:t>,</w:t>
      </w:r>
    </w:p>
    <w:p w:rsidR="00B17192" w:rsidRDefault="00B17192" w:rsidP="00B17192">
      <w:pPr>
        <w:pStyle w:val="Odstavecseseznamem"/>
        <w:numPr>
          <w:ilvl w:val="0"/>
          <w:numId w:val="79"/>
        </w:numPr>
        <w:spacing w:after="0" w:afterAutospacing="0"/>
      </w:pPr>
      <w:r>
        <w:t>o</w:t>
      </w:r>
      <w:r w:rsidRPr="002E0AAE">
        <w:t>bnov</w:t>
      </w:r>
      <w:r>
        <w:t>ení</w:t>
      </w:r>
      <w:r w:rsidRPr="002E0AAE">
        <w:t xml:space="preserve"> vodního režimu krajiny</w:t>
      </w:r>
      <w:r>
        <w:t>,</w:t>
      </w:r>
    </w:p>
    <w:p w:rsidR="00B17192" w:rsidRDefault="00B17192" w:rsidP="00B17192">
      <w:pPr>
        <w:pStyle w:val="Odstavecseseznamem"/>
        <w:numPr>
          <w:ilvl w:val="0"/>
          <w:numId w:val="79"/>
        </w:numPr>
        <w:spacing w:after="0" w:afterAutospacing="0"/>
      </w:pPr>
      <w:r>
        <w:t>o</w:t>
      </w:r>
      <w:r w:rsidRPr="002E0AAE">
        <w:t>mezení a zmírnění dopadů fragmentace krajiny</w:t>
      </w:r>
      <w:r>
        <w:t>,</w:t>
      </w:r>
    </w:p>
    <w:p w:rsidR="00B17192" w:rsidRDefault="00B17192" w:rsidP="00B17192">
      <w:pPr>
        <w:pStyle w:val="Odstavecseseznamem"/>
        <w:numPr>
          <w:ilvl w:val="0"/>
          <w:numId w:val="79"/>
        </w:numPr>
        <w:spacing w:after="0" w:afterAutospacing="0"/>
      </w:pPr>
      <w:r>
        <w:t>u</w:t>
      </w:r>
      <w:r w:rsidRPr="002E0AAE">
        <w:t>držitelné a šetrné zemědělské a lesnické hospodaření</w:t>
      </w:r>
      <w:r>
        <w:t>,</w:t>
      </w:r>
    </w:p>
    <w:p w:rsidR="00B17192" w:rsidRDefault="00B17192" w:rsidP="00B17192">
      <w:pPr>
        <w:pStyle w:val="Odstavecseseznamem"/>
        <w:numPr>
          <w:ilvl w:val="0"/>
          <w:numId w:val="79"/>
        </w:numPr>
        <w:spacing w:after="0" w:afterAutospacing="0"/>
      </w:pPr>
      <w:r>
        <w:t>z</w:t>
      </w:r>
      <w:r w:rsidRPr="002E0AAE">
        <w:t>ajištění ochrany a péče o nejcennější části přírody a krajiny</w:t>
      </w:r>
      <w:r>
        <w:t>,</w:t>
      </w:r>
    </w:p>
    <w:p w:rsidR="00B17192" w:rsidRDefault="00B17192" w:rsidP="00B17192">
      <w:pPr>
        <w:pStyle w:val="Odstavecseseznamem"/>
        <w:numPr>
          <w:ilvl w:val="0"/>
          <w:numId w:val="79"/>
        </w:numPr>
        <w:spacing w:after="0" w:afterAutospacing="0"/>
      </w:pPr>
      <w:r>
        <w:t>o</w:t>
      </w:r>
      <w:r w:rsidRPr="002E0AAE">
        <w:t>mezení úbytku původních druhů a přírodních stanovišť</w:t>
      </w:r>
      <w:r>
        <w:t>,</w:t>
      </w:r>
    </w:p>
    <w:p w:rsidR="00B17192" w:rsidRDefault="00B17192" w:rsidP="00B17192">
      <w:pPr>
        <w:pStyle w:val="Odstavecseseznamem"/>
        <w:numPr>
          <w:ilvl w:val="0"/>
          <w:numId w:val="79"/>
        </w:numPr>
        <w:spacing w:after="0" w:afterAutospacing="0"/>
      </w:pPr>
      <w:r>
        <w:t>o</w:t>
      </w:r>
      <w:r w:rsidRPr="002E0AAE">
        <w:t>mezení negativního vlivu nepůvodních invazních druhů na biodiverzitu</w:t>
      </w:r>
      <w:r>
        <w:t>,</w:t>
      </w:r>
    </w:p>
    <w:p w:rsidR="00B17192" w:rsidRDefault="00B17192" w:rsidP="00B17192">
      <w:pPr>
        <w:pStyle w:val="Odstavecseseznamem"/>
        <w:numPr>
          <w:ilvl w:val="0"/>
          <w:numId w:val="79"/>
        </w:numPr>
        <w:spacing w:after="0" w:afterAutospacing="0"/>
      </w:pPr>
      <w:r>
        <w:t>z</w:t>
      </w:r>
      <w:r w:rsidRPr="002E0AAE">
        <w:t>lepšení systému zeleně v sídlech a jeho struktury</w:t>
      </w:r>
      <w:r>
        <w:t>.</w:t>
      </w:r>
    </w:p>
    <w:p w:rsidR="00B17192" w:rsidRPr="00373DD4" w:rsidRDefault="00B17192" w:rsidP="00B17192">
      <w:pPr>
        <w:ind w:left="720"/>
        <w:contextualSpacing/>
        <w:rPr>
          <w:rFonts w:eastAsia="Times New Roman" w:cs="Times New Roman"/>
        </w:rPr>
      </w:pPr>
    </w:p>
    <w:p w:rsidR="00B17192" w:rsidRPr="00373DD4" w:rsidRDefault="00B17192" w:rsidP="00B17192">
      <w:pPr>
        <w:rPr>
          <w:rFonts w:eastAsia="Times New Roman" w:cs="Times New Roman"/>
        </w:rPr>
      </w:pPr>
      <w:r w:rsidRPr="00373DD4">
        <w:rPr>
          <w:rFonts w:eastAsia="Times New Roman" w:cs="Times New Roman"/>
        </w:rPr>
        <w:t>Pro každý z</w:t>
      </w:r>
      <w:r>
        <w:rPr>
          <w:rFonts w:eastAsia="Times New Roman" w:cs="Times New Roman"/>
        </w:rPr>
        <w:t xml:space="preserve"> </w:t>
      </w:r>
      <w:r w:rsidRPr="00373DD4">
        <w:rPr>
          <w:rFonts w:eastAsia="Times New Roman" w:cs="Times New Roman"/>
        </w:rPr>
        <w:t>cílů jsou navržena konkrétní opatření včetně termínu realizace, odpovědnosti orgánů státní správy (zejména relevantních ministerstev) za implementaci a indikátorů.</w:t>
      </w:r>
    </w:p>
    <w:p w:rsidR="00B17192" w:rsidRDefault="00B17192" w:rsidP="00B17192">
      <w:pPr>
        <w:autoSpaceDE w:val="0"/>
        <w:autoSpaceDN w:val="0"/>
        <w:adjustRightInd w:val="0"/>
        <w:rPr>
          <w:rFonts w:eastAsia="Times New Roman" w:cs="Arial"/>
        </w:rPr>
      </w:pPr>
      <w:r w:rsidRPr="00373DD4">
        <w:rPr>
          <w:rFonts w:eastAsia="Times New Roman" w:cs="Times New Roman"/>
        </w:rPr>
        <w:t xml:space="preserve">Strategické zaměření PO4 je upřesněno </w:t>
      </w:r>
      <w:r w:rsidRPr="00373DD4">
        <w:rPr>
          <w:rFonts w:eastAsia="Times New Roman" w:cs="Arial"/>
          <w:b/>
          <w:bCs/>
          <w:iCs/>
        </w:rPr>
        <w:t>Strategií ochrany biologické rozmanitosti ČR</w:t>
      </w:r>
      <w:r w:rsidRPr="00373DD4">
        <w:rPr>
          <w:rFonts w:eastAsia="Times New Roman" w:cs="Arial"/>
          <w:bCs/>
          <w:iCs/>
        </w:rPr>
        <w:t xml:space="preserve">, </w:t>
      </w:r>
      <w:r>
        <w:rPr>
          <w:rFonts w:eastAsia="Times New Roman" w:cs="Arial"/>
          <w:bCs/>
          <w:iCs/>
        </w:rPr>
        <w:t>zacílenou na</w:t>
      </w:r>
      <w:r w:rsidRPr="00373DD4">
        <w:rPr>
          <w:rFonts w:eastAsia="Times New Roman" w:cs="Arial"/>
        </w:rPr>
        <w:t xml:space="preserve"> </w:t>
      </w:r>
      <w:r>
        <w:rPr>
          <w:rFonts w:eastAsia="Times New Roman" w:cs="Arial"/>
        </w:rPr>
        <w:t xml:space="preserve">klíčová </w:t>
      </w:r>
      <w:r w:rsidRPr="00373DD4">
        <w:rPr>
          <w:rFonts w:eastAsia="Times New Roman" w:cs="Arial"/>
        </w:rPr>
        <w:t>témat</w:t>
      </w:r>
      <w:r>
        <w:rPr>
          <w:rFonts w:eastAsia="Times New Roman" w:cs="Arial"/>
        </w:rPr>
        <w:t>a</w:t>
      </w:r>
      <w:r w:rsidRPr="00373DD4">
        <w:rPr>
          <w:rFonts w:eastAsia="Times New Roman" w:cs="Arial"/>
        </w:rPr>
        <w:t>, jako jsou zvláště chráněná území, genetické zdroje atd. Strategie se dále zabývá zohledněním biodiverzity ve složkových a sektorových politikách (zemědělství, lesnictví, územní plánování, energetika, doprava)</w:t>
      </w:r>
      <w:r>
        <w:rPr>
          <w:rFonts w:eastAsia="Times New Roman" w:cs="Arial"/>
        </w:rPr>
        <w:t xml:space="preserve"> a stanoví</w:t>
      </w:r>
      <w:r w:rsidRPr="00373DD4">
        <w:rPr>
          <w:rFonts w:eastAsia="Times New Roman" w:cs="Arial"/>
        </w:rPr>
        <w:t xml:space="preserve"> specifické cíle pro složky biodiverzity, jako jsou vodní a mokřadní ekosystémy, horské oblasti nebo travinné ekosystémy. </w:t>
      </w:r>
    </w:p>
    <w:p w:rsidR="00B17192" w:rsidRPr="00414222" w:rsidRDefault="00B17192" w:rsidP="00B17192">
      <w:pPr>
        <w:autoSpaceDE w:val="0"/>
        <w:autoSpaceDN w:val="0"/>
        <w:adjustRightInd w:val="0"/>
        <w:spacing w:after="0" w:afterAutospacing="0" w:line="240" w:lineRule="auto"/>
        <w:rPr>
          <w:rFonts w:asciiTheme="majorHAnsi" w:hAnsiTheme="majorHAnsi" w:cs="Times New Roman"/>
        </w:rPr>
      </w:pPr>
      <w:r w:rsidRPr="00414222">
        <w:rPr>
          <w:rFonts w:asciiTheme="majorHAnsi" w:eastAsia="Times New Roman" w:hAnsiTheme="majorHAnsi" w:cs="Arial"/>
        </w:rPr>
        <w:t xml:space="preserve">Jednotlivé cíle Strategie dále rozpracovává dokument </w:t>
      </w:r>
      <w:r w:rsidRPr="00414222">
        <w:rPr>
          <w:rFonts w:asciiTheme="majorHAnsi" w:hAnsiTheme="majorHAnsi" w:cs="Times New Roman"/>
        </w:rPr>
        <w:t>Aktualizace Státního programu ochrany přírody, který analyzuje stav p</w:t>
      </w:r>
      <w:r w:rsidRPr="00414222">
        <w:rPr>
          <w:rFonts w:asciiTheme="majorHAnsi" w:hAnsiTheme="majorHAnsi" w:cs="TimesNewRoman"/>
        </w:rPr>
        <w:t>ř</w:t>
      </w:r>
      <w:r w:rsidRPr="00414222">
        <w:rPr>
          <w:rFonts w:asciiTheme="majorHAnsi" w:hAnsiTheme="majorHAnsi" w:cs="Times New Roman"/>
        </w:rPr>
        <w:t>írodního a krajinného prost</w:t>
      </w:r>
      <w:r w:rsidRPr="00414222">
        <w:rPr>
          <w:rFonts w:asciiTheme="majorHAnsi" w:hAnsiTheme="majorHAnsi" w:cs="TimesNewRoman"/>
        </w:rPr>
        <w:t>ř</w:t>
      </w:r>
      <w:r w:rsidRPr="00414222">
        <w:rPr>
          <w:rFonts w:asciiTheme="majorHAnsi" w:hAnsiTheme="majorHAnsi" w:cs="Times New Roman"/>
        </w:rPr>
        <w:t>edí ČR, formuluje dlouhodobé cíle a</w:t>
      </w:r>
      <w:r>
        <w:rPr>
          <w:rFonts w:asciiTheme="majorHAnsi" w:hAnsiTheme="majorHAnsi" w:cs="Times New Roman"/>
        </w:rPr>
        <w:t> </w:t>
      </w:r>
      <w:r w:rsidRPr="00414222">
        <w:rPr>
          <w:rFonts w:asciiTheme="majorHAnsi" w:hAnsiTheme="majorHAnsi" w:cs="Times New Roman"/>
        </w:rPr>
        <w:t>opat</w:t>
      </w:r>
      <w:r w:rsidRPr="00414222">
        <w:rPr>
          <w:rFonts w:asciiTheme="majorHAnsi" w:hAnsiTheme="majorHAnsi" w:cs="TimesNewRoman"/>
        </w:rPr>
        <w:t>ř</w:t>
      </w:r>
      <w:r w:rsidRPr="00414222">
        <w:rPr>
          <w:rFonts w:asciiTheme="majorHAnsi" w:hAnsiTheme="majorHAnsi" w:cs="Times New Roman"/>
        </w:rPr>
        <w:t>ení, nezbytná k jejich dosažení prostřednictvím legislativních, ekonomických, odborn</w:t>
      </w:r>
      <w:r w:rsidRPr="00414222">
        <w:rPr>
          <w:rFonts w:asciiTheme="majorHAnsi" w:hAnsiTheme="majorHAnsi" w:cs="TimesNewRoman"/>
        </w:rPr>
        <w:t>ě</w:t>
      </w:r>
      <w:r w:rsidR="00C20460">
        <w:rPr>
          <w:rFonts w:asciiTheme="majorHAnsi" w:hAnsiTheme="majorHAnsi" w:cs="Times New Roman"/>
        </w:rPr>
        <w:noBreakHyphen/>
      </w:r>
      <w:r w:rsidRPr="00414222">
        <w:rPr>
          <w:rFonts w:asciiTheme="majorHAnsi" w:hAnsiTheme="majorHAnsi" w:cs="Times New Roman"/>
        </w:rPr>
        <w:t>výzkumných a osv</w:t>
      </w:r>
      <w:r w:rsidRPr="00414222">
        <w:rPr>
          <w:rFonts w:asciiTheme="majorHAnsi" w:hAnsiTheme="majorHAnsi" w:cs="TimesNewRoman"/>
        </w:rPr>
        <w:t>ě</w:t>
      </w:r>
      <w:r w:rsidRPr="00414222">
        <w:rPr>
          <w:rFonts w:asciiTheme="majorHAnsi" w:hAnsiTheme="majorHAnsi" w:cs="Times New Roman"/>
        </w:rPr>
        <w:t>tových nástroj</w:t>
      </w:r>
      <w:r w:rsidRPr="00414222">
        <w:rPr>
          <w:rFonts w:asciiTheme="majorHAnsi" w:hAnsiTheme="majorHAnsi" w:cs="TimesNewRoman"/>
        </w:rPr>
        <w:t>ů</w:t>
      </w:r>
      <w:r w:rsidRPr="00414222">
        <w:rPr>
          <w:rFonts w:asciiTheme="majorHAnsi" w:hAnsiTheme="majorHAnsi" w:cs="Times New Roman"/>
        </w:rPr>
        <w:t xml:space="preserve">. </w:t>
      </w:r>
    </w:p>
    <w:p w:rsidR="00B17192" w:rsidRPr="00373DD4" w:rsidRDefault="00B17192" w:rsidP="00B17192">
      <w:pPr>
        <w:autoSpaceDE w:val="0"/>
        <w:autoSpaceDN w:val="0"/>
        <w:adjustRightInd w:val="0"/>
        <w:rPr>
          <w:rFonts w:eastAsia="Times New Roman" w:cs="Arial"/>
        </w:rPr>
      </w:pPr>
    </w:p>
    <w:p w:rsidR="00B17192" w:rsidRPr="009D3553" w:rsidRDefault="00B17192" w:rsidP="00B17192">
      <w:pPr>
        <w:rPr>
          <w:rFonts w:eastAsia="Times New Roman" w:cs="Times New Roman"/>
        </w:rPr>
      </w:pPr>
      <w:r w:rsidRPr="00373DD4">
        <w:rPr>
          <w:rFonts w:eastAsia="Times New Roman" w:cs="Times New Roman"/>
          <w:b/>
        </w:rPr>
        <w:t>Příspěvek k řešení v rámci OP ŽP 2014-2020</w:t>
      </w:r>
    </w:p>
    <w:p w:rsidR="00B17192" w:rsidRPr="00373DD4" w:rsidRDefault="00B17192" w:rsidP="00B17192">
      <w:pPr>
        <w:rPr>
          <w:rFonts w:eastAsia="Times New Roman" w:cs="Times New Roman"/>
        </w:rPr>
      </w:pPr>
      <w:r w:rsidRPr="00373DD4">
        <w:rPr>
          <w:rFonts w:eastAsia="Times New Roman" w:cs="Times New Roman"/>
        </w:rPr>
        <w:t xml:space="preserve">V zájmu příspěvku OP ŽP 2014-2020 k řešení výše specifikovaných problémů jsou v rámci PO 4 navrženy následující </w:t>
      </w:r>
      <w:r w:rsidRPr="00373DD4">
        <w:rPr>
          <w:rFonts w:eastAsia="Times New Roman" w:cs="Times New Roman"/>
          <w:b/>
        </w:rPr>
        <w:t>specifické cíle</w:t>
      </w:r>
      <w:r w:rsidRPr="00373DD4">
        <w:rPr>
          <w:rFonts w:eastAsia="Times New Roman" w:cs="Times New Roman"/>
        </w:rPr>
        <w:t xml:space="preserve"> (SC):</w:t>
      </w:r>
    </w:p>
    <w:p w:rsidR="00B17192" w:rsidRPr="00373DD4" w:rsidRDefault="00B17192" w:rsidP="00B17192">
      <w:pPr>
        <w:numPr>
          <w:ilvl w:val="0"/>
          <w:numId w:val="76"/>
        </w:numPr>
        <w:contextualSpacing/>
        <w:rPr>
          <w:rFonts w:eastAsia="Times New Roman" w:cs="Times New Roman"/>
        </w:rPr>
      </w:pPr>
      <w:r w:rsidRPr="00373DD4">
        <w:rPr>
          <w:rFonts w:eastAsia="Times New Roman" w:cs="Times New Roman"/>
        </w:rPr>
        <w:lastRenderedPageBreak/>
        <w:t xml:space="preserve">SC 4.1: </w:t>
      </w:r>
      <w:r w:rsidRPr="00373DD4">
        <w:rPr>
          <w:rFonts w:eastAsia="Times New Roman" w:cs="Times New Roman"/>
          <w:b/>
        </w:rPr>
        <w:t>Posílit biodiverzitu na majetku</w:t>
      </w:r>
      <w:r>
        <w:rPr>
          <w:rFonts w:eastAsia="Times New Roman" w:cs="Times New Roman"/>
          <w:b/>
        </w:rPr>
        <w:t xml:space="preserve"> ČR, ve správě rezortních organizací MŽP</w:t>
      </w:r>
      <w:r w:rsidRPr="00373DD4">
        <w:rPr>
          <w:rFonts w:eastAsia="Times New Roman" w:cs="Times New Roman"/>
          <w:b/>
        </w:rPr>
        <w:t>,</w:t>
      </w:r>
    </w:p>
    <w:p w:rsidR="00B17192" w:rsidRPr="00373DD4" w:rsidRDefault="00B17192" w:rsidP="00B17192">
      <w:pPr>
        <w:numPr>
          <w:ilvl w:val="0"/>
          <w:numId w:val="76"/>
        </w:numPr>
        <w:contextualSpacing/>
        <w:rPr>
          <w:rFonts w:eastAsia="Times New Roman" w:cs="Times New Roman"/>
          <w:b/>
        </w:rPr>
      </w:pPr>
      <w:r w:rsidRPr="00373DD4">
        <w:rPr>
          <w:rFonts w:eastAsia="Times New Roman" w:cs="Times New Roman"/>
        </w:rPr>
        <w:t xml:space="preserve">SC 4.2: </w:t>
      </w:r>
      <w:r w:rsidRPr="00373DD4">
        <w:rPr>
          <w:rFonts w:eastAsia="Times New Roman" w:cs="Times New Roman"/>
          <w:b/>
        </w:rPr>
        <w:t xml:space="preserve">Posílit biodiverzitu, </w:t>
      </w:r>
    </w:p>
    <w:p w:rsidR="00B17192" w:rsidRPr="00373DD4" w:rsidRDefault="00B17192" w:rsidP="00B17192">
      <w:pPr>
        <w:numPr>
          <w:ilvl w:val="0"/>
          <w:numId w:val="76"/>
        </w:numPr>
        <w:contextualSpacing/>
        <w:rPr>
          <w:rFonts w:eastAsia="Times New Roman" w:cs="Times New Roman"/>
        </w:rPr>
      </w:pPr>
      <w:r w:rsidRPr="00373DD4">
        <w:rPr>
          <w:rFonts w:eastAsia="Times New Roman" w:cs="Times New Roman"/>
        </w:rPr>
        <w:t xml:space="preserve">SC 4.3: </w:t>
      </w:r>
      <w:r w:rsidRPr="00373DD4">
        <w:rPr>
          <w:rFonts w:eastAsia="Times New Roman" w:cs="Times New Roman"/>
          <w:b/>
        </w:rPr>
        <w:t>Posílit přirozené funkce krajiny,</w:t>
      </w:r>
    </w:p>
    <w:p w:rsidR="00B17192" w:rsidRDefault="00B17192" w:rsidP="00B17192">
      <w:pPr>
        <w:numPr>
          <w:ilvl w:val="0"/>
          <w:numId w:val="76"/>
        </w:numPr>
        <w:contextualSpacing/>
        <w:rPr>
          <w:rFonts w:eastAsia="Times New Roman" w:cs="Times New Roman"/>
          <w:b/>
        </w:rPr>
      </w:pPr>
      <w:r w:rsidRPr="00373DD4">
        <w:rPr>
          <w:rFonts w:eastAsia="Times New Roman" w:cs="Times New Roman"/>
        </w:rPr>
        <w:t xml:space="preserve">SC 4.4: </w:t>
      </w:r>
      <w:r w:rsidRPr="00373DD4">
        <w:rPr>
          <w:rFonts w:eastAsia="Times New Roman" w:cs="Times New Roman"/>
          <w:b/>
        </w:rPr>
        <w:t>Zlepšit kvalitu prostředí v sídlech.</w:t>
      </w:r>
    </w:p>
    <w:p w:rsidR="00B17192" w:rsidRDefault="00B17192" w:rsidP="00B17192">
      <w:pPr>
        <w:ind w:left="720"/>
        <w:contextualSpacing/>
        <w:rPr>
          <w:rFonts w:eastAsia="Times New Roman" w:cs="Times New Roman"/>
          <w:b/>
        </w:rPr>
      </w:pPr>
    </w:p>
    <w:p w:rsidR="00B17192" w:rsidRPr="00373DD4" w:rsidRDefault="00B17192" w:rsidP="00B17192">
      <w:pPr>
        <w:contextualSpacing/>
        <w:rPr>
          <w:rFonts w:eastAsia="Times New Roman" w:cs="Times New Roman"/>
        </w:rPr>
      </w:pPr>
      <w:r w:rsidRPr="00373DD4">
        <w:rPr>
          <w:rFonts w:eastAsia="Times New Roman" w:cs="Times New Roman"/>
        </w:rPr>
        <w:t>Základní vazby mezi identifikovanými problémy, jejich příčinami a specifickými cíli PO 4 jsou uvedeny v tabulce č. 5 v Příloze 1.</w:t>
      </w:r>
    </w:p>
    <w:p w:rsidR="00B17192" w:rsidRPr="00373DD4" w:rsidRDefault="00B17192" w:rsidP="00B17192">
      <w:pPr>
        <w:contextualSpacing/>
        <w:rPr>
          <w:rFonts w:eastAsia="Times New Roman" w:cs="Times New Roman"/>
        </w:rPr>
      </w:pPr>
    </w:p>
    <w:p w:rsidR="00B17192" w:rsidRDefault="00B17192" w:rsidP="00B17192">
      <w:pPr>
        <w:contextualSpacing/>
        <w:rPr>
          <w:rFonts w:eastAsia="Times New Roman" w:cs="Times New Roman"/>
        </w:rPr>
      </w:pPr>
      <w:r>
        <w:rPr>
          <w:rFonts w:eastAsia="Times New Roman" w:cs="Times New Roman"/>
        </w:rPr>
        <w:t>Navrhovaná o</w:t>
      </w:r>
      <w:r w:rsidRPr="00373DD4">
        <w:rPr>
          <w:rFonts w:eastAsia="Times New Roman" w:cs="Times New Roman"/>
        </w:rPr>
        <w:t>patření povedou k naplňování priorit, vyplývají</w:t>
      </w:r>
      <w:r>
        <w:rPr>
          <w:rFonts w:eastAsia="Times New Roman" w:cs="Times New Roman"/>
        </w:rPr>
        <w:t>cích</w:t>
      </w:r>
      <w:r w:rsidRPr="00373DD4">
        <w:rPr>
          <w:rFonts w:eastAsia="Times New Roman" w:cs="Times New Roman"/>
        </w:rPr>
        <w:t xml:space="preserve"> jak ze Státní politiky životního prostředí ČR v oblasti ochrany přírody a krajiny, tak i ze Strategie EU v oblasti biologické rozmanitosti do r. 2020. Pozornost bude zaměřena zejména na zastavení úbytku biologické rozmanitosti a zastavení degradace ekosystémových služeb</w:t>
      </w:r>
      <w:r>
        <w:rPr>
          <w:rFonts w:eastAsia="Times New Roman" w:cs="Times New Roman"/>
        </w:rPr>
        <w:t>.</w:t>
      </w:r>
    </w:p>
    <w:p w:rsidR="00B17192" w:rsidRDefault="00B17192" w:rsidP="00B17192">
      <w:pPr>
        <w:contextualSpacing/>
        <w:rPr>
          <w:rFonts w:eastAsia="Times New Roman" w:cs="Times New Roman"/>
        </w:rPr>
      </w:pPr>
    </w:p>
    <w:p w:rsidR="00B17192" w:rsidRPr="00373DD4" w:rsidRDefault="00B17192" w:rsidP="00B17192">
      <w:pPr>
        <w:rPr>
          <w:rFonts w:eastAsia="Calibri" w:cs="Times New Roman"/>
        </w:rPr>
      </w:pPr>
      <w:r>
        <w:rPr>
          <w:rFonts w:eastAsia="Times New Roman" w:cs="Arial"/>
        </w:rPr>
        <w:t xml:space="preserve">Navržené specifické cíle odpovídají návrhům klíčových opatření dle prioritního akčního rámce pro </w:t>
      </w:r>
      <w:proofErr w:type="spellStart"/>
      <w:r>
        <w:rPr>
          <w:rFonts w:eastAsia="Times New Roman" w:cs="Arial"/>
        </w:rPr>
        <w:t>Naturu</w:t>
      </w:r>
      <w:proofErr w:type="spellEnd"/>
      <w:r>
        <w:rPr>
          <w:rFonts w:eastAsia="Times New Roman" w:cs="Arial"/>
        </w:rPr>
        <w:t xml:space="preserve"> 2000 v ČR. Mezi aktivity byla zařazena pouze opatření, která byla identifikována jako vhodná k financování z EFRR a která nelze financovat z jiných existujících fondů.</w:t>
      </w:r>
    </w:p>
    <w:p w:rsidR="00B17192" w:rsidRDefault="00B17192" w:rsidP="00B17192">
      <w:pPr>
        <w:contextualSpacing/>
        <w:rPr>
          <w:rFonts w:eastAsia="Times New Roman" w:cs="Times New Roman"/>
        </w:rPr>
      </w:pPr>
    </w:p>
    <w:p w:rsidR="00B17192" w:rsidRPr="00D04A78" w:rsidRDefault="00B17192" w:rsidP="00B17192">
      <w:pPr>
        <w:rPr>
          <w:rFonts w:eastAsia="Times New Roman" w:cs="Times New Roman"/>
          <w:b/>
          <w:i/>
          <w:color w:val="76923C" w:themeColor="accent3" w:themeShade="BF"/>
          <w:sz w:val="24"/>
          <w:szCs w:val="24"/>
          <w:u w:val="single"/>
        </w:rPr>
      </w:pPr>
      <w:r w:rsidRPr="0033290F">
        <w:rPr>
          <w:rFonts w:eastAsia="Times New Roman" w:cs="Times New Roman"/>
          <w:b/>
          <w:i/>
          <w:color w:val="76923C" w:themeColor="accent3" w:themeShade="BF"/>
          <w:sz w:val="24"/>
          <w:szCs w:val="24"/>
          <w:u w:val="single"/>
        </w:rPr>
        <w:t>Priorita 5: Energetické úspory</w:t>
      </w:r>
    </w:p>
    <w:p w:rsidR="00B17192" w:rsidRPr="00373DD4" w:rsidRDefault="00B17192" w:rsidP="00B17192">
      <w:pPr>
        <w:rPr>
          <w:rFonts w:eastAsia="Times New Roman" w:cs="Times New Roman"/>
          <w:b/>
        </w:rPr>
      </w:pPr>
      <w:r w:rsidRPr="00373DD4">
        <w:rPr>
          <w:rFonts w:eastAsia="Times New Roman" w:cs="Times New Roman"/>
          <w:b/>
        </w:rPr>
        <w:t>Aktuální stav - Problémy</w:t>
      </w:r>
    </w:p>
    <w:p w:rsidR="00B17192" w:rsidRPr="00373DD4" w:rsidRDefault="00B17192" w:rsidP="00EB6C6E">
      <w:pPr>
        <w:spacing w:after="0" w:afterAutospacing="0"/>
        <w:rPr>
          <w:rFonts w:eastAsia="Times New Roman" w:cs="Times New Roman"/>
        </w:rPr>
      </w:pPr>
      <w:r w:rsidRPr="00373DD4">
        <w:rPr>
          <w:rFonts w:eastAsia="Times New Roman" w:cs="Times New Roman"/>
        </w:rPr>
        <w:t>Z analýzy současného stavu vyplývají následující problémy:</w:t>
      </w:r>
    </w:p>
    <w:p w:rsidR="00B17192" w:rsidRPr="00373DD4" w:rsidRDefault="00B17192" w:rsidP="00EB6C6E">
      <w:pPr>
        <w:numPr>
          <w:ilvl w:val="0"/>
          <w:numId w:val="77"/>
        </w:numPr>
        <w:spacing w:after="0" w:afterAutospacing="0"/>
        <w:contextualSpacing/>
        <w:rPr>
          <w:rFonts w:eastAsia="Times New Roman" w:cs="Times New Roman"/>
        </w:rPr>
      </w:pPr>
      <w:r>
        <w:rPr>
          <w:rFonts w:eastAsia="Times New Roman" w:cs="Times New Roman"/>
        </w:rPr>
        <w:t>v</w:t>
      </w:r>
      <w:r w:rsidRPr="00373DD4">
        <w:rPr>
          <w:rFonts w:eastAsia="Times New Roman" w:cs="Times New Roman"/>
        </w:rPr>
        <w:t>ysoká energetická náročnost tvorby HDP</w:t>
      </w:r>
      <w:r>
        <w:rPr>
          <w:rFonts w:eastAsia="Times New Roman" w:cs="Times New Roman"/>
        </w:rPr>
        <w:t>,</w:t>
      </w:r>
    </w:p>
    <w:p w:rsidR="00B17192" w:rsidRPr="00373DD4" w:rsidRDefault="00B17192" w:rsidP="00EB6C6E">
      <w:pPr>
        <w:numPr>
          <w:ilvl w:val="0"/>
          <w:numId w:val="77"/>
        </w:numPr>
        <w:spacing w:after="0" w:afterAutospacing="0"/>
        <w:contextualSpacing/>
        <w:rPr>
          <w:rFonts w:eastAsia="Times New Roman" w:cs="Times New Roman"/>
        </w:rPr>
      </w:pPr>
      <w:r>
        <w:rPr>
          <w:rFonts w:eastAsia="Times New Roman" w:cs="Times New Roman"/>
        </w:rPr>
        <w:t>v</w:t>
      </w:r>
      <w:r w:rsidRPr="00373DD4">
        <w:rPr>
          <w:rFonts w:eastAsia="Times New Roman" w:cs="Times New Roman"/>
        </w:rPr>
        <w:t>ysoká emisní náročnost tvorby HDP</w:t>
      </w:r>
      <w:r>
        <w:rPr>
          <w:rFonts w:eastAsia="Times New Roman" w:cs="Times New Roman"/>
        </w:rPr>
        <w:t>,</w:t>
      </w:r>
    </w:p>
    <w:p w:rsidR="00B17192" w:rsidRPr="00373DD4" w:rsidRDefault="00B17192" w:rsidP="00B17192">
      <w:pPr>
        <w:numPr>
          <w:ilvl w:val="0"/>
          <w:numId w:val="77"/>
        </w:numPr>
        <w:contextualSpacing/>
        <w:rPr>
          <w:rFonts w:eastAsia="Times New Roman" w:cs="Times New Roman"/>
        </w:rPr>
      </w:pPr>
      <w:r>
        <w:rPr>
          <w:rFonts w:eastAsia="Times New Roman" w:cs="Times New Roman"/>
        </w:rPr>
        <w:t>v</w:t>
      </w:r>
      <w:r w:rsidRPr="00373DD4">
        <w:rPr>
          <w:rFonts w:eastAsia="Times New Roman" w:cs="Times New Roman"/>
        </w:rPr>
        <w:t>ysoké měrné emise skleníkových plynů na obyvatele</w:t>
      </w:r>
      <w:r>
        <w:rPr>
          <w:rFonts w:eastAsia="Times New Roman" w:cs="Times New Roman"/>
        </w:rPr>
        <w:t>,</w:t>
      </w:r>
    </w:p>
    <w:p w:rsidR="00B17192" w:rsidRPr="00373DD4" w:rsidRDefault="00B17192" w:rsidP="00B17192">
      <w:pPr>
        <w:numPr>
          <w:ilvl w:val="0"/>
          <w:numId w:val="77"/>
        </w:numPr>
        <w:contextualSpacing/>
        <w:rPr>
          <w:rFonts w:eastAsia="Times New Roman" w:cs="Times New Roman"/>
        </w:rPr>
      </w:pPr>
      <w:r>
        <w:rPr>
          <w:rFonts w:eastAsia="Times New Roman" w:cs="Times New Roman"/>
        </w:rPr>
        <w:t>v</w:t>
      </w:r>
      <w:r w:rsidRPr="00373DD4">
        <w:rPr>
          <w:rFonts w:eastAsia="Times New Roman" w:cs="Times New Roman"/>
        </w:rPr>
        <w:t>ysoká energetická náročnost veřejných budov</w:t>
      </w:r>
      <w:r>
        <w:rPr>
          <w:rFonts w:eastAsia="Times New Roman" w:cs="Times New Roman"/>
        </w:rPr>
        <w:t>.</w:t>
      </w:r>
    </w:p>
    <w:p w:rsidR="00B17192" w:rsidRDefault="00B17192" w:rsidP="00B17192">
      <w:pPr>
        <w:rPr>
          <w:rFonts w:eastAsia="Times New Roman" w:cs="Times New Roman"/>
          <w:b/>
        </w:rPr>
      </w:pPr>
    </w:p>
    <w:p w:rsidR="00B17192" w:rsidRPr="00373DD4" w:rsidRDefault="00B17192" w:rsidP="00B17192">
      <w:pPr>
        <w:rPr>
          <w:rFonts w:eastAsia="Times New Roman" w:cs="Times New Roman"/>
          <w:b/>
        </w:rPr>
      </w:pPr>
      <w:r w:rsidRPr="00373DD4">
        <w:rPr>
          <w:rFonts w:eastAsia="Times New Roman" w:cs="Times New Roman"/>
          <w:b/>
        </w:rPr>
        <w:t>Aktuální stav - Příčiny</w:t>
      </w:r>
    </w:p>
    <w:p w:rsidR="00B17192" w:rsidRPr="00373DD4" w:rsidRDefault="00B17192" w:rsidP="00B17192">
      <w:pPr>
        <w:rPr>
          <w:rFonts w:eastAsia="Times New Roman" w:cs="Times New Roman"/>
        </w:rPr>
      </w:pPr>
      <w:r w:rsidRPr="00373DD4">
        <w:rPr>
          <w:rFonts w:eastAsia="Times New Roman" w:cs="Times New Roman"/>
        </w:rPr>
        <w:t>I přes pozitivní trend ČR nadále vykazuje jednu z nejvyšších hodnot energetické náročnosti v</w:t>
      </w:r>
      <w:r>
        <w:rPr>
          <w:rFonts w:eastAsia="Times New Roman" w:cs="Times New Roman"/>
        </w:rPr>
        <w:t xml:space="preserve"> rámci </w:t>
      </w:r>
      <w:r w:rsidRPr="00373DD4">
        <w:rPr>
          <w:rFonts w:eastAsia="Times New Roman" w:cs="Times New Roman"/>
        </w:rPr>
        <w:t>EU. Emise skleníkových plynů poklesly mezi lety 1990 a 2011 o 32 % (viz graf č. 7 v Příloze 1), měrné emise na obyvatele jsou stále přibližně o čtvrtinu vyšší, než je průměr EU. Rovněž emisní náročnost tvorby HDP je v evropském srovnání vyšší, zejména vzhledem k vyššímu podílu průmyslu na tvorbě HDP</w:t>
      </w:r>
      <w:r>
        <w:rPr>
          <w:rFonts w:eastAsia="Times New Roman" w:cs="Times New Roman"/>
        </w:rPr>
        <w:t xml:space="preserve"> a</w:t>
      </w:r>
      <w:r w:rsidRPr="00373DD4">
        <w:rPr>
          <w:rFonts w:eastAsia="Times New Roman" w:cs="Times New Roman"/>
        </w:rPr>
        <w:t xml:space="preserve"> vysokému podílu pevných paliv v primárních zdrojích energie. Potenciál v oblasti energetických úspor je tak velmi významný. </w:t>
      </w:r>
    </w:p>
    <w:p w:rsidR="00B17192" w:rsidRDefault="00B17192" w:rsidP="00B17192">
      <w:pPr>
        <w:rPr>
          <w:rFonts w:eastAsia="Times New Roman" w:cs="Times New Roman"/>
        </w:rPr>
      </w:pPr>
      <w:r w:rsidRPr="00373DD4">
        <w:rPr>
          <w:rFonts w:eastAsia="Times New Roman" w:cs="Times New Roman"/>
        </w:rPr>
        <w:t xml:space="preserve">Nejvýznamnější potenciál úspor má v ČR sektor domácností, a to 30,5 % z celkových úspor, které pro rok 2016 představují 20 309 </w:t>
      </w:r>
      <w:proofErr w:type="spellStart"/>
      <w:r w:rsidRPr="00373DD4">
        <w:rPr>
          <w:rFonts w:eastAsia="Times New Roman" w:cs="Times New Roman"/>
        </w:rPr>
        <w:t>GWh</w:t>
      </w:r>
      <w:proofErr w:type="spellEnd"/>
      <w:r w:rsidRPr="00373DD4">
        <w:rPr>
          <w:rFonts w:eastAsia="Times New Roman" w:cs="Times New Roman"/>
        </w:rPr>
        <w:t>. Sektorem s druhým nejvyšším potenciálem úspor je sektor průmyslu (24,5 %), dále sektor dopravy (23,3 %), následuje terciální sektor (15,8 %), sektor s nejmenší možností úspor pak je zemědělství (5,9 %).</w:t>
      </w:r>
    </w:p>
    <w:p w:rsidR="005876BE" w:rsidRDefault="005876BE" w:rsidP="00B17192">
      <w:pPr>
        <w:rPr>
          <w:rFonts w:eastAsia="Times New Roman" w:cs="Times New Roman"/>
        </w:rPr>
      </w:pPr>
    </w:p>
    <w:p w:rsidR="005876BE" w:rsidRDefault="005876BE" w:rsidP="00B17192">
      <w:pPr>
        <w:rPr>
          <w:rFonts w:eastAsia="Times New Roman" w:cs="Times New Roman"/>
        </w:rPr>
      </w:pPr>
    </w:p>
    <w:p w:rsidR="00B17192" w:rsidRPr="000C75D1" w:rsidRDefault="00B17192" w:rsidP="00B17192">
      <w:pPr>
        <w:rPr>
          <w:rFonts w:eastAsia="Times New Roman" w:cs="Times New Roman"/>
          <w:b/>
        </w:rPr>
      </w:pPr>
      <w:r w:rsidRPr="00373DD4">
        <w:rPr>
          <w:rFonts w:eastAsia="Times New Roman" w:cs="Times New Roman"/>
          <w:b/>
        </w:rPr>
        <w:lastRenderedPageBreak/>
        <w:t>Vyhodnocení přínosu OP ŽP 2007-2013</w:t>
      </w:r>
    </w:p>
    <w:p w:rsidR="00B17192" w:rsidRPr="00373DD4" w:rsidRDefault="00B17192" w:rsidP="00B17192">
      <w:pPr>
        <w:rPr>
          <w:rFonts w:eastAsia="Times New Roman" w:cs="Times New Roman"/>
          <w:bCs/>
        </w:rPr>
      </w:pPr>
      <w:r w:rsidRPr="00373DD4">
        <w:rPr>
          <w:rFonts w:eastAsia="Times New Roman" w:cs="Times New Roman"/>
          <w:bCs/>
        </w:rPr>
        <w:t>Celkem bylo do 14. 2. 2014 schváleno 3525 projektů, z toho 132 bylo z oblasti „Výstavba nových zařízení a rekonstrukce stávajících zařízení s cílem zvýšení využívání obnovitelných zdrojů energie pro výrobu tepla, elektřiny a kombinované výroby tepla a elektřiny“, 3068 z oblasti „Realizace úspor energie a využití odpadního tepla u nepodnikatelské sféry“ a 325 projektů kombinuje obě oblasti. Realizace uvedených projektů by měla přinést roční úspory konečné spotřeby energie ve výši cca 2,519 PJ a snížení emisí CO</w:t>
      </w:r>
      <w:r w:rsidRPr="00373DD4">
        <w:rPr>
          <w:rFonts w:eastAsia="Times New Roman" w:cs="Times New Roman"/>
          <w:bCs/>
          <w:vertAlign w:val="subscript"/>
        </w:rPr>
        <w:t>2</w:t>
      </w:r>
      <w:r w:rsidRPr="00373DD4">
        <w:rPr>
          <w:rFonts w:eastAsia="Times New Roman" w:cs="Times New Roman"/>
          <w:bCs/>
        </w:rPr>
        <w:t xml:space="preserve"> ve výši 265 224 t CO</w:t>
      </w:r>
      <w:r w:rsidRPr="00373DD4">
        <w:rPr>
          <w:rFonts w:eastAsia="Times New Roman" w:cs="Times New Roman"/>
          <w:bCs/>
          <w:vertAlign w:val="subscript"/>
        </w:rPr>
        <w:t>2</w:t>
      </w:r>
      <w:r w:rsidRPr="00373DD4">
        <w:rPr>
          <w:rFonts w:eastAsia="Times New Roman" w:cs="Times New Roman"/>
          <w:bCs/>
        </w:rPr>
        <w:t xml:space="preserve"> ročně. Zároveň by</w:t>
      </w:r>
      <w:r>
        <w:rPr>
          <w:rFonts w:eastAsia="Times New Roman" w:cs="Times New Roman"/>
          <w:bCs/>
        </w:rPr>
        <w:t> </w:t>
      </w:r>
      <w:r w:rsidRPr="00373DD4">
        <w:rPr>
          <w:rFonts w:eastAsia="Times New Roman" w:cs="Times New Roman"/>
          <w:bCs/>
        </w:rPr>
        <w:t>realizace projektů OZE měla přinést navýšení roční výroby tepla z OZE o cca 325 777 GJ a navýšení roční výroby elektřiny z OZE o cca 64 048 GJ.</w:t>
      </w:r>
    </w:p>
    <w:p w:rsidR="00B17192" w:rsidRPr="000C75D1" w:rsidRDefault="00B17192" w:rsidP="00B17192">
      <w:pPr>
        <w:rPr>
          <w:rFonts w:eastAsia="Times New Roman" w:cs="Times New Roman"/>
          <w:bCs/>
        </w:rPr>
      </w:pPr>
      <w:r w:rsidRPr="00373DD4">
        <w:rPr>
          <w:rFonts w:eastAsia="Times New Roman" w:cs="Times New Roman"/>
          <w:bCs/>
        </w:rPr>
        <w:t xml:space="preserve">Z typů obnovitelných zdrojů převažovaly zdroje na biomasu, </w:t>
      </w:r>
      <w:proofErr w:type="spellStart"/>
      <w:r w:rsidRPr="00373DD4">
        <w:rPr>
          <w:rFonts w:eastAsia="Times New Roman" w:cs="Times New Roman"/>
          <w:bCs/>
        </w:rPr>
        <w:t>fotovoltaické</w:t>
      </w:r>
      <w:proofErr w:type="spellEnd"/>
      <w:r w:rsidRPr="00373DD4">
        <w:rPr>
          <w:rFonts w:eastAsia="Times New Roman" w:cs="Times New Roman"/>
          <w:bCs/>
        </w:rPr>
        <w:t xml:space="preserve"> instalace a solární tepelné kolektory. </w:t>
      </w:r>
      <w:r>
        <w:rPr>
          <w:rFonts w:eastAsia="Times New Roman" w:cs="Times New Roman"/>
          <w:bCs/>
        </w:rPr>
        <w:t>N</w:t>
      </w:r>
      <w:r w:rsidRPr="00373DD4">
        <w:rPr>
          <w:rFonts w:eastAsia="Times New Roman" w:cs="Times New Roman"/>
          <w:bCs/>
        </w:rPr>
        <w:t>ejvětší část dotací směřovala na projekty zateplování veřejných budov, kde počet žádostí výrazně překročil možnosti. Na základě zkušeností z předchozího období se proto OP ŽP 2014 - 2020 zaměřuje právě na tuto oblast.</w:t>
      </w:r>
    </w:p>
    <w:p w:rsidR="00B17192" w:rsidRPr="00373DD4" w:rsidRDefault="00B17192" w:rsidP="00B17192">
      <w:pPr>
        <w:rPr>
          <w:rFonts w:eastAsia="Times New Roman" w:cs="Times New Roman"/>
          <w:b/>
        </w:rPr>
      </w:pPr>
      <w:r w:rsidRPr="00373DD4">
        <w:rPr>
          <w:rFonts w:eastAsia="Times New Roman" w:cs="Times New Roman"/>
          <w:b/>
        </w:rPr>
        <w:t>Strategický přístup</w:t>
      </w:r>
    </w:p>
    <w:p w:rsidR="00B17192" w:rsidRPr="00373DD4" w:rsidRDefault="00B17192" w:rsidP="00B17192">
      <w:pPr>
        <w:rPr>
          <w:rFonts w:eastAsia="Calibri" w:cs="Times New Roman"/>
        </w:rPr>
      </w:pPr>
      <w:r w:rsidRPr="00373DD4">
        <w:rPr>
          <w:rFonts w:eastAsia="Calibri" w:cs="Times New Roman"/>
        </w:rPr>
        <w:t>Strategie Prioritní osy 5: Energetické úspory (dále jen „PO 5“) je dána základními cíli</w:t>
      </w:r>
      <w:r w:rsidRPr="00373DD4">
        <w:rPr>
          <w:rFonts w:eastAsia="Calibri" w:cs="Times New Roman"/>
          <w:b/>
        </w:rPr>
        <w:t xml:space="preserve"> Strategie Evropa 2020 v oblasti životního prostředí</w:t>
      </w:r>
      <w:r w:rsidRPr="00373DD4">
        <w:rPr>
          <w:rFonts w:eastAsia="Calibri" w:cs="Times New Roman"/>
        </w:rPr>
        <w:t>, tedy snižováním emisí, zvyšováním energetické účinnosti a zvyšováním podílu energie z obnovitelných zdrojů a dále cíl</w:t>
      </w:r>
      <w:r>
        <w:rPr>
          <w:rFonts w:eastAsia="Calibri" w:cs="Times New Roman"/>
        </w:rPr>
        <w:t>i</w:t>
      </w:r>
      <w:r w:rsidRPr="00373DD4">
        <w:rPr>
          <w:rFonts w:eastAsia="Calibri" w:cs="Times New Roman"/>
        </w:rPr>
        <w:t xml:space="preserve"> stěžejní iniciativ</w:t>
      </w:r>
      <w:r>
        <w:rPr>
          <w:rFonts w:eastAsia="Calibri" w:cs="Times New Roman"/>
        </w:rPr>
        <w:t>y</w:t>
      </w:r>
      <w:r w:rsidRPr="00373DD4">
        <w:rPr>
          <w:rFonts w:eastAsia="Calibri" w:cs="Times New Roman"/>
        </w:rPr>
        <w:t xml:space="preserve"> Evropa účinněji využívající zdroje. </w:t>
      </w:r>
    </w:p>
    <w:p w:rsidR="00B17192" w:rsidRPr="00373DD4" w:rsidRDefault="00B17192" w:rsidP="00B17192">
      <w:pPr>
        <w:rPr>
          <w:rFonts w:eastAsia="Times New Roman" w:cs="Times New Roman"/>
          <w:b/>
        </w:rPr>
      </w:pPr>
      <w:r w:rsidRPr="00373DD4">
        <w:rPr>
          <w:rFonts w:eastAsia="Calibri" w:cs="Times New Roman"/>
        </w:rPr>
        <w:t xml:space="preserve">Na národní úrovni je PO 5 formulována v souladu se </w:t>
      </w:r>
      <w:r w:rsidRPr="00373DD4">
        <w:rPr>
          <w:rFonts w:eastAsia="Calibri" w:cs="Times New Roman"/>
          <w:b/>
        </w:rPr>
        <w:t xml:space="preserve">Státní politikou životního prostředí ČR </w:t>
      </w:r>
      <w:r w:rsidRPr="00373DD4">
        <w:rPr>
          <w:rFonts w:eastAsia="Times New Roman" w:cs="Times New Roman"/>
          <w:b/>
        </w:rPr>
        <w:t>2012</w:t>
      </w:r>
      <w:r>
        <w:rPr>
          <w:rFonts w:eastAsia="Times New Roman" w:cs="Times New Roman"/>
          <w:b/>
        </w:rPr>
        <w:noBreakHyphen/>
      </w:r>
      <w:r w:rsidRPr="00373DD4">
        <w:rPr>
          <w:rFonts w:eastAsia="Times New Roman" w:cs="Times New Roman"/>
          <w:b/>
        </w:rPr>
        <w:t>2020, schválenou vládou ČR dne 9. 1. 2013, která</w:t>
      </w:r>
      <w:r w:rsidRPr="00373DD4">
        <w:rPr>
          <w:rFonts w:eastAsia="Times New Roman" w:cs="Times New Roman"/>
        </w:rPr>
        <w:t xml:space="preserve"> stanovuje pro oblast energetických úspor a oblasti související následující </w:t>
      </w:r>
      <w:r w:rsidRPr="00373DD4">
        <w:rPr>
          <w:rFonts w:eastAsia="Times New Roman" w:cs="Times New Roman"/>
          <w:b/>
        </w:rPr>
        <w:t>cíle:</w:t>
      </w:r>
    </w:p>
    <w:p w:rsidR="00B17192" w:rsidRPr="00373DD4" w:rsidRDefault="00B17192" w:rsidP="00B17192">
      <w:pPr>
        <w:numPr>
          <w:ilvl w:val="0"/>
          <w:numId w:val="79"/>
        </w:numPr>
        <w:contextualSpacing/>
        <w:rPr>
          <w:rFonts w:eastAsia="Times New Roman" w:cs="Times New Roman"/>
        </w:rPr>
      </w:pPr>
      <w:r>
        <w:rPr>
          <w:rFonts w:eastAsia="Times New Roman" w:cs="Times New Roman"/>
        </w:rPr>
        <w:t>s</w:t>
      </w:r>
      <w:r w:rsidRPr="00373DD4">
        <w:rPr>
          <w:rFonts w:eastAsia="Times New Roman" w:cs="Times New Roman"/>
        </w:rPr>
        <w:t>nížení emisí skleníkových plynů v rámci EU ETS o 21 % a omezení nárůstu emisí mimo EU ETS na 9 % do r</w:t>
      </w:r>
      <w:r>
        <w:rPr>
          <w:rFonts w:eastAsia="Times New Roman" w:cs="Times New Roman"/>
        </w:rPr>
        <w:t>.</w:t>
      </w:r>
      <w:r w:rsidR="00C20460">
        <w:rPr>
          <w:rFonts w:eastAsia="Times New Roman" w:cs="Times New Roman"/>
        </w:rPr>
        <w:t xml:space="preserve"> </w:t>
      </w:r>
      <w:r w:rsidRPr="00373DD4">
        <w:rPr>
          <w:rFonts w:eastAsia="Times New Roman" w:cs="Times New Roman"/>
        </w:rPr>
        <w:t>2020 oproti úrovni r</w:t>
      </w:r>
      <w:r>
        <w:rPr>
          <w:rFonts w:eastAsia="Times New Roman" w:cs="Times New Roman"/>
        </w:rPr>
        <w:t>.</w:t>
      </w:r>
      <w:r w:rsidR="00C20460">
        <w:rPr>
          <w:rFonts w:eastAsia="Times New Roman" w:cs="Times New Roman"/>
        </w:rPr>
        <w:t xml:space="preserve"> </w:t>
      </w:r>
      <w:r w:rsidRPr="00373DD4">
        <w:rPr>
          <w:rFonts w:eastAsia="Times New Roman" w:cs="Times New Roman"/>
        </w:rPr>
        <w:t>2005</w:t>
      </w:r>
      <w:r>
        <w:rPr>
          <w:rFonts w:eastAsia="Times New Roman" w:cs="Times New Roman"/>
        </w:rPr>
        <w:t>,</w:t>
      </w:r>
    </w:p>
    <w:p w:rsidR="00B17192" w:rsidRPr="00373DD4" w:rsidRDefault="00B17192" w:rsidP="00B17192">
      <w:pPr>
        <w:numPr>
          <w:ilvl w:val="0"/>
          <w:numId w:val="79"/>
        </w:numPr>
        <w:contextualSpacing/>
        <w:rPr>
          <w:rFonts w:eastAsia="Times New Roman" w:cs="Times New Roman"/>
        </w:rPr>
      </w:pPr>
      <w:r>
        <w:rPr>
          <w:rFonts w:eastAsia="Times New Roman" w:cs="Times New Roman"/>
        </w:rPr>
        <w:t>z</w:t>
      </w:r>
      <w:r w:rsidRPr="00373DD4">
        <w:rPr>
          <w:rFonts w:eastAsia="Times New Roman" w:cs="Times New Roman"/>
        </w:rPr>
        <w:t xml:space="preserve">ajištění 13% podílu energie z </w:t>
      </w:r>
      <w:r>
        <w:rPr>
          <w:rFonts w:eastAsia="Times New Roman" w:cs="Times New Roman"/>
        </w:rPr>
        <w:t>OZE</w:t>
      </w:r>
      <w:r w:rsidRPr="00373DD4">
        <w:rPr>
          <w:rFonts w:eastAsia="Times New Roman" w:cs="Times New Roman"/>
        </w:rPr>
        <w:t xml:space="preserve"> na hrubé konečné spotřebě energie k</w:t>
      </w:r>
      <w:r>
        <w:rPr>
          <w:rFonts w:eastAsia="Times New Roman" w:cs="Times New Roman"/>
        </w:rPr>
        <w:t> </w:t>
      </w:r>
      <w:r w:rsidRPr="00373DD4">
        <w:rPr>
          <w:rFonts w:eastAsia="Times New Roman" w:cs="Times New Roman"/>
        </w:rPr>
        <w:t>r</w:t>
      </w:r>
      <w:r>
        <w:rPr>
          <w:rFonts w:eastAsia="Times New Roman" w:cs="Times New Roman"/>
        </w:rPr>
        <w:t>.</w:t>
      </w:r>
      <w:r w:rsidR="00C20460">
        <w:rPr>
          <w:rFonts w:eastAsia="Times New Roman" w:cs="Times New Roman"/>
        </w:rPr>
        <w:t xml:space="preserve"> </w:t>
      </w:r>
      <w:r w:rsidRPr="00373DD4">
        <w:rPr>
          <w:rFonts w:eastAsia="Times New Roman" w:cs="Times New Roman"/>
        </w:rPr>
        <w:t>2020</w:t>
      </w:r>
      <w:r>
        <w:rPr>
          <w:rFonts w:eastAsia="Times New Roman" w:cs="Times New Roman"/>
        </w:rPr>
        <w:t>,</w:t>
      </w:r>
    </w:p>
    <w:p w:rsidR="00B17192" w:rsidRPr="00373DD4" w:rsidRDefault="00B17192" w:rsidP="00B17192">
      <w:pPr>
        <w:numPr>
          <w:ilvl w:val="0"/>
          <w:numId w:val="79"/>
        </w:numPr>
        <w:contextualSpacing/>
        <w:rPr>
          <w:rFonts w:eastAsia="Times New Roman" w:cs="Times New Roman"/>
        </w:rPr>
      </w:pPr>
      <w:r>
        <w:rPr>
          <w:rFonts w:eastAsia="Times New Roman" w:cs="Times New Roman"/>
        </w:rPr>
        <w:t>z</w:t>
      </w:r>
      <w:r w:rsidRPr="00373DD4">
        <w:rPr>
          <w:rFonts w:eastAsia="Times New Roman" w:cs="Times New Roman"/>
        </w:rPr>
        <w:t>ajištění 10% podílu energie z obnovitelných zdrojů v dopravě k</w:t>
      </w:r>
      <w:r>
        <w:rPr>
          <w:rFonts w:eastAsia="Times New Roman" w:cs="Times New Roman"/>
        </w:rPr>
        <w:t> </w:t>
      </w:r>
      <w:r w:rsidRPr="00373DD4">
        <w:rPr>
          <w:rFonts w:eastAsia="Times New Roman" w:cs="Times New Roman"/>
        </w:rPr>
        <w:t>r</w:t>
      </w:r>
      <w:r>
        <w:rPr>
          <w:rFonts w:eastAsia="Times New Roman" w:cs="Times New Roman"/>
        </w:rPr>
        <w:t>.</w:t>
      </w:r>
      <w:r w:rsidR="00C20460">
        <w:rPr>
          <w:rFonts w:eastAsia="Times New Roman" w:cs="Times New Roman"/>
        </w:rPr>
        <w:t xml:space="preserve"> </w:t>
      </w:r>
      <w:r w:rsidRPr="00373DD4">
        <w:rPr>
          <w:rFonts w:eastAsia="Times New Roman" w:cs="Times New Roman"/>
        </w:rPr>
        <w:t xml:space="preserve">2020 při současném snížení emisí </w:t>
      </w:r>
      <w:proofErr w:type="spellStart"/>
      <w:r w:rsidRPr="00373DD4">
        <w:rPr>
          <w:rFonts w:eastAsia="Times New Roman" w:cs="Times New Roman"/>
        </w:rPr>
        <w:t>NOx</w:t>
      </w:r>
      <w:proofErr w:type="spellEnd"/>
      <w:r w:rsidRPr="00373DD4">
        <w:rPr>
          <w:rFonts w:eastAsia="Times New Roman" w:cs="Times New Roman"/>
        </w:rPr>
        <w:t>, VOC a PM</w:t>
      </w:r>
      <w:r w:rsidRPr="00373DD4">
        <w:rPr>
          <w:rFonts w:eastAsia="Times New Roman" w:cs="Times New Roman"/>
          <w:vertAlign w:val="subscript"/>
        </w:rPr>
        <w:t>5</w:t>
      </w:r>
      <w:r w:rsidRPr="00373DD4">
        <w:rPr>
          <w:rFonts w:eastAsia="Times New Roman" w:cs="Times New Roman"/>
        </w:rPr>
        <w:t xml:space="preserve"> z</w:t>
      </w:r>
      <w:r>
        <w:rPr>
          <w:rFonts w:eastAsia="Times New Roman" w:cs="Times New Roman"/>
        </w:rPr>
        <w:t> </w:t>
      </w:r>
      <w:r w:rsidRPr="00373DD4">
        <w:rPr>
          <w:rFonts w:eastAsia="Times New Roman" w:cs="Times New Roman"/>
        </w:rPr>
        <w:t>dopravy</w:t>
      </w:r>
      <w:r>
        <w:rPr>
          <w:rFonts w:eastAsia="Times New Roman" w:cs="Times New Roman"/>
        </w:rPr>
        <w:t>,</w:t>
      </w:r>
    </w:p>
    <w:p w:rsidR="00B17192" w:rsidRDefault="00B17192" w:rsidP="00B17192">
      <w:pPr>
        <w:numPr>
          <w:ilvl w:val="0"/>
          <w:numId w:val="79"/>
        </w:numPr>
        <w:contextualSpacing/>
        <w:rPr>
          <w:rFonts w:eastAsia="Times New Roman" w:cs="Times New Roman"/>
        </w:rPr>
      </w:pPr>
      <w:r>
        <w:rPr>
          <w:rFonts w:eastAsia="Times New Roman" w:cs="Times New Roman"/>
        </w:rPr>
        <w:t>z</w:t>
      </w:r>
      <w:r w:rsidRPr="00373DD4">
        <w:rPr>
          <w:rFonts w:eastAsia="Times New Roman" w:cs="Times New Roman"/>
        </w:rPr>
        <w:t>ajištění závazku zvýšení energetické účinnosti do r</w:t>
      </w:r>
      <w:r>
        <w:rPr>
          <w:rFonts w:eastAsia="Times New Roman" w:cs="Times New Roman"/>
        </w:rPr>
        <w:t>.</w:t>
      </w:r>
      <w:r w:rsidR="00C20460">
        <w:rPr>
          <w:rFonts w:eastAsia="Times New Roman" w:cs="Times New Roman"/>
        </w:rPr>
        <w:t xml:space="preserve"> </w:t>
      </w:r>
      <w:r w:rsidRPr="00373DD4">
        <w:rPr>
          <w:rFonts w:eastAsia="Times New Roman" w:cs="Times New Roman"/>
        </w:rPr>
        <w:t>2020.</w:t>
      </w:r>
    </w:p>
    <w:p w:rsidR="00B17192" w:rsidRDefault="00B17192" w:rsidP="00B17192">
      <w:pPr>
        <w:ind w:left="720"/>
        <w:contextualSpacing/>
        <w:rPr>
          <w:rFonts w:eastAsia="Times New Roman" w:cs="Times New Roman"/>
        </w:rPr>
      </w:pPr>
    </w:p>
    <w:p w:rsidR="00B17192" w:rsidRPr="000C75D1" w:rsidRDefault="00B17192" w:rsidP="00B17192">
      <w:pPr>
        <w:rPr>
          <w:rFonts w:eastAsia="Times New Roman" w:cs="Times New Roman"/>
        </w:rPr>
      </w:pPr>
      <w:r w:rsidRPr="00373DD4">
        <w:rPr>
          <w:rFonts w:eastAsia="Times New Roman" w:cs="Times New Roman"/>
        </w:rPr>
        <w:t>Pro každý z</w:t>
      </w:r>
      <w:r>
        <w:rPr>
          <w:rFonts w:eastAsia="Times New Roman" w:cs="Times New Roman"/>
        </w:rPr>
        <w:t xml:space="preserve"> </w:t>
      </w:r>
      <w:r w:rsidRPr="00373DD4">
        <w:rPr>
          <w:rFonts w:eastAsia="Times New Roman" w:cs="Times New Roman"/>
        </w:rPr>
        <w:t>cílů jsou navržena konkrétní opatření včetně termínu realizace, odpovědnosti orgánů státní správy (zejména relevantních ministerstev) za implementaci a indikátorů.</w:t>
      </w:r>
    </w:p>
    <w:p w:rsidR="00B17192" w:rsidRPr="000C75D1" w:rsidRDefault="00B17192" w:rsidP="00B17192">
      <w:pPr>
        <w:rPr>
          <w:rFonts w:eastAsia="Times New Roman" w:cs="Times New Roman"/>
          <w:b/>
        </w:rPr>
      </w:pPr>
      <w:r w:rsidRPr="00373DD4">
        <w:rPr>
          <w:rFonts w:eastAsia="Times New Roman" w:cs="Times New Roman"/>
        </w:rPr>
        <w:t>PO5 bere v potaz také další relevantní strategické dokumenty, zejména</w:t>
      </w:r>
      <w:r w:rsidRPr="00373DD4">
        <w:rPr>
          <w:rFonts w:eastAsia="Times New Roman" w:cs="Times New Roman"/>
          <w:b/>
        </w:rPr>
        <w:t xml:space="preserve"> Státní energetickou koncepci ČR, </w:t>
      </w:r>
      <w:r w:rsidRPr="00373DD4">
        <w:rPr>
          <w:rFonts w:eastAsia="Times New Roman" w:cs="Times New Roman"/>
          <w:b/>
        </w:rPr>
        <w:tab/>
        <w:t>Národní akční plán ČR pro energii z obnov</w:t>
      </w:r>
      <w:r w:rsidR="00C20460">
        <w:rPr>
          <w:rFonts w:eastAsia="Times New Roman" w:cs="Times New Roman"/>
          <w:b/>
        </w:rPr>
        <w:t>itelných zdrojů, Akční plán pro </w:t>
      </w:r>
      <w:r w:rsidRPr="00373DD4">
        <w:rPr>
          <w:rFonts w:eastAsia="Times New Roman" w:cs="Times New Roman"/>
          <w:b/>
        </w:rPr>
        <w:t>biomasu v ČR na období 2012-2020 a Národní akční</w:t>
      </w:r>
      <w:r w:rsidR="00C20460">
        <w:rPr>
          <w:rFonts w:eastAsia="Times New Roman" w:cs="Times New Roman"/>
          <w:b/>
        </w:rPr>
        <w:t xml:space="preserve"> plány energetické účinnosti ČR</w:t>
      </w:r>
      <w:r w:rsidRPr="00373DD4">
        <w:rPr>
          <w:rFonts w:eastAsia="Times New Roman" w:cs="Times New Roman"/>
          <w:b/>
        </w:rPr>
        <w:t>.</w:t>
      </w:r>
    </w:p>
    <w:p w:rsidR="00B17192" w:rsidRPr="00373DD4" w:rsidRDefault="00B17192" w:rsidP="00B17192">
      <w:pPr>
        <w:rPr>
          <w:rFonts w:eastAsia="Times New Roman" w:cs="Times New Roman"/>
        </w:rPr>
      </w:pPr>
      <w:r w:rsidRPr="00373DD4">
        <w:rPr>
          <w:rFonts w:eastAsia="Times New Roman" w:cs="Times New Roman"/>
          <w:bCs/>
        </w:rPr>
        <w:t>Národním cílem je přispět k naplnění cíle EU zvýšení energetické účinnosti o 20 % do r. 2020</w:t>
      </w:r>
      <w:r>
        <w:rPr>
          <w:rFonts w:eastAsia="Times New Roman" w:cs="Times New Roman"/>
          <w:bCs/>
        </w:rPr>
        <w:t>,</w:t>
      </w:r>
      <w:r w:rsidRPr="00373DD4">
        <w:rPr>
          <w:rFonts w:eastAsia="Times New Roman" w:cs="Times New Roman"/>
          <w:bCs/>
        </w:rPr>
        <w:t xml:space="preserve"> stanoveného v rámci klimaticko-energetického balíčku a strategie Evropa 2020</w:t>
      </w:r>
      <w:r>
        <w:rPr>
          <w:rFonts w:eastAsia="Times New Roman" w:cs="Times New Roman"/>
          <w:bCs/>
        </w:rPr>
        <w:t>,</w:t>
      </w:r>
      <w:r w:rsidRPr="00373DD4">
        <w:rPr>
          <w:rFonts w:eastAsia="Times New Roman" w:cs="Times New Roman"/>
          <w:bCs/>
        </w:rPr>
        <w:t xml:space="preserve"> </w:t>
      </w:r>
      <w:r w:rsidRPr="00373DD4">
        <w:rPr>
          <w:rFonts w:eastAsia="Times New Roman" w:cs="Times New Roman"/>
        </w:rPr>
        <w:t>k efektivnímu dosažení cíle 13 % podílu obnovitelných zdrojů na hrubé konečné spotřebě</w:t>
      </w:r>
      <w:r>
        <w:rPr>
          <w:rFonts w:eastAsia="Times New Roman" w:cs="Times New Roman"/>
        </w:rPr>
        <w:t>, k</w:t>
      </w:r>
      <w:r w:rsidR="00C20460">
        <w:rPr>
          <w:rFonts w:eastAsia="Times New Roman" w:cs="Times New Roman"/>
        </w:rPr>
        <w:t xml:space="preserve"> dosažení a </w:t>
      </w:r>
      <w:r w:rsidRPr="00373DD4">
        <w:rPr>
          <w:rFonts w:eastAsia="Times New Roman" w:cs="Times New Roman"/>
        </w:rPr>
        <w:t xml:space="preserve">udržení 3 % tempa podílu renovace budov ve vlastnictví státu </w:t>
      </w:r>
      <w:r>
        <w:rPr>
          <w:rFonts w:eastAsia="Times New Roman" w:cs="Times New Roman"/>
        </w:rPr>
        <w:t>dle</w:t>
      </w:r>
      <w:r w:rsidRPr="00373DD4">
        <w:rPr>
          <w:rFonts w:eastAsia="Times New Roman" w:cs="Times New Roman"/>
        </w:rPr>
        <w:t>  směrnic</w:t>
      </w:r>
      <w:r>
        <w:rPr>
          <w:rFonts w:eastAsia="Times New Roman" w:cs="Times New Roman"/>
        </w:rPr>
        <w:t>e</w:t>
      </w:r>
      <w:r w:rsidRPr="00373DD4">
        <w:rPr>
          <w:rFonts w:eastAsia="Times New Roman" w:cs="Times New Roman"/>
        </w:rPr>
        <w:t xml:space="preserve"> o energetické účinnosti a </w:t>
      </w:r>
      <w:r>
        <w:rPr>
          <w:rFonts w:eastAsia="Times New Roman" w:cs="Times New Roman"/>
        </w:rPr>
        <w:t xml:space="preserve">ke </w:t>
      </w:r>
      <w:r w:rsidRPr="00373DD4">
        <w:rPr>
          <w:rFonts w:eastAsia="Times New Roman" w:cs="Times New Roman"/>
        </w:rPr>
        <w:t xml:space="preserve">splnění limitu pro zvyšování emisí v odvětvích nespadajících do </w:t>
      </w:r>
      <w:r>
        <w:rPr>
          <w:rFonts w:eastAsia="Times New Roman" w:cs="Times New Roman"/>
        </w:rPr>
        <w:t xml:space="preserve">ETS. </w:t>
      </w:r>
      <w:r w:rsidRPr="00373DD4">
        <w:rPr>
          <w:rFonts w:eastAsia="Times New Roman" w:cs="Times New Roman"/>
        </w:rPr>
        <w:t xml:space="preserve">Realizovaná </w:t>
      </w:r>
      <w:r w:rsidRPr="00373DD4">
        <w:rPr>
          <w:rFonts w:eastAsia="Times New Roman" w:cs="Times New Roman"/>
        </w:rPr>
        <w:lastRenderedPageBreak/>
        <w:t>opatření by měla vést ke snižování konečné spotřeby energie v oblasti veřejných budov a přispět k přiblížení emisní intenzity ČR průměru EU.</w:t>
      </w:r>
    </w:p>
    <w:p w:rsidR="00B17192" w:rsidRPr="00373DD4" w:rsidRDefault="00B17192" w:rsidP="00B17192">
      <w:pPr>
        <w:rPr>
          <w:rFonts w:eastAsia="Times New Roman" w:cs="Times New Roman"/>
          <w:bCs/>
        </w:rPr>
      </w:pPr>
      <w:r w:rsidRPr="00373DD4">
        <w:rPr>
          <w:rFonts w:eastAsia="Times New Roman" w:cs="Times New Roman"/>
          <w:bCs/>
        </w:rPr>
        <w:t xml:space="preserve">Národní orientační cíl pro energetickou účinnost v souladu se strategií Evropa 2020 a čl. 3 směrnice o energetické účinnosti byl ČR navržen ve výši 47,84 PJ (13,29 </w:t>
      </w:r>
      <w:proofErr w:type="spellStart"/>
      <w:r w:rsidRPr="00373DD4">
        <w:rPr>
          <w:rFonts w:eastAsia="Times New Roman" w:cs="Times New Roman"/>
          <w:bCs/>
        </w:rPr>
        <w:t>TWh</w:t>
      </w:r>
      <w:proofErr w:type="spellEnd"/>
      <w:r w:rsidRPr="00373DD4">
        <w:rPr>
          <w:rFonts w:eastAsia="Times New Roman" w:cs="Times New Roman"/>
          <w:bCs/>
        </w:rPr>
        <w:t>) úspor v konečné spotřebě energie. ČR v souladu se směrnicí 20</w:t>
      </w:r>
      <w:r>
        <w:rPr>
          <w:rFonts w:eastAsia="Times New Roman" w:cs="Times New Roman"/>
          <w:bCs/>
        </w:rPr>
        <w:t>12</w:t>
      </w:r>
      <w:r w:rsidRPr="00373DD4">
        <w:rPr>
          <w:rFonts w:eastAsia="Times New Roman" w:cs="Times New Roman"/>
          <w:bCs/>
        </w:rPr>
        <w:t>/</w:t>
      </w:r>
      <w:r>
        <w:rPr>
          <w:rFonts w:eastAsia="Times New Roman" w:cs="Times New Roman"/>
          <w:bCs/>
        </w:rPr>
        <w:t>27</w:t>
      </w:r>
      <w:r w:rsidRPr="00373DD4">
        <w:rPr>
          <w:rFonts w:eastAsia="Times New Roman" w:cs="Times New Roman"/>
          <w:bCs/>
        </w:rPr>
        <w:t>/E</w:t>
      </w:r>
      <w:r>
        <w:rPr>
          <w:rFonts w:eastAsia="Times New Roman" w:cs="Times New Roman"/>
          <w:bCs/>
        </w:rPr>
        <w:t>U</w:t>
      </w:r>
      <w:r w:rsidRPr="00373DD4">
        <w:rPr>
          <w:rFonts w:eastAsia="Times New Roman" w:cs="Times New Roman"/>
          <w:bCs/>
        </w:rPr>
        <w:t xml:space="preserve"> o energetické účinnosti přijala již </w:t>
      </w:r>
      <w:r>
        <w:rPr>
          <w:rFonts w:eastAsia="Times New Roman" w:cs="Times New Roman"/>
          <w:bCs/>
        </w:rPr>
        <w:t>třetí</w:t>
      </w:r>
      <w:r w:rsidRPr="00373DD4">
        <w:rPr>
          <w:rFonts w:eastAsia="Times New Roman" w:cs="Times New Roman"/>
          <w:bCs/>
        </w:rPr>
        <w:t xml:space="preserve"> národní Akční plán energetické účinnosti na roky 2008–2016, který naplňuje indikativní cíle EU v oblasti zvýšení energetické efektivnosti. </w:t>
      </w:r>
    </w:p>
    <w:p w:rsidR="00B17192" w:rsidRPr="000C75D1" w:rsidRDefault="00B17192" w:rsidP="00B17192">
      <w:pPr>
        <w:rPr>
          <w:rFonts w:eastAsia="Times New Roman" w:cs="Times New Roman"/>
          <w:bCs/>
        </w:rPr>
      </w:pPr>
      <w:r w:rsidRPr="00373DD4">
        <w:rPr>
          <w:rFonts w:eastAsia="Times New Roman" w:cs="Times New Roman"/>
          <w:bCs/>
        </w:rPr>
        <w:t>Dalším důležitým cílem je snižování energetické náročnosti a efektivní a udržitelné využívání zdrojů energie v rámci přechodu k nízkouhlíkovému hospodářství.</w:t>
      </w:r>
    </w:p>
    <w:p w:rsidR="00B17192" w:rsidRPr="00373DD4" w:rsidRDefault="00B17192" w:rsidP="00B17192">
      <w:pPr>
        <w:rPr>
          <w:rFonts w:eastAsia="Times New Roman" w:cs="Times New Roman"/>
          <w:b/>
        </w:rPr>
      </w:pPr>
      <w:r w:rsidRPr="00373DD4">
        <w:rPr>
          <w:rFonts w:eastAsia="Times New Roman" w:cs="Times New Roman"/>
          <w:b/>
        </w:rPr>
        <w:t>Příspěvek k řešení v rámci OP ŽP 2014-2020</w:t>
      </w:r>
    </w:p>
    <w:p w:rsidR="00B17192" w:rsidRPr="00373DD4" w:rsidRDefault="00B17192" w:rsidP="00B17192">
      <w:pPr>
        <w:rPr>
          <w:rFonts w:eastAsia="Times New Roman" w:cs="Times New Roman"/>
        </w:rPr>
      </w:pPr>
      <w:r w:rsidRPr="00373DD4">
        <w:rPr>
          <w:rFonts w:eastAsia="Times New Roman" w:cs="Times New Roman"/>
        </w:rPr>
        <w:t xml:space="preserve">V zájmu příspěvku OP ŽP 2014-2020 k řešení výše specifikovaných problémů je v rámci PO 5 navržen následující </w:t>
      </w:r>
      <w:r w:rsidRPr="00373DD4">
        <w:rPr>
          <w:rFonts w:eastAsia="Times New Roman" w:cs="Times New Roman"/>
          <w:b/>
        </w:rPr>
        <w:t>specifický cíl</w:t>
      </w:r>
      <w:r w:rsidRPr="00373DD4">
        <w:rPr>
          <w:rFonts w:eastAsia="Times New Roman" w:cs="Times New Roman"/>
        </w:rPr>
        <w:t xml:space="preserve"> (SC):</w:t>
      </w:r>
    </w:p>
    <w:p w:rsidR="00B17192" w:rsidRPr="00373DD4" w:rsidRDefault="00B17192" w:rsidP="00B17192">
      <w:pPr>
        <w:numPr>
          <w:ilvl w:val="0"/>
          <w:numId w:val="80"/>
        </w:numPr>
        <w:contextualSpacing/>
        <w:rPr>
          <w:rFonts w:eastAsia="Times New Roman" w:cs="Times New Roman"/>
          <w:b/>
        </w:rPr>
      </w:pPr>
      <w:r w:rsidRPr="00373DD4">
        <w:rPr>
          <w:rFonts w:eastAsia="Times New Roman" w:cs="Times New Roman"/>
        </w:rPr>
        <w:t xml:space="preserve">SC 5.1: </w:t>
      </w:r>
      <w:r w:rsidRPr="00373DD4">
        <w:rPr>
          <w:rFonts w:eastAsia="Times New Roman" w:cs="Times New Roman"/>
          <w:b/>
        </w:rPr>
        <w:t>Snížit energetickou náročnost veřejných budov a zvýšit využití obnovitelných zdrojů energie.</w:t>
      </w:r>
    </w:p>
    <w:p w:rsidR="00B17192" w:rsidRPr="00373DD4" w:rsidRDefault="00B17192" w:rsidP="00B17192">
      <w:pPr>
        <w:contextualSpacing/>
        <w:rPr>
          <w:rFonts w:eastAsia="Times New Roman" w:cs="Times New Roman"/>
        </w:rPr>
      </w:pPr>
      <w:r w:rsidRPr="00373DD4">
        <w:rPr>
          <w:rFonts w:eastAsia="Times New Roman" w:cs="Times New Roman"/>
        </w:rPr>
        <w:t>Základní vazby mezi identifikovanými problémy, jejich příčinami a specifickými cíli PO 5 jsou uvedeny v tabulce č. 6 v Příloze 1.</w:t>
      </w:r>
    </w:p>
    <w:p w:rsidR="00B17192" w:rsidRPr="00373DD4" w:rsidRDefault="00B17192" w:rsidP="00B17192">
      <w:pPr>
        <w:contextualSpacing/>
        <w:rPr>
          <w:rFonts w:eastAsia="Times New Roman" w:cs="Times New Roman"/>
          <w:b/>
        </w:rPr>
      </w:pPr>
    </w:p>
    <w:p w:rsidR="00B17192" w:rsidRDefault="00B17192" w:rsidP="00B17192">
      <w:pPr>
        <w:rPr>
          <w:rFonts w:eastAsia="Times New Roman" w:cs="Times New Roman"/>
        </w:rPr>
      </w:pPr>
      <w:r w:rsidRPr="00373DD4">
        <w:rPr>
          <w:rFonts w:eastAsia="Times New Roman" w:cs="Times New Roman"/>
          <w:b/>
          <w:bCs/>
          <w:iCs/>
        </w:rPr>
        <w:t xml:space="preserve">Opatření budou zaměřena na budovy s vysokým potenciálem nákladově efektivních řešení. Vysoké investiční náklady jsou hlavní bariérou pro realizaci úsporných opatření a instalace alternativních zdrojů v budovách </w:t>
      </w:r>
      <w:r w:rsidRPr="00373DD4">
        <w:rPr>
          <w:rFonts w:eastAsia="Times New Roman" w:cs="Times New Roman"/>
        </w:rPr>
        <w:t>pro vytápění a ohřev teplé vody ve vlastnictví obcí a krajů. Významný potenciál je na straně zdrojů, kde</w:t>
      </w:r>
      <w:r>
        <w:rPr>
          <w:rFonts w:eastAsia="Times New Roman" w:cs="Times New Roman"/>
        </w:rPr>
        <w:t xml:space="preserve"> jsou stále rozšířeny zdroje na </w:t>
      </w:r>
      <w:r w:rsidRPr="00373DD4">
        <w:rPr>
          <w:rFonts w:eastAsia="Times New Roman" w:cs="Times New Roman"/>
        </w:rPr>
        <w:t xml:space="preserve">fosilní paliva s nízkou účinností a nepříznivými </w:t>
      </w:r>
      <w:r>
        <w:rPr>
          <w:rFonts w:eastAsia="Times New Roman" w:cs="Times New Roman"/>
        </w:rPr>
        <w:t>emisními</w:t>
      </w:r>
      <w:r w:rsidRPr="00373DD4">
        <w:rPr>
          <w:rFonts w:eastAsia="Times New Roman" w:cs="Times New Roman"/>
        </w:rPr>
        <w:t xml:space="preserve"> parametry</w:t>
      </w:r>
      <w:r>
        <w:rPr>
          <w:rFonts w:eastAsia="Times New Roman" w:cs="Times New Roman"/>
        </w:rPr>
        <w:t xml:space="preserve"> i</w:t>
      </w:r>
      <w:r w:rsidRPr="00373DD4">
        <w:rPr>
          <w:rFonts w:eastAsia="Times New Roman" w:cs="Times New Roman"/>
        </w:rPr>
        <w:t xml:space="preserve"> na straně konečné spotřeby, kde většina budov nebyla dosud zateplena a nebyla realizována ani jiná úsporná opatření. Kromě úspory provozních nákladů a snížení emisí skleníkových plynů a znečišťujících látek přispějí navrhovaná opatření </w:t>
      </w:r>
      <w:r>
        <w:rPr>
          <w:rFonts w:eastAsia="Times New Roman" w:cs="Times New Roman"/>
        </w:rPr>
        <w:t>také</w:t>
      </w:r>
      <w:r w:rsidRPr="00373DD4">
        <w:rPr>
          <w:rFonts w:eastAsia="Times New Roman" w:cs="Times New Roman"/>
        </w:rPr>
        <w:t xml:space="preserve"> ke snížení energické závislosti a ztrát při výrobě a přenosu energie.</w:t>
      </w:r>
    </w:p>
    <w:p w:rsidR="00B17192" w:rsidRPr="000C75D1" w:rsidRDefault="00B17192" w:rsidP="00B17192">
      <w:pPr>
        <w:rPr>
          <w:rFonts w:eastAsia="Times New Roman" w:cs="Times New Roman"/>
        </w:rPr>
      </w:pPr>
      <w:r>
        <w:rPr>
          <w:rFonts w:eastAsia="Times New Roman" w:cs="Times New Roman"/>
        </w:rPr>
        <w:t xml:space="preserve">PO5 se zaměřuje pouze na intervence v oblasti veřejných budov, aby nedocházelo k překryvům s dalšími operačními i národními programy. Energetické úspory v sektoru domácností budou nadále podporovány z programu Nová zelená úsporám (rodinné domy a bytové domy do čtyř bytových jednotek) a Integrovaného regionálního operačního programu (větší bytové domy). Podpora přechodu na vysoce účinné </w:t>
      </w:r>
      <w:proofErr w:type="spellStart"/>
      <w:r>
        <w:rPr>
          <w:rFonts w:eastAsia="Times New Roman" w:cs="Times New Roman"/>
        </w:rPr>
        <w:t>nízkoemisní</w:t>
      </w:r>
      <w:proofErr w:type="spellEnd"/>
      <w:r>
        <w:rPr>
          <w:rFonts w:eastAsia="Times New Roman" w:cs="Times New Roman"/>
        </w:rPr>
        <w:t xml:space="preserve"> zdroje vytápění rovněž patří mezi opatření podporovaná v rámci PO2. Podpora energetických úspor v průmyslu je předmětem Operačního programu Podnikání a inovace pro konkurenceschopnost.</w:t>
      </w:r>
    </w:p>
    <w:p w:rsidR="00B17192" w:rsidRDefault="00B17192" w:rsidP="005625D2">
      <w:pPr>
        <w:sectPr w:rsidR="00B17192" w:rsidSect="00CD4E4B">
          <w:footerReference w:type="default" r:id="rId13"/>
          <w:footerReference w:type="first" r:id="rId14"/>
          <w:pgSz w:w="11906" w:h="16838" w:code="9"/>
          <w:pgMar w:top="1418" w:right="1418" w:bottom="1418" w:left="1418" w:header="709" w:footer="709" w:gutter="0"/>
          <w:pgNumType w:start="1"/>
          <w:cols w:space="708"/>
          <w:titlePg/>
          <w:docGrid w:linePitch="360"/>
        </w:sectPr>
      </w:pPr>
    </w:p>
    <w:p w:rsidR="00792069" w:rsidRPr="00BC50D3" w:rsidRDefault="0073424E" w:rsidP="005627B6">
      <w:pPr>
        <w:pStyle w:val="Titulek"/>
      </w:pPr>
      <w:bookmarkStart w:id="2211" w:name="_Toc384907302"/>
      <w:r>
        <w:lastRenderedPageBreak/>
        <w:t>Odůvodnění</w:t>
      </w:r>
      <w:r w:rsidR="00493433" w:rsidRPr="00BC50D3">
        <w:t xml:space="preserve"> výběru tematic</w:t>
      </w:r>
      <w:r w:rsidR="00792069" w:rsidRPr="00BC50D3">
        <w:t>kých cílů a investičních priori</w:t>
      </w:r>
      <w:r w:rsidR="008C551A" w:rsidRPr="00BC50D3">
        <w:t>t</w:t>
      </w:r>
      <w:bookmarkEnd w:id="2211"/>
    </w:p>
    <w:tbl>
      <w:tblPr>
        <w:tblStyle w:val="Mkatabulky"/>
        <w:tblW w:w="0" w:type="auto"/>
        <w:tblLook w:val="04A0" w:firstRow="1" w:lastRow="0" w:firstColumn="1" w:lastColumn="0" w:noHBand="0" w:noVBand="1"/>
      </w:tblPr>
      <w:tblGrid>
        <w:gridCol w:w="3070"/>
        <w:gridCol w:w="3559"/>
        <w:gridCol w:w="7513"/>
      </w:tblGrid>
      <w:tr w:rsidR="000127EB" w:rsidRPr="005727DB" w:rsidTr="00FE4C0F">
        <w:trPr>
          <w:tblHeader/>
        </w:trPr>
        <w:tc>
          <w:tcPr>
            <w:tcW w:w="3070" w:type="dxa"/>
            <w:tcBorders>
              <w:top w:val="single" w:sz="4" w:space="0" w:color="auto"/>
              <w:left w:val="single" w:sz="4" w:space="0" w:color="auto"/>
              <w:bottom w:val="single" w:sz="12" w:space="0" w:color="auto"/>
            </w:tcBorders>
            <w:shd w:val="clear" w:color="auto" w:fill="BFBFBF" w:themeFill="background1" w:themeFillShade="BF"/>
          </w:tcPr>
          <w:p w:rsidR="000127EB" w:rsidRPr="002F367B" w:rsidRDefault="0033290F" w:rsidP="003F2759">
            <w:pPr>
              <w:spacing w:line="276" w:lineRule="auto"/>
              <w:rPr>
                <w:rStyle w:val="Zdraznnintenzivn"/>
                <w:rFonts w:cstheme="minorHAnsi"/>
                <w:i w:val="0"/>
                <w:color w:val="000000" w:themeColor="text1"/>
                <w:sz w:val="20"/>
                <w:szCs w:val="20"/>
              </w:rPr>
            </w:pPr>
            <w:r w:rsidRPr="0033290F">
              <w:rPr>
                <w:rStyle w:val="Zdraznnintenzivn"/>
                <w:rFonts w:cstheme="minorHAnsi"/>
                <w:i w:val="0"/>
                <w:color w:val="000000" w:themeColor="text1"/>
                <w:sz w:val="20"/>
                <w:szCs w:val="20"/>
              </w:rPr>
              <w:t>Vybraný tematický cíl</w:t>
            </w:r>
          </w:p>
        </w:tc>
        <w:tc>
          <w:tcPr>
            <w:tcW w:w="3559" w:type="dxa"/>
            <w:tcBorders>
              <w:top w:val="single" w:sz="4" w:space="0" w:color="auto"/>
              <w:bottom w:val="single" w:sz="12" w:space="0" w:color="auto"/>
            </w:tcBorders>
            <w:shd w:val="clear" w:color="auto" w:fill="BFBFBF" w:themeFill="background1" w:themeFillShade="BF"/>
          </w:tcPr>
          <w:p w:rsidR="000127EB" w:rsidRPr="002F367B" w:rsidRDefault="0033290F" w:rsidP="003F2759">
            <w:pPr>
              <w:spacing w:line="276" w:lineRule="auto"/>
              <w:rPr>
                <w:rStyle w:val="Zdraznnintenzivn"/>
                <w:rFonts w:cstheme="minorHAnsi"/>
                <w:i w:val="0"/>
                <w:color w:val="000000" w:themeColor="text1"/>
                <w:sz w:val="20"/>
                <w:szCs w:val="20"/>
              </w:rPr>
            </w:pPr>
            <w:r w:rsidRPr="0033290F">
              <w:rPr>
                <w:rStyle w:val="Zdraznnintenzivn"/>
                <w:rFonts w:cstheme="minorHAnsi"/>
                <w:i w:val="0"/>
                <w:color w:val="000000" w:themeColor="text1"/>
                <w:sz w:val="20"/>
                <w:szCs w:val="20"/>
              </w:rPr>
              <w:t>Vybraná investiční priorita</w:t>
            </w:r>
          </w:p>
        </w:tc>
        <w:tc>
          <w:tcPr>
            <w:tcW w:w="7513" w:type="dxa"/>
            <w:tcBorders>
              <w:top w:val="single" w:sz="4" w:space="0" w:color="auto"/>
              <w:bottom w:val="single" w:sz="12" w:space="0" w:color="auto"/>
              <w:right w:val="single" w:sz="4" w:space="0" w:color="auto"/>
            </w:tcBorders>
            <w:shd w:val="clear" w:color="auto" w:fill="BFBFBF" w:themeFill="background1" w:themeFillShade="BF"/>
          </w:tcPr>
          <w:p w:rsidR="000127EB" w:rsidRPr="002F367B" w:rsidRDefault="0033290F" w:rsidP="003F2759">
            <w:pPr>
              <w:spacing w:line="276" w:lineRule="auto"/>
              <w:rPr>
                <w:rStyle w:val="Zdraznnintenzivn"/>
                <w:rFonts w:cstheme="minorHAnsi"/>
                <w:i w:val="0"/>
                <w:color w:val="000000" w:themeColor="text1"/>
                <w:sz w:val="20"/>
                <w:szCs w:val="20"/>
              </w:rPr>
            </w:pPr>
            <w:r w:rsidRPr="0033290F">
              <w:rPr>
                <w:rStyle w:val="Zdraznnintenzivn"/>
                <w:rFonts w:cstheme="minorHAnsi"/>
                <w:i w:val="0"/>
                <w:color w:val="000000" w:themeColor="text1"/>
                <w:sz w:val="20"/>
                <w:szCs w:val="20"/>
              </w:rPr>
              <w:t>Odůvodnění výběru</w:t>
            </w:r>
          </w:p>
        </w:tc>
      </w:tr>
      <w:tr w:rsidR="000127EB" w:rsidRPr="005727DB" w:rsidTr="003F2759">
        <w:trPr>
          <w:trHeight w:val="531"/>
        </w:trPr>
        <w:tc>
          <w:tcPr>
            <w:tcW w:w="3070" w:type="dxa"/>
            <w:tcBorders>
              <w:top w:val="single" w:sz="12" w:space="0" w:color="auto"/>
              <w:left w:val="single" w:sz="4" w:space="0" w:color="auto"/>
              <w:bottom w:val="single" w:sz="4" w:space="0" w:color="auto"/>
            </w:tcBorders>
          </w:tcPr>
          <w:p w:rsidR="000127EB" w:rsidRPr="002F367B" w:rsidRDefault="0033290F" w:rsidP="003F2759">
            <w:pPr>
              <w:spacing w:line="276" w:lineRule="auto"/>
              <w:rPr>
                <w:rStyle w:val="Zdraznnintenzivn"/>
                <w:rFonts w:cs="Calibri"/>
                <w:b w:val="0"/>
                <w:i w:val="0"/>
                <w:iCs w:val="0"/>
                <w:color w:val="auto"/>
                <w:sz w:val="20"/>
                <w:szCs w:val="20"/>
              </w:rPr>
            </w:pPr>
            <w:r w:rsidRPr="0033290F">
              <w:rPr>
                <w:rFonts w:cs="Calibri"/>
                <w:sz w:val="20"/>
                <w:szCs w:val="20"/>
              </w:rPr>
              <w:t>Tematický cíl 4: Podpora přechodu na nízkouhlíkové hospodářství ve všech odvětvích</w:t>
            </w:r>
          </w:p>
        </w:tc>
        <w:tc>
          <w:tcPr>
            <w:tcW w:w="3559" w:type="dxa"/>
            <w:tcBorders>
              <w:top w:val="single" w:sz="12" w:space="0" w:color="auto"/>
              <w:bottom w:val="single" w:sz="4" w:space="0" w:color="auto"/>
            </w:tcBorders>
          </w:tcPr>
          <w:p w:rsidR="000127EB" w:rsidRPr="002F367B" w:rsidRDefault="0033290F" w:rsidP="003F2759">
            <w:pPr>
              <w:spacing w:line="276" w:lineRule="auto"/>
              <w:rPr>
                <w:rStyle w:val="Zdraznnintenzivn"/>
                <w:rFonts w:cstheme="minorHAnsi"/>
                <w:b w:val="0"/>
                <w:i w:val="0"/>
                <w:color w:val="auto"/>
                <w:sz w:val="20"/>
                <w:szCs w:val="20"/>
              </w:rPr>
            </w:pPr>
            <w:r w:rsidRPr="0033290F">
              <w:rPr>
                <w:sz w:val="20"/>
                <w:szCs w:val="20"/>
              </w:rPr>
              <w:t xml:space="preserve">Podporování přechodu na nízkouhlíkové hospodářství ve všech odvětvích podporou energetické účinnosti, inteligentních systémů hospodaření s energií a využívání energie z obnovitelných zdrojů ve veřejných infrastrukturách, mimo jiné ve veřejných budovách a v oblasti bydlení (Dle Nařízení Evropského Parlamentu a Rady č. 1300/2013, čl. 4 odst. a) písm. </w:t>
            </w:r>
            <w:proofErr w:type="spellStart"/>
            <w:r w:rsidRPr="0033290F">
              <w:rPr>
                <w:sz w:val="20"/>
                <w:szCs w:val="20"/>
              </w:rPr>
              <w:t>iii</w:t>
            </w:r>
            <w:proofErr w:type="spellEnd"/>
            <w:r w:rsidRPr="0033290F">
              <w:rPr>
                <w:sz w:val="20"/>
                <w:szCs w:val="20"/>
              </w:rPr>
              <w:t>))</w:t>
            </w:r>
          </w:p>
        </w:tc>
        <w:tc>
          <w:tcPr>
            <w:tcW w:w="7513" w:type="dxa"/>
            <w:tcBorders>
              <w:top w:val="single" w:sz="12" w:space="0" w:color="auto"/>
              <w:bottom w:val="single" w:sz="4" w:space="0" w:color="auto"/>
              <w:right w:val="single" w:sz="4" w:space="0" w:color="auto"/>
            </w:tcBorders>
          </w:tcPr>
          <w:p w:rsidR="000127EB" w:rsidRPr="002F367B" w:rsidRDefault="0033290F" w:rsidP="00495FC1">
            <w:pPr>
              <w:numPr>
                <w:ilvl w:val="0"/>
                <w:numId w:val="81"/>
              </w:numPr>
              <w:spacing w:after="0" w:afterAutospacing="0" w:line="276" w:lineRule="auto"/>
              <w:contextualSpacing/>
              <w:rPr>
                <w:rFonts w:cs="Calibri"/>
                <w:bCs/>
                <w:iCs/>
                <w:sz w:val="20"/>
                <w:szCs w:val="20"/>
              </w:rPr>
            </w:pPr>
            <w:r w:rsidRPr="0033290F">
              <w:rPr>
                <w:rFonts w:cs="Calibri"/>
                <w:bCs/>
                <w:iCs/>
                <w:sz w:val="20"/>
                <w:szCs w:val="20"/>
              </w:rPr>
              <w:t>Strategie Evropa 2020</w:t>
            </w:r>
          </w:p>
          <w:p w:rsidR="000127EB" w:rsidRPr="002F367B" w:rsidRDefault="0033290F" w:rsidP="00495FC1">
            <w:pPr>
              <w:numPr>
                <w:ilvl w:val="0"/>
                <w:numId w:val="81"/>
              </w:numPr>
              <w:spacing w:after="0" w:afterAutospacing="0" w:line="276" w:lineRule="auto"/>
              <w:contextualSpacing/>
              <w:rPr>
                <w:rFonts w:cs="Times New Roman"/>
                <w:sz w:val="20"/>
                <w:szCs w:val="20"/>
              </w:rPr>
            </w:pPr>
            <w:r w:rsidRPr="0033290F">
              <w:rPr>
                <w:rFonts w:cs="Times New Roman"/>
                <w:sz w:val="20"/>
                <w:szCs w:val="20"/>
              </w:rPr>
              <w:t>Akční plán EU pro energetickou účinnost</w:t>
            </w:r>
          </w:p>
          <w:p w:rsidR="000127EB" w:rsidRPr="002F367B" w:rsidRDefault="0033290F" w:rsidP="00495FC1">
            <w:pPr>
              <w:numPr>
                <w:ilvl w:val="0"/>
                <w:numId w:val="81"/>
              </w:numPr>
              <w:spacing w:after="0" w:afterAutospacing="0" w:line="276" w:lineRule="auto"/>
              <w:contextualSpacing/>
              <w:rPr>
                <w:rFonts w:cs="Times New Roman"/>
                <w:sz w:val="20"/>
                <w:szCs w:val="20"/>
              </w:rPr>
            </w:pPr>
            <w:r w:rsidRPr="0033290F">
              <w:rPr>
                <w:rFonts w:cs="Times New Roman"/>
                <w:sz w:val="20"/>
                <w:szCs w:val="20"/>
              </w:rPr>
              <w:t>Klimaticko-energetický balíček EK</w:t>
            </w:r>
          </w:p>
          <w:p w:rsidR="000127EB" w:rsidRPr="002F367B" w:rsidRDefault="0033290F" w:rsidP="00495FC1">
            <w:pPr>
              <w:numPr>
                <w:ilvl w:val="0"/>
                <w:numId w:val="81"/>
              </w:numPr>
              <w:spacing w:after="0" w:afterAutospacing="0" w:line="276" w:lineRule="auto"/>
              <w:contextualSpacing/>
              <w:rPr>
                <w:rFonts w:cs="Times New Roman"/>
                <w:sz w:val="20"/>
                <w:szCs w:val="20"/>
              </w:rPr>
            </w:pPr>
            <w:r w:rsidRPr="0033290F">
              <w:rPr>
                <w:rFonts w:cs="Times New Roman"/>
                <w:sz w:val="20"/>
                <w:szCs w:val="20"/>
              </w:rPr>
              <w:t>Strategický rámec udržitelného rozvoje ČR</w:t>
            </w:r>
          </w:p>
          <w:p w:rsidR="000127EB" w:rsidRPr="002F367B" w:rsidRDefault="0033290F" w:rsidP="00495FC1">
            <w:pPr>
              <w:numPr>
                <w:ilvl w:val="0"/>
                <w:numId w:val="81"/>
              </w:numPr>
              <w:spacing w:after="0" w:afterAutospacing="0" w:line="276" w:lineRule="auto"/>
              <w:contextualSpacing/>
              <w:rPr>
                <w:rFonts w:eastAsia="Times New Roman" w:cs="Calibri"/>
                <w:bCs/>
                <w:iCs/>
                <w:sz w:val="20"/>
                <w:szCs w:val="20"/>
              </w:rPr>
            </w:pPr>
            <w:r w:rsidRPr="0033290F">
              <w:rPr>
                <w:rFonts w:cs="Calibri"/>
                <w:bCs/>
                <w:iCs/>
                <w:sz w:val="20"/>
                <w:szCs w:val="20"/>
              </w:rPr>
              <w:t>Státní politika životního prostředí ČR 2012 – 2020 a její prioritní oblasti:</w:t>
            </w:r>
          </w:p>
          <w:p w:rsidR="000127EB" w:rsidRPr="002F367B" w:rsidRDefault="0033290F" w:rsidP="003F2759">
            <w:pPr>
              <w:spacing w:after="0" w:afterAutospacing="0" w:line="276" w:lineRule="auto"/>
              <w:ind w:left="709"/>
              <w:rPr>
                <w:rFonts w:cs="Times New Roman"/>
                <w:sz w:val="20"/>
                <w:szCs w:val="20"/>
              </w:rPr>
            </w:pPr>
            <w:r w:rsidRPr="0033290F">
              <w:rPr>
                <w:rFonts w:cs="Times New Roman"/>
                <w:sz w:val="20"/>
                <w:szCs w:val="20"/>
              </w:rPr>
              <w:t>2.1 Snižování emisí skleníkových plynů a omezování negativních dopadů klimatické změny</w:t>
            </w:r>
          </w:p>
          <w:p w:rsidR="000127EB" w:rsidRPr="002F367B" w:rsidRDefault="0033290F" w:rsidP="003F2759">
            <w:pPr>
              <w:spacing w:after="0" w:afterAutospacing="0" w:line="276" w:lineRule="auto"/>
              <w:ind w:left="709"/>
              <w:rPr>
                <w:rFonts w:cs="Times New Roman"/>
                <w:sz w:val="20"/>
                <w:szCs w:val="20"/>
              </w:rPr>
            </w:pPr>
            <w:r w:rsidRPr="0033290F">
              <w:rPr>
                <w:rFonts w:cs="Times New Roman"/>
                <w:sz w:val="20"/>
                <w:szCs w:val="20"/>
              </w:rPr>
              <w:t>2.3 Efektivní a k přírodě šetrné využívání obnovitelných zdrojů energie</w:t>
            </w:r>
          </w:p>
          <w:p w:rsidR="000127EB" w:rsidRPr="002F367B" w:rsidRDefault="0033290F" w:rsidP="00495FC1">
            <w:pPr>
              <w:numPr>
                <w:ilvl w:val="0"/>
                <w:numId w:val="82"/>
              </w:numPr>
              <w:spacing w:after="0" w:afterAutospacing="0" w:line="276" w:lineRule="auto"/>
              <w:contextualSpacing/>
              <w:rPr>
                <w:rFonts w:cs="Times New Roman"/>
                <w:sz w:val="20"/>
                <w:szCs w:val="20"/>
              </w:rPr>
            </w:pPr>
            <w:r w:rsidRPr="0033290F">
              <w:rPr>
                <w:rFonts w:cs="Times New Roman"/>
                <w:sz w:val="20"/>
                <w:szCs w:val="20"/>
              </w:rPr>
              <w:t>Státní energetická koncepce ČR</w:t>
            </w:r>
          </w:p>
          <w:p w:rsidR="000127EB" w:rsidRPr="002F367B" w:rsidRDefault="0033290F" w:rsidP="00495FC1">
            <w:pPr>
              <w:numPr>
                <w:ilvl w:val="0"/>
                <w:numId w:val="82"/>
              </w:numPr>
              <w:spacing w:after="0" w:afterAutospacing="0" w:line="276" w:lineRule="auto"/>
              <w:contextualSpacing/>
              <w:rPr>
                <w:rFonts w:cs="Times New Roman"/>
                <w:sz w:val="20"/>
                <w:szCs w:val="20"/>
              </w:rPr>
            </w:pPr>
            <w:r w:rsidRPr="0033290F">
              <w:rPr>
                <w:rFonts w:cs="Times New Roman"/>
                <w:sz w:val="20"/>
                <w:szCs w:val="20"/>
              </w:rPr>
              <w:t>Akční plán pro biomasu ČR</w:t>
            </w:r>
          </w:p>
          <w:p w:rsidR="000127EB" w:rsidRPr="002F367B" w:rsidRDefault="0033290F" w:rsidP="00495FC1">
            <w:pPr>
              <w:numPr>
                <w:ilvl w:val="0"/>
                <w:numId w:val="82"/>
              </w:numPr>
              <w:spacing w:after="0" w:afterAutospacing="0" w:line="276" w:lineRule="auto"/>
              <w:contextualSpacing/>
              <w:rPr>
                <w:rFonts w:cs="Times New Roman"/>
                <w:sz w:val="20"/>
                <w:szCs w:val="20"/>
              </w:rPr>
            </w:pPr>
            <w:r w:rsidRPr="0033290F">
              <w:rPr>
                <w:rFonts w:cs="Calibri"/>
                <w:sz w:val="20"/>
                <w:szCs w:val="20"/>
              </w:rPr>
              <w:t>Národní akční plán ČR pro energii z obnovitelných zdrojů</w:t>
            </w:r>
          </w:p>
          <w:p w:rsidR="000127EB" w:rsidRPr="002F367B" w:rsidRDefault="0033290F" w:rsidP="00495FC1">
            <w:pPr>
              <w:numPr>
                <w:ilvl w:val="0"/>
                <w:numId w:val="82"/>
              </w:numPr>
              <w:spacing w:after="0" w:afterAutospacing="0" w:line="276" w:lineRule="auto"/>
              <w:contextualSpacing/>
              <w:rPr>
                <w:rFonts w:cs="Times New Roman"/>
                <w:sz w:val="20"/>
                <w:szCs w:val="20"/>
              </w:rPr>
            </w:pPr>
            <w:r w:rsidRPr="0033290F">
              <w:rPr>
                <w:rFonts w:cs="Calibri"/>
                <w:sz w:val="20"/>
                <w:szCs w:val="20"/>
              </w:rPr>
              <w:t>Národní akční plány energetické účinnosti ČR</w:t>
            </w:r>
          </w:p>
          <w:p w:rsidR="00791112" w:rsidRPr="002F367B" w:rsidRDefault="00791112" w:rsidP="003F2759">
            <w:pPr>
              <w:spacing w:after="0" w:afterAutospacing="0"/>
              <w:rPr>
                <w:rFonts w:cs="Times New Roman"/>
                <w:sz w:val="20"/>
                <w:szCs w:val="20"/>
                <w:u w:val="single"/>
              </w:rPr>
            </w:pPr>
          </w:p>
          <w:p w:rsidR="000127EB" w:rsidRPr="002F367B" w:rsidRDefault="0033290F" w:rsidP="003F2759">
            <w:pPr>
              <w:spacing w:after="0" w:afterAutospacing="0" w:line="276" w:lineRule="auto"/>
              <w:rPr>
                <w:rFonts w:cs="Times New Roman"/>
                <w:sz w:val="20"/>
                <w:szCs w:val="20"/>
                <w:u w:val="single"/>
              </w:rPr>
            </w:pPr>
            <w:r w:rsidRPr="0033290F">
              <w:rPr>
                <w:rFonts w:cs="Times New Roman"/>
                <w:sz w:val="20"/>
                <w:szCs w:val="20"/>
                <w:u w:val="single"/>
              </w:rPr>
              <w:t>Obecné zdůvodnění:</w:t>
            </w:r>
          </w:p>
          <w:p w:rsidR="000127EB" w:rsidRPr="002F367B" w:rsidRDefault="0033290F" w:rsidP="00495FC1">
            <w:pPr>
              <w:numPr>
                <w:ilvl w:val="0"/>
                <w:numId w:val="89"/>
              </w:numPr>
              <w:spacing w:after="0" w:afterAutospacing="0" w:line="276" w:lineRule="auto"/>
              <w:contextualSpacing/>
              <w:rPr>
                <w:rFonts w:cs="Times New Roman"/>
                <w:sz w:val="20"/>
                <w:szCs w:val="20"/>
              </w:rPr>
            </w:pPr>
            <w:r w:rsidRPr="0033290F">
              <w:rPr>
                <w:rFonts w:cs="Times New Roman"/>
                <w:sz w:val="20"/>
                <w:szCs w:val="20"/>
              </w:rPr>
              <w:t>I přes pozitivní trend v oblasti snižování emisí skleníkových plynů vykazuje ČR jednu z nejvyšších hodnot energetické náročnosti</w:t>
            </w:r>
          </w:p>
          <w:p w:rsidR="000127EB" w:rsidRPr="002F367B" w:rsidRDefault="0033290F" w:rsidP="00495FC1">
            <w:pPr>
              <w:numPr>
                <w:ilvl w:val="0"/>
                <w:numId w:val="89"/>
              </w:numPr>
              <w:spacing w:after="0" w:afterAutospacing="0" w:line="276" w:lineRule="auto"/>
              <w:contextualSpacing/>
              <w:rPr>
                <w:rFonts w:cs="Times New Roman"/>
                <w:sz w:val="20"/>
                <w:szCs w:val="20"/>
              </w:rPr>
            </w:pPr>
            <w:r w:rsidRPr="0033290F">
              <w:rPr>
                <w:rFonts w:cs="Times New Roman"/>
                <w:sz w:val="20"/>
                <w:szCs w:val="20"/>
              </w:rPr>
              <w:t>Potenciál v oblasti energetických úspor je v ČR výrazný</w:t>
            </w:r>
          </w:p>
          <w:p w:rsidR="000127EB" w:rsidRPr="002F367B" w:rsidRDefault="0033290F" w:rsidP="00495FC1">
            <w:pPr>
              <w:numPr>
                <w:ilvl w:val="0"/>
                <w:numId w:val="89"/>
              </w:numPr>
              <w:spacing w:after="0" w:afterAutospacing="0" w:line="276" w:lineRule="auto"/>
              <w:contextualSpacing/>
              <w:rPr>
                <w:rFonts w:cs="Times New Roman"/>
                <w:sz w:val="20"/>
                <w:szCs w:val="20"/>
              </w:rPr>
            </w:pPr>
            <w:r w:rsidRPr="0033290F">
              <w:rPr>
                <w:rFonts w:cs="Times New Roman"/>
                <w:sz w:val="20"/>
                <w:szCs w:val="20"/>
              </w:rPr>
              <w:t>Zvyšování energetické účinnosti v rámci Strategie Evropa 2020 je součástí hlavního cíle</w:t>
            </w:r>
          </w:p>
          <w:p w:rsidR="000127EB" w:rsidRPr="002F367B" w:rsidRDefault="0033290F" w:rsidP="00495FC1">
            <w:pPr>
              <w:numPr>
                <w:ilvl w:val="0"/>
                <w:numId w:val="89"/>
              </w:numPr>
              <w:spacing w:after="0" w:afterAutospacing="0" w:line="276" w:lineRule="auto"/>
              <w:contextualSpacing/>
              <w:rPr>
                <w:rFonts w:cs="Times New Roman"/>
                <w:sz w:val="20"/>
                <w:szCs w:val="20"/>
              </w:rPr>
            </w:pPr>
            <w:r w:rsidRPr="0033290F">
              <w:rPr>
                <w:rFonts w:cs="Times New Roman"/>
                <w:sz w:val="20"/>
                <w:szCs w:val="20"/>
              </w:rPr>
              <w:t>Realizovaná opatření by měla vést ke snižování konečné spotřeby energie v oblasti budov</w:t>
            </w:r>
          </w:p>
          <w:p w:rsidR="000127EB" w:rsidRPr="002F367B" w:rsidRDefault="0033290F" w:rsidP="00495FC1">
            <w:pPr>
              <w:numPr>
                <w:ilvl w:val="0"/>
                <w:numId w:val="89"/>
              </w:numPr>
              <w:spacing w:after="0" w:afterAutospacing="0" w:line="276" w:lineRule="auto"/>
              <w:contextualSpacing/>
              <w:rPr>
                <w:rStyle w:val="Zdraznnintenzivn"/>
                <w:rFonts w:cs="Times New Roman"/>
                <w:b w:val="0"/>
                <w:bCs w:val="0"/>
                <w:i w:val="0"/>
                <w:iCs w:val="0"/>
                <w:color w:val="auto"/>
                <w:sz w:val="20"/>
                <w:szCs w:val="20"/>
              </w:rPr>
            </w:pPr>
            <w:r w:rsidRPr="0033290F">
              <w:rPr>
                <w:rFonts w:cs="Times New Roman"/>
                <w:sz w:val="20"/>
                <w:szCs w:val="20"/>
              </w:rPr>
              <w:t>Snížení ztrát při výrobě a přenosu energie</w:t>
            </w:r>
          </w:p>
        </w:tc>
      </w:tr>
      <w:tr w:rsidR="000127EB" w:rsidRPr="005727DB" w:rsidTr="0037157C">
        <w:trPr>
          <w:trHeight w:val="5796"/>
        </w:trPr>
        <w:tc>
          <w:tcPr>
            <w:tcW w:w="3070" w:type="dxa"/>
            <w:tcBorders>
              <w:left w:val="single" w:sz="4" w:space="0" w:color="auto"/>
            </w:tcBorders>
          </w:tcPr>
          <w:p w:rsidR="000127EB" w:rsidRPr="00AE0E56" w:rsidRDefault="0033290F" w:rsidP="00AE0E56">
            <w:pPr>
              <w:rPr>
                <w:rStyle w:val="Zdraznnintenzivn"/>
                <w:rFonts w:cs="Calibri"/>
                <w:b w:val="0"/>
                <w:i w:val="0"/>
                <w:iCs w:val="0"/>
                <w:color w:val="auto"/>
                <w:sz w:val="20"/>
                <w:szCs w:val="20"/>
              </w:rPr>
            </w:pPr>
            <w:r w:rsidRPr="00AE0E56">
              <w:rPr>
                <w:sz w:val="20"/>
                <w:szCs w:val="20"/>
              </w:rPr>
              <w:lastRenderedPageBreak/>
              <w:t>Tematický cíl 5: Podpora přizpůsobení se změně klimatu, předcházení rizikům a řízení rizik</w:t>
            </w:r>
          </w:p>
        </w:tc>
        <w:tc>
          <w:tcPr>
            <w:tcW w:w="3559" w:type="dxa"/>
            <w:tcBorders>
              <w:top w:val="single" w:sz="4" w:space="0" w:color="auto"/>
            </w:tcBorders>
          </w:tcPr>
          <w:p w:rsidR="000127EB" w:rsidRPr="00AE5D32" w:rsidRDefault="0033290F" w:rsidP="00AE5D32">
            <w:pPr>
              <w:rPr>
                <w:rStyle w:val="Zdraznnintenzivn"/>
                <w:rFonts w:cs="EUAlbertina"/>
                <w:b w:val="0"/>
                <w:bCs w:val="0"/>
                <w:i w:val="0"/>
                <w:iCs w:val="0"/>
                <w:color w:val="000000"/>
                <w:sz w:val="20"/>
                <w:szCs w:val="20"/>
              </w:rPr>
            </w:pPr>
            <w:r w:rsidRPr="00AE5D32">
              <w:rPr>
                <w:sz w:val="20"/>
                <w:szCs w:val="20"/>
              </w:rPr>
              <w:t xml:space="preserve">Podporování přizpůsobení se změně klimatu, předcházení rizikům a řízení rizik podporou investic zaměřených na řešení konkrétních rizik, zajištěním odolnosti vůči katastrofám a vývojem systémů pro zvládání katastrof (Dle nařízení Evropského Parlamentu a Rady č. 1300/2013, čl. 4 odst. b) písm. </w:t>
            </w:r>
            <w:proofErr w:type="spellStart"/>
            <w:r w:rsidRPr="00AE5D32">
              <w:rPr>
                <w:sz w:val="20"/>
                <w:szCs w:val="20"/>
              </w:rPr>
              <w:t>ii</w:t>
            </w:r>
            <w:proofErr w:type="spellEnd"/>
            <w:r w:rsidRPr="00AE5D32">
              <w:rPr>
                <w:sz w:val="20"/>
                <w:szCs w:val="20"/>
              </w:rPr>
              <w:t>)</w:t>
            </w:r>
          </w:p>
        </w:tc>
        <w:tc>
          <w:tcPr>
            <w:tcW w:w="7513" w:type="dxa"/>
            <w:tcBorders>
              <w:right w:val="single" w:sz="4" w:space="0" w:color="auto"/>
            </w:tcBorders>
          </w:tcPr>
          <w:p w:rsidR="000127EB" w:rsidRPr="00821DC5" w:rsidRDefault="0033290F" w:rsidP="00821DC5">
            <w:pPr>
              <w:pStyle w:val="Odstavecseseznamem"/>
              <w:numPr>
                <w:ilvl w:val="0"/>
                <w:numId w:val="113"/>
              </w:numPr>
              <w:spacing w:after="0" w:afterAutospacing="0" w:line="276" w:lineRule="auto"/>
              <w:ind w:left="357"/>
              <w:rPr>
                <w:sz w:val="20"/>
                <w:szCs w:val="20"/>
              </w:rPr>
            </w:pPr>
            <w:r w:rsidRPr="00821DC5">
              <w:rPr>
                <w:sz w:val="20"/>
                <w:szCs w:val="20"/>
              </w:rPr>
              <w:t>Strategie Evropa 2020</w:t>
            </w:r>
          </w:p>
          <w:p w:rsidR="000127EB" w:rsidRPr="00821DC5" w:rsidRDefault="0033290F" w:rsidP="00821DC5">
            <w:pPr>
              <w:pStyle w:val="Odstavecseseznamem"/>
              <w:numPr>
                <w:ilvl w:val="0"/>
                <w:numId w:val="113"/>
              </w:numPr>
              <w:spacing w:after="0" w:afterAutospacing="0" w:line="276" w:lineRule="auto"/>
              <w:ind w:left="357"/>
              <w:rPr>
                <w:sz w:val="20"/>
                <w:szCs w:val="20"/>
              </w:rPr>
            </w:pPr>
            <w:r w:rsidRPr="00821DC5">
              <w:rPr>
                <w:rFonts w:eastAsiaTheme="minorHAnsi"/>
                <w:color w:val="000000"/>
                <w:sz w:val="20"/>
                <w:szCs w:val="20"/>
                <w:lang w:eastAsia="en-US"/>
              </w:rPr>
              <w:t>Směrnici 2007/60/ES</w:t>
            </w:r>
          </w:p>
          <w:p w:rsidR="000127EB" w:rsidRPr="00821DC5" w:rsidRDefault="0033290F" w:rsidP="00821DC5">
            <w:pPr>
              <w:pStyle w:val="Odstavecseseznamem"/>
              <w:numPr>
                <w:ilvl w:val="0"/>
                <w:numId w:val="113"/>
              </w:numPr>
              <w:spacing w:after="0" w:afterAutospacing="0" w:line="276" w:lineRule="auto"/>
              <w:ind w:left="357"/>
              <w:rPr>
                <w:sz w:val="20"/>
                <w:szCs w:val="20"/>
              </w:rPr>
            </w:pPr>
            <w:r w:rsidRPr="00821DC5">
              <w:rPr>
                <w:sz w:val="20"/>
                <w:szCs w:val="20"/>
              </w:rPr>
              <w:t>Zelená kniha k problematice adaptací na změnu klimatu</w:t>
            </w:r>
          </w:p>
          <w:p w:rsidR="003F2759" w:rsidRPr="00821DC5" w:rsidRDefault="0033290F" w:rsidP="00821DC5">
            <w:pPr>
              <w:pStyle w:val="Odstavecseseznamem"/>
              <w:numPr>
                <w:ilvl w:val="0"/>
                <w:numId w:val="113"/>
              </w:numPr>
              <w:spacing w:after="0" w:afterAutospacing="0" w:line="276" w:lineRule="auto"/>
              <w:ind w:left="357"/>
              <w:rPr>
                <w:sz w:val="20"/>
                <w:szCs w:val="20"/>
              </w:rPr>
            </w:pPr>
            <w:r w:rsidRPr="00821DC5">
              <w:rPr>
                <w:sz w:val="20"/>
                <w:szCs w:val="20"/>
              </w:rPr>
              <w:t xml:space="preserve">Bílá kniha o přizpůsobení se změně klimatu </w:t>
            </w:r>
          </w:p>
          <w:p w:rsidR="000127EB" w:rsidRPr="00821DC5" w:rsidRDefault="0033290F" w:rsidP="00821DC5">
            <w:pPr>
              <w:pStyle w:val="Odstavecseseznamem"/>
              <w:numPr>
                <w:ilvl w:val="0"/>
                <w:numId w:val="113"/>
              </w:numPr>
              <w:spacing w:after="0" w:afterAutospacing="0" w:line="276" w:lineRule="auto"/>
              <w:ind w:left="357"/>
              <w:rPr>
                <w:sz w:val="20"/>
                <w:szCs w:val="20"/>
              </w:rPr>
            </w:pPr>
            <w:r w:rsidRPr="00821DC5">
              <w:rPr>
                <w:sz w:val="20"/>
                <w:szCs w:val="20"/>
              </w:rPr>
              <w:t>Strategický rámec udržitelného rozvoje ČR</w:t>
            </w:r>
          </w:p>
          <w:p w:rsidR="000127EB" w:rsidRPr="00821DC5" w:rsidRDefault="0033290F" w:rsidP="00821DC5">
            <w:pPr>
              <w:pStyle w:val="Odstavecseseznamem"/>
              <w:numPr>
                <w:ilvl w:val="0"/>
                <w:numId w:val="113"/>
              </w:numPr>
              <w:spacing w:after="0" w:afterAutospacing="0" w:line="276" w:lineRule="auto"/>
              <w:ind w:left="357"/>
              <w:rPr>
                <w:rStyle w:val="Zdraznnintenzivn"/>
                <w:b w:val="0"/>
                <w:bCs w:val="0"/>
                <w:i w:val="0"/>
                <w:iCs w:val="0"/>
                <w:color w:val="auto"/>
                <w:sz w:val="20"/>
                <w:szCs w:val="20"/>
              </w:rPr>
            </w:pPr>
            <w:r w:rsidRPr="00821DC5">
              <w:rPr>
                <w:rStyle w:val="Zdraznnintenzivn"/>
                <w:rFonts w:cstheme="minorHAnsi"/>
                <w:b w:val="0"/>
                <w:i w:val="0"/>
                <w:color w:val="auto"/>
                <w:sz w:val="20"/>
                <w:szCs w:val="20"/>
              </w:rPr>
              <w:t xml:space="preserve">Státní politika ŽP ČR 2012–2020-priorit. </w:t>
            </w:r>
            <w:proofErr w:type="gramStart"/>
            <w:r w:rsidRPr="00821DC5">
              <w:rPr>
                <w:rStyle w:val="Zdraznnintenzivn"/>
                <w:rFonts w:cstheme="minorHAnsi"/>
                <w:b w:val="0"/>
                <w:i w:val="0"/>
                <w:color w:val="auto"/>
                <w:sz w:val="20"/>
                <w:szCs w:val="20"/>
              </w:rPr>
              <w:t>oblasti</w:t>
            </w:r>
            <w:proofErr w:type="gramEnd"/>
            <w:r w:rsidRPr="00821DC5">
              <w:rPr>
                <w:rStyle w:val="Zdraznnintenzivn"/>
                <w:rFonts w:cstheme="minorHAnsi"/>
                <w:b w:val="0"/>
                <w:i w:val="0"/>
                <w:color w:val="auto"/>
                <w:sz w:val="20"/>
                <w:szCs w:val="20"/>
              </w:rPr>
              <w:t>:</w:t>
            </w:r>
          </w:p>
          <w:p w:rsidR="000127EB" w:rsidRPr="00821DC5" w:rsidRDefault="0033290F" w:rsidP="00821DC5">
            <w:pPr>
              <w:spacing w:after="0" w:afterAutospacing="0" w:line="276" w:lineRule="auto"/>
              <w:ind w:left="708"/>
              <w:rPr>
                <w:sz w:val="20"/>
                <w:szCs w:val="20"/>
              </w:rPr>
            </w:pPr>
            <w:r w:rsidRPr="00821DC5">
              <w:rPr>
                <w:sz w:val="20"/>
                <w:szCs w:val="20"/>
              </w:rPr>
              <w:t xml:space="preserve">1.3 Ochrana a udržitelné využívání půdy a horninového prostředí </w:t>
            </w:r>
          </w:p>
          <w:p w:rsidR="000127EB" w:rsidRPr="00821DC5" w:rsidRDefault="0033290F" w:rsidP="00821DC5">
            <w:pPr>
              <w:spacing w:after="0" w:afterAutospacing="0" w:line="276" w:lineRule="auto"/>
              <w:ind w:left="708"/>
              <w:rPr>
                <w:sz w:val="20"/>
                <w:szCs w:val="20"/>
              </w:rPr>
            </w:pPr>
            <w:r w:rsidRPr="00821DC5">
              <w:rPr>
                <w:sz w:val="20"/>
                <w:szCs w:val="20"/>
              </w:rPr>
              <w:t xml:space="preserve">4.1 Předcházení rizik  </w:t>
            </w:r>
          </w:p>
          <w:p w:rsidR="00AE0E56" w:rsidRPr="00821DC5" w:rsidRDefault="0033290F" w:rsidP="00821DC5">
            <w:pPr>
              <w:spacing w:after="0" w:afterAutospacing="0" w:line="276" w:lineRule="auto"/>
              <w:ind w:left="708"/>
              <w:rPr>
                <w:rFonts w:cs="Times New Roman"/>
                <w:sz w:val="20"/>
                <w:szCs w:val="20"/>
              </w:rPr>
            </w:pPr>
            <w:r w:rsidRPr="00821DC5">
              <w:rPr>
                <w:rFonts w:cs="Times New Roman"/>
                <w:sz w:val="20"/>
                <w:szCs w:val="20"/>
              </w:rPr>
              <w:t>4.2 Ochrana prostředí před negativními dopady krizových situací způsobenými antropogenními nebo přírodními hrozbami</w:t>
            </w:r>
          </w:p>
          <w:p w:rsidR="000127EB" w:rsidRPr="00821DC5" w:rsidRDefault="0033290F" w:rsidP="00821DC5">
            <w:pPr>
              <w:pStyle w:val="Odstavecseseznamem"/>
              <w:numPr>
                <w:ilvl w:val="0"/>
                <w:numId w:val="114"/>
              </w:numPr>
              <w:spacing w:after="0" w:afterAutospacing="0" w:line="276" w:lineRule="auto"/>
              <w:ind w:left="357"/>
              <w:rPr>
                <w:sz w:val="20"/>
                <w:szCs w:val="20"/>
              </w:rPr>
            </w:pPr>
            <w:proofErr w:type="spellStart"/>
            <w:r w:rsidRPr="00821DC5">
              <w:rPr>
                <w:sz w:val="20"/>
                <w:szCs w:val="20"/>
              </w:rPr>
              <w:t>Nár</w:t>
            </w:r>
            <w:proofErr w:type="spellEnd"/>
            <w:r w:rsidRPr="00821DC5">
              <w:rPr>
                <w:sz w:val="20"/>
                <w:szCs w:val="20"/>
              </w:rPr>
              <w:t xml:space="preserve">.  </w:t>
            </w:r>
            <w:proofErr w:type="gramStart"/>
            <w:r w:rsidRPr="00821DC5">
              <w:rPr>
                <w:sz w:val="20"/>
                <w:szCs w:val="20"/>
              </w:rPr>
              <w:t>program</w:t>
            </w:r>
            <w:proofErr w:type="gramEnd"/>
            <w:r w:rsidRPr="00821DC5">
              <w:rPr>
                <w:sz w:val="20"/>
                <w:szCs w:val="20"/>
              </w:rPr>
              <w:t xml:space="preserve"> na zmírnění dopadů změny klimatu v ČR</w:t>
            </w:r>
          </w:p>
          <w:p w:rsidR="000127EB" w:rsidRPr="00821DC5" w:rsidRDefault="0033290F" w:rsidP="00821DC5">
            <w:pPr>
              <w:pStyle w:val="Odstavecseseznamem"/>
              <w:numPr>
                <w:ilvl w:val="0"/>
                <w:numId w:val="114"/>
              </w:numPr>
              <w:spacing w:after="0" w:afterAutospacing="0" w:line="276" w:lineRule="auto"/>
              <w:ind w:left="357"/>
              <w:rPr>
                <w:b/>
                <w:bCs/>
                <w:sz w:val="20"/>
                <w:szCs w:val="20"/>
              </w:rPr>
            </w:pPr>
            <w:r w:rsidRPr="00821DC5">
              <w:rPr>
                <w:sz w:val="20"/>
                <w:szCs w:val="20"/>
              </w:rPr>
              <w:t>Koncepce řešení problematiky ochrany před povodněmi v</w:t>
            </w:r>
            <w:r w:rsidR="00821DC5">
              <w:rPr>
                <w:sz w:val="20"/>
                <w:szCs w:val="20"/>
              </w:rPr>
              <w:t> </w:t>
            </w:r>
            <w:r w:rsidRPr="00821DC5">
              <w:rPr>
                <w:sz w:val="20"/>
                <w:szCs w:val="20"/>
              </w:rPr>
              <w:t>ČR</w:t>
            </w:r>
          </w:p>
          <w:p w:rsidR="00821DC5" w:rsidRPr="00821DC5" w:rsidRDefault="00821DC5" w:rsidP="00821DC5">
            <w:pPr>
              <w:pStyle w:val="Odstavecseseznamem"/>
              <w:spacing w:after="0" w:afterAutospacing="0" w:line="276" w:lineRule="auto"/>
              <w:ind w:left="357"/>
              <w:rPr>
                <w:b/>
                <w:bCs/>
                <w:sz w:val="20"/>
                <w:szCs w:val="20"/>
              </w:rPr>
            </w:pPr>
          </w:p>
          <w:p w:rsidR="000127EB" w:rsidRPr="002F367B" w:rsidRDefault="0033290F" w:rsidP="00821DC5">
            <w:pPr>
              <w:spacing w:after="0" w:afterAutospacing="0"/>
              <w:rPr>
                <w:rStyle w:val="Zdraznnintenzivn"/>
                <w:b w:val="0"/>
                <w:bCs w:val="0"/>
                <w:i w:val="0"/>
                <w:iCs w:val="0"/>
                <w:color w:val="auto"/>
                <w:sz w:val="20"/>
                <w:szCs w:val="20"/>
                <w:u w:val="single"/>
              </w:rPr>
            </w:pPr>
            <w:r w:rsidRPr="0033290F">
              <w:rPr>
                <w:rStyle w:val="Zdraznnintenzivn"/>
                <w:b w:val="0"/>
                <w:bCs w:val="0"/>
                <w:i w:val="0"/>
                <w:iCs w:val="0"/>
                <w:color w:val="auto"/>
                <w:sz w:val="20"/>
                <w:szCs w:val="20"/>
                <w:u w:val="single"/>
              </w:rPr>
              <w:t>Obecné zdůvodnění:</w:t>
            </w:r>
          </w:p>
          <w:p w:rsidR="000127EB" w:rsidRPr="0070777F" w:rsidRDefault="0033290F" w:rsidP="00821DC5">
            <w:pPr>
              <w:pStyle w:val="Odstavecseseznamem"/>
              <w:numPr>
                <w:ilvl w:val="0"/>
                <w:numId w:val="115"/>
              </w:numPr>
              <w:spacing w:after="0" w:afterAutospacing="0"/>
              <w:rPr>
                <w:sz w:val="20"/>
                <w:szCs w:val="20"/>
              </w:rPr>
            </w:pPr>
            <w:r w:rsidRPr="0070777F">
              <w:rPr>
                <w:sz w:val="20"/>
                <w:szCs w:val="20"/>
              </w:rPr>
              <w:t>Nutnost řešit stále častěji se opakující povodně vč. preventivních opatření směřujících k záchraně lidských životů a majetku</w:t>
            </w:r>
          </w:p>
          <w:p w:rsidR="000127EB" w:rsidRPr="0070777F" w:rsidRDefault="0033290F" w:rsidP="0070777F">
            <w:pPr>
              <w:pStyle w:val="Odstavecseseznamem"/>
              <w:numPr>
                <w:ilvl w:val="0"/>
                <w:numId w:val="115"/>
              </w:numPr>
              <w:rPr>
                <w:rStyle w:val="Zdraznnintenzivn"/>
                <w:b w:val="0"/>
                <w:bCs w:val="0"/>
                <w:i w:val="0"/>
                <w:iCs w:val="0"/>
                <w:color w:val="auto"/>
                <w:sz w:val="20"/>
                <w:szCs w:val="20"/>
              </w:rPr>
            </w:pPr>
            <w:r w:rsidRPr="0070777F">
              <w:rPr>
                <w:rStyle w:val="Zdraznnintenzivn"/>
                <w:b w:val="0"/>
                <w:bCs w:val="0"/>
                <w:i w:val="0"/>
                <w:iCs w:val="0"/>
                <w:color w:val="auto"/>
                <w:sz w:val="20"/>
                <w:szCs w:val="20"/>
              </w:rPr>
              <w:t>Eliminace dopadu svahových nestabilit</w:t>
            </w:r>
          </w:p>
          <w:p w:rsidR="000127EB" w:rsidRPr="0070777F" w:rsidRDefault="0033290F" w:rsidP="0070777F">
            <w:pPr>
              <w:pStyle w:val="Odstavecseseznamem"/>
              <w:numPr>
                <w:ilvl w:val="0"/>
                <w:numId w:val="115"/>
              </w:numPr>
              <w:rPr>
                <w:rFonts w:cs="Arial"/>
                <w:sz w:val="20"/>
                <w:szCs w:val="20"/>
              </w:rPr>
            </w:pPr>
            <w:r w:rsidRPr="0070777F">
              <w:rPr>
                <w:sz w:val="20"/>
                <w:szCs w:val="20"/>
              </w:rPr>
              <w:t>I přes realizaci částí sanací ekologických zátěží, zůstává velký objem území, která jsou kontaminována látkami, které mohou představovat vážná rizika pro lidské zdraví či pro ŽP</w:t>
            </w:r>
          </w:p>
          <w:p w:rsidR="000127EB" w:rsidRPr="0070777F" w:rsidRDefault="0033290F" w:rsidP="0070777F">
            <w:pPr>
              <w:pStyle w:val="Odstavecseseznamem"/>
              <w:numPr>
                <w:ilvl w:val="0"/>
                <w:numId w:val="115"/>
              </w:numPr>
              <w:rPr>
                <w:rStyle w:val="Zdraznnintenzivn"/>
                <w:rFonts w:cs="Arial"/>
                <w:b w:val="0"/>
                <w:bCs w:val="0"/>
                <w:i w:val="0"/>
                <w:iCs w:val="0"/>
                <w:color w:val="auto"/>
                <w:sz w:val="20"/>
                <w:szCs w:val="20"/>
              </w:rPr>
            </w:pPr>
            <w:r w:rsidRPr="0070777F">
              <w:rPr>
                <w:sz w:val="20"/>
                <w:szCs w:val="20"/>
              </w:rPr>
              <w:t>Nedostatečné kapacity pro biodegradační plochy a zařízení, sloužících k dekontaminaci</w:t>
            </w:r>
          </w:p>
        </w:tc>
      </w:tr>
      <w:tr w:rsidR="000127EB" w:rsidRPr="005727DB" w:rsidTr="00821DC5">
        <w:trPr>
          <w:trHeight w:val="2837"/>
        </w:trPr>
        <w:tc>
          <w:tcPr>
            <w:tcW w:w="3070" w:type="dxa"/>
            <w:tcBorders>
              <w:left w:val="single" w:sz="4" w:space="0" w:color="auto"/>
            </w:tcBorders>
          </w:tcPr>
          <w:p w:rsidR="000127EB" w:rsidRPr="002F367B" w:rsidRDefault="0033290F" w:rsidP="003F2759">
            <w:pPr>
              <w:spacing w:line="276" w:lineRule="auto"/>
              <w:rPr>
                <w:rFonts w:cs="Calibri"/>
                <w:sz w:val="20"/>
                <w:szCs w:val="20"/>
              </w:rPr>
            </w:pPr>
            <w:r w:rsidRPr="0033290F">
              <w:rPr>
                <w:rFonts w:cs="Calibri"/>
                <w:sz w:val="20"/>
                <w:szCs w:val="20"/>
              </w:rPr>
              <w:lastRenderedPageBreak/>
              <w:t>Tematický cíl 5: Podpora přizpůsobení se změně klimatu, předcházení rizikům a řízení rizik</w:t>
            </w:r>
          </w:p>
        </w:tc>
        <w:tc>
          <w:tcPr>
            <w:tcW w:w="3559" w:type="dxa"/>
            <w:tcBorders>
              <w:top w:val="single" w:sz="4" w:space="0" w:color="auto"/>
            </w:tcBorders>
          </w:tcPr>
          <w:p w:rsidR="000127EB" w:rsidRPr="002F367B" w:rsidRDefault="0033290F" w:rsidP="003F2759">
            <w:pPr>
              <w:spacing w:line="276" w:lineRule="auto"/>
              <w:rPr>
                <w:sz w:val="20"/>
                <w:szCs w:val="20"/>
              </w:rPr>
            </w:pPr>
            <w:r w:rsidRPr="0033290F">
              <w:rPr>
                <w:sz w:val="20"/>
                <w:szCs w:val="20"/>
              </w:rPr>
              <w:t>Podporování přizpůsobení se změně klimatu, předcházení rizikům a jejich řízení podporou investic zaměřených na řešení konkrétních rizik, zajištěním odolnosti vůči katastrofám a vývojem systémů krizového řízení (Dle Nařízení Evropského parlamentu a Rady (EU) č. 1301/2013 čl. 5 odst. 5 písm. b))</w:t>
            </w:r>
          </w:p>
        </w:tc>
        <w:tc>
          <w:tcPr>
            <w:tcW w:w="7513" w:type="dxa"/>
            <w:tcBorders>
              <w:right w:val="single" w:sz="4" w:space="0" w:color="auto"/>
            </w:tcBorders>
          </w:tcPr>
          <w:p w:rsidR="000127EB" w:rsidRPr="002F367B" w:rsidRDefault="0033290F" w:rsidP="00495FC1">
            <w:pPr>
              <w:pStyle w:val="Odstavecseseznamem"/>
              <w:numPr>
                <w:ilvl w:val="0"/>
                <w:numId w:val="56"/>
              </w:numPr>
              <w:spacing w:line="276" w:lineRule="auto"/>
              <w:rPr>
                <w:sz w:val="20"/>
                <w:szCs w:val="20"/>
              </w:rPr>
            </w:pPr>
            <w:r w:rsidRPr="0033290F">
              <w:rPr>
                <w:sz w:val="20"/>
                <w:szCs w:val="20"/>
              </w:rPr>
              <w:t>Strategický rámec udržitelného rozvoje ČR</w:t>
            </w:r>
          </w:p>
          <w:p w:rsidR="000127EB" w:rsidRPr="002F367B" w:rsidRDefault="0033290F" w:rsidP="00495FC1">
            <w:pPr>
              <w:pStyle w:val="Odstavecseseznamem"/>
              <w:numPr>
                <w:ilvl w:val="0"/>
                <w:numId w:val="56"/>
              </w:numPr>
              <w:spacing w:after="0" w:afterAutospacing="0" w:line="276" w:lineRule="auto"/>
              <w:rPr>
                <w:rStyle w:val="Zdraznnintenzivn"/>
                <w:b w:val="0"/>
                <w:bCs w:val="0"/>
                <w:i w:val="0"/>
                <w:iCs w:val="0"/>
                <w:color w:val="auto"/>
                <w:sz w:val="20"/>
                <w:szCs w:val="20"/>
              </w:rPr>
            </w:pPr>
            <w:r w:rsidRPr="0033290F">
              <w:rPr>
                <w:rStyle w:val="Zdraznnintenzivn"/>
                <w:rFonts w:cstheme="minorHAnsi"/>
                <w:b w:val="0"/>
                <w:i w:val="0"/>
                <w:color w:val="auto"/>
                <w:sz w:val="20"/>
                <w:szCs w:val="20"/>
              </w:rPr>
              <w:t>Státní politika životního prostředí ČR 2012 – 2020a její prioritní oblasti:</w:t>
            </w:r>
          </w:p>
          <w:p w:rsidR="000127EB" w:rsidRPr="002F367B" w:rsidRDefault="0033290F" w:rsidP="003F2759">
            <w:pPr>
              <w:spacing w:after="0" w:afterAutospacing="0" w:line="276" w:lineRule="auto"/>
              <w:ind w:left="709"/>
              <w:contextualSpacing/>
              <w:rPr>
                <w:sz w:val="20"/>
                <w:szCs w:val="20"/>
              </w:rPr>
            </w:pPr>
            <w:r w:rsidRPr="0033290F">
              <w:rPr>
                <w:sz w:val="20"/>
                <w:szCs w:val="20"/>
              </w:rPr>
              <w:t xml:space="preserve">4.1 Předcházení rizik  </w:t>
            </w:r>
          </w:p>
          <w:p w:rsidR="000127EB" w:rsidRDefault="0033290F" w:rsidP="00821DC5">
            <w:pPr>
              <w:spacing w:after="0" w:afterAutospacing="0" w:line="276" w:lineRule="auto"/>
              <w:ind w:left="709"/>
              <w:contextualSpacing/>
              <w:rPr>
                <w:sz w:val="20"/>
                <w:szCs w:val="20"/>
              </w:rPr>
            </w:pPr>
            <w:r w:rsidRPr="0033290F">
              <w:rPr>
                <w:sz w:val="20"/>
                <w:szCs w:val="20"/>
              </w:rPr>
              <w:t xml:space="preserve">4.2 </w:t>
            </w:r>
            <w:r w:rsidRPr="0033290F">
              <w:rPr>
                <w:rFonts w:cs="Times New Roman"/>
                <w:sz w:val="20"/>
                <w:szCs w:val="20"/>
              </w:rPr>
              <w:t>Ochrana prostředí před negativními dopady krizových situací způsobenými antropogenními nebo přírodními hrozbami</w:t>
            </w:r>
          </w:p>
          <w:p w:rsidR="00821DC5" w:rsidRPr="00821DC5" w:rsidRDefault="00821DC5" w:rsidP="00821DC5">
            <w:pPr>
              <w:spacing w:after="0" w:afterAutospacing="0" w:line="276" w:lineRule="auto"/>
              <w:ind w:left="709"/>
              <w:contextualSpacing/>
              <w:rPr>
                <w:rStyle w:val="Zdraznnintenzivn"/>
                <w:b w:val="0"/>
                <w:bCs w:val="0"/>
                <w:i w:val="0"/>
                <w:iCs w:val="0"/>
                <w:color w:val="auto"/>
                <w:sz w:val="20"/>
                <w:szCs w:val="20"/>
              </w:rPr>
            </w:pPr>
          </w:p>
          <w:p w:rsidR="000127EB" w:rsidRPr="002F367B" w:rsidRDefault="0033290F" w:rsidP="003F2759">
            <w:pPr>
              <w:spacing w:after="0" w:afterAutospacing="0" w:line="276" w:lineRule="auto"/>
              <w:rPr>
                <w:rStyle w:val="Zdraznnintenzivn"/>
                <w:b w:val="0"/>
                <w:bCs w:val="0"/>
                <w:i w:val="0"/>
                <w:iCs w:val="0"/>
                <w:color w:val="auto"/>
                <w:sz w:val="20"/>
                <w:szCs w:val="20"/>
                <w:u w:val="single"/>
              </w:rPr>
            </w:pPr>
            <w:r w:rsidRPr="0033290F">
              <w:rPr>
                <w:rStyle w:val="Zdraznnintenzivn"/>
                <w:b w:val="0"/>
                <w:bCs w:val="0"/>
                <w:i w:val="0"/>
                <w:iCs w:val="0"/>
                <w:color w:val="auto"/>
                <w:sz w:val="20"/>
                <w:szCs w:val="20"/>
                <w:u w:val="single"/>
              </w:rPr>
              <w:t>Obecné zdůvodnění:</w:t>
            </w:r>
          </w:p>
          <w:p w:rsidR="000127EB" w:rsidRPr="002F367B" w:rsidRDefault="0033290F" w:rsidP="00495FC1">
            <w:pPr>
              <w:pStyle w:val="Odstavecseseznamem"/>
              <w:numPr>
                <w:ilvl w:val="0"/>
                <w:numId w:val="93"/>
              </w:numPr>
              <w:spacing w:after="0" w:afterAutospacing="0" w:line="276" w:lineRule="auto"/>
              <w:rPr>
                <w:rFonts w:cs="Arial"/>
                <w:sz w:val="20"/>
                <w:szCs w:val="20"/>
              </w:rPr>
            </w:pPr>
            <w:r w:rsidRPr="0033290F">
              <w:rPr>
                <w:rFonts w:cs="Arial"/>
                <w:sz w:val="20"/>
                <w:szCs w:val="20"/>
              </w:rPr>
              <w:t>Nedostatečné nástroje pro zajištění omezování rizik chemických látek a prosazování managementu REACH vyplývajícího z legislativy EU</w:t>
            </w:r>
          </w:p>
          <w:p w:rsidR="000127EB" w:rsidRPr="002F367B" w:rsidRDefault="0033290F" w:rsidP="00821DC5">
            <w:pPr>
              <w:pStyle w:val="Odstavecseseznamem"/>
              <w:numPr>
                <w:ilvl w:val="0"/>
                <w:numId w:val="93"/>
              </w:numPr>
              <w:spacing w:after="0" w:afterAutospacing="0" w:line="276" w:lineRule="auto"/>
              <w:ind w:left="357" w:hanging="357"/>
              <w:rPr>
                <w:rFonts w:cs="Arial"/>
                <w:sz w:val="20"/>
                <w:szCs w:val="20"/>
              </w:rPr>
            </w:pPr>
            <w:r w:rsidRPr="0033290F">
              <w:rPr>
                <w:sz w:val="20"/>
                <w:szCs w:val="20"/>
              </w:rPr>
              <w:t xml:space="preserve">Nedostatečné technologie umožňující snižování environmentálních rizik  </w:t>
            </w:r>
          </w:p>
        </w:tc>
      </w:tr>
      <w:tr w:rsidR="000127EB" w:rsidRPr="005727DB" w:rsidTr="003F2759">
        <w:trPr>
          <w:trHeight w:val="541"/>
        </w:trPr>
        <w:tc>
          <w:tcPr>
            <w:tcW w:w="3070" w:type="dxa"/>
            <w:tcBorders>
              <w:top w:val="single" w:sz="8" w:space="0" w:color="auto"/>
              <w:left w:val="single" w:sz="4" w:space="0" w:color="auto"/>
            </w:tcBorders>
          </w:tcPr>
          <w:p w:rsidR="000127EB" w:rsidRPr="002F367B" w:rsidRDefault="0033290F" w:rsidP="003F2759">
            <w:pPr>
              <w:spacing w:line="276" w:lineRule="auto"/>
              <w:rPr>
                <w:rStyle w:val="Zdraznnintenzivn"/>
                <w:rFonts w:cs="Calibri"/>
                <w:b w:val="0"/>
                <w:i w:val="0"/>
                <w:iCs w:val="0"/>
                <w:color w:val="auto"/>
                <w:sz w:val="20"/>
                <w:szCs w:val="20"/>
              </w:rPr>
            </w:pPr>
            <w:r w:rsidRPr="0033290F">
              <w:rPr>
                <w:rFonts w:cs="Calibri"/>
                <w:sz w:val="20"/>
                <w:szCs w:val="20"/>
              </w:rPr>
              <w:t>Tematický cíl 6: Ochrana životního prostředí a podpora účinného využívání zdrojů</w:t>
            </w:r>
          </w:p>
        </w:tc>
        <w:tc>
          <w:tcPr>
            <w:tcW w:w="3559" w:type="dxa"/>
          </w:tcPr>
          <w:p w:rsidR="000127EB" w:rsidRPr="002F367B" w:rsidRDefault="0033290F" w:rsidP="003F2759">
            <w:pPr>
              <w:spacing w:line="276" w:lineRule="auto"/>
              <w:rPr>
                <w:rStyle w:val="Zdraznnintenzivn"/>
                <w:rFonts w:cstheme="minorHAnsi"/>
                <w:b w:val="0"/>
                <w:i w:val="0"/>
                <w:color w:val="auto"/>
                <w:sz w:val="20"/>
                <w:szCs w:val="20"/>
              </w:rPr>
            </w:pPr>
            <w:r w:rsidRPr="0033290F">
              <w:rPr>
                <w:sz w:val="20"/>
                <w:szCs w:val="20"/>
              </w:rPr>
              <w:t xml:space="preserve">Zachování a ochrana životního </w:t>
            </w:r>
            <w:r w:rsidR="009D3553" w:rsidRPr="00BC39D0">
              <w:rPr>
                <w:sz w:val="20"/>
                <w:szCs w:val="20"/>
              </w:rPr>
              <w:t>prostředí a podporování</w:t>
            </w:r>
            <w:r w:rsidRPr="0033290F">
              <w:rPr>
                <w:sz w:val="20"/>
                <w:szCs w:val="20"/>
              </w:rPr>
              <w:t xml:space="preserve"> účinného využívání zdrojů: investicemi do vodního hospodářství s cílem plnit požadavky </w:t>
            </w:r>
            <w:proofErr w:type="spellStart"/>
            <w:r w:rsidRPr="0033290F">
              <w:rPr>
                <w:i/>
                <w:sz w:val="20"/>
                <w:szCs w:val="20"/>
              </w:rPr>
              <w:t>acquis</w:t>
            </w:r>
            <w:proofErr w:type="spellEnd"/>
            <w:r w:rsidRPr="0033290F">
              <w:rPr>
                <w:sz w:val="20"/>
                <w:szCs w:val="20"/>
              </w:rPr>
              <w:t xml:space="preserve"> Unie v oblasti životního prostředí a řešením potřeb investic, které podle zjištění členských států přesahují rámec těchto požadavků (Dle Nařízení Evropského Parlamentu a Rady č.1300/2013, čl. 4 odst. c) písm. </w:t>
            </w:r>
            <w:proofErr w:type="spellStart"/>
            <w:r w:rsidRPr="0033290F">
              <w:rPr>
                <w:sz w:val="20"/>
                <w:szCs w:val="20"/>
              </w:rPr>
              <w:t>ii</w:t>
            </w:r>
            <w:proofErr w:type="spellEnd"/>
            <w:r w:rsidRPr="0033290F">
              <w:rPr>
                <w:sz w:val="20"/>
                <w:szCs w:val="20"/>
              </w:rPr>
              <w:t>))</w:t>
            </w:r>
          </w:p>
        </w:tc>
        <w:tc>
          <w:tcPr>
            <w:tcW w:w="7513" w:type="dxa"/>
            <w:tcBorders>
              <w:top w:val="single" w:sz="8" w:space="0" w:color="auto"/>
              <w:right w:val="single" w:sz="4" w:space="0" w:color="auto"/>
            </w:tcBorders>
          </w:tcPr>
          <w:p w:rsidR="000127EB" w:rsidRPr="002F367B" w:rsidRDefault="0033290F" w:rsidP="00495FC1">
            <w:pPr>
              <w:numPr>
                <w:ilvl w:val="0"/>
                <w:numId w:val="91"/>
              </w:numPr>
              <w:spacing w:after="0" w:afterAutospacing="0" w:line="276" w:lineRule="auto"/>
              <w:contextualSpacing/>
              <w:rPr>
                <w:rFonts w:cs="Times New Roman"/>
                <w:sz w:val="20"/>
                <w:szCs w:val="20"/>
              </w:rPr>
            </w:pPr>
            <w:r w:rsidRPr="0033290F">
              <w:rPr>
                <w:rFonts w:cs="Times New Roman"/>
                <w:sz w:val="20"/>
                <w:szCs w:val="20"/>
              </w:rPr>
              <w:t>Strategie Evropa 2020</w:t>
            </w:r>
          </w:p>
          <w:p w:rsidR="000127EB" w:rsidRPr="002F367B" w:rsidRDefault="0033290F" w:rsidP="00495FC1">
            <w:pPr>
              <w:numPr>
                <w:ilvl w:val="0"/>
                <w:numId w:val="91"/>
              </w:numPr>
              <w:spacing w:after="0" w:afterAutospacing="0" w:line="276" w:lineRule="auto"/>
              <w:contextualSpacing/>
              <w:rPr>
                <w:rFonts w:cs="Times New Roman"/>
                <w:sz w:val="20"/>
                <w:szCs w:val="20"/>
              </w:rPr>
            </w:pPr>
            <w:r w:rsidRPr="0033290F">
              <w:rPr>
                <w:rFonts w:cs="Times New Roman"/>
                <w:sz w:val="20"/>
                <w:szCs w:val="20"/>
              </w:rPr>
              <w:t xml:space="preserve">7. akční program EU v oblasti životního prostředí </w:t>
            </w:r>
          </w:p>
          <w:p w:rsidR="000127EB" w:rsidRPr="002F367B" w:rsidRDefault="0033290F" w:rsidP="00495FC1">
            <w:pPr>
              <w:numPr>
                <w:ilvl w:val="0"/>
                <w:numId w:val="91"/>
              </w:numPr>
              <w:spacing w:after="0" w:afterAutospacing="0" w:line="276" w:lineRule="auto"/>
              <w:contextualSpacing/>
              <w:rPr>
                <w:rFonts w:cs="Times New Roman"/>
                <w:sz w:val="20"/>
                <w:szCs w:val="20"/>
              </w:rPr>
            </w:pPr>
            <w:r w:rsidRPr="0033290F">
              <w:rPr>
                <w:rFonts w:cs="Times New Roman"/>
                <w:sz w:val="20"/>
                <w:szCs w:val="20"/>
              </w:rPr>
              <w:t>Plán na ochranu vodních zdrojů Evropy</w:t>
            </w:r>
          </w:p>
          <w:p w:rsidR="000127EB" w:rsidRPr="002F367B" w:rsidRDefault="0033290F" w:rsidP="00495FC1">
            <w:pPr>
              <w:numPr>
                <w:ilvl w:val="0"/>
                <w:numId w:val="91"/>
              </w:numPr>
              <w:spacing w:after="0" w:afterAutospacing="0" w:line="276" w:lineRule="auto"/>
              <w:contextualSpacing/>
              <w:rPr>
                <w:rFonts w:cs="Times New Roman"/>
                <w:sz w:val="20"/>
                <w:szCs w:val="20"/>
              </w:rPr>
            </w:pPr>
            <w:r w:rsidRPr="0033290F">
              <w:rPr>
                <w:rFonts w:cs="Times New Roman"/>
                <w:sz w:val="20"/>
                <w:szCs w:val="20"/>
              </w:rPr>
              <w:t>Rámcová směrnice o vodní politice</w:t>
            </w:r>
          </w:p>
          <w:p w:rsidR="000127EB" w:rsidRPr="002F367B" w:rsidRDefault="0033290F" w:rsidP="00495FC1">
            <w:pPr>
              <w:numPr>
                <w:ilvl w:val="0"/>
                <w:numId w:val="91"/>
              </w:numPr>
              <w:spacing w:after="0" w:afterAutospacing="0" w:line="276" w:lineRule="auto"/>
              <w:contextualSpacing/>
              <w:rPr>
                <w:rFonts w:cs="Times New Roman"/>
                <w:sz w:val="20"/>
                <w:szCs w:val="20"/>
              </w:rPr>
            </w:pPr>
            <w:r w:rsidRPr="0033290F">
              <w:rPr>
                <w:rFonts w:cs="Times New Roman"/>
                <w:sz w:val="20"/>
                <w:szCs w:val="20"/>
              </w:rPr>
              <w:t>Strategický rámec udržitelného rozvoje ČR</w:t>
            </w:r>
          </w:p>
          <w:p w:rsidR="000127EB" w:rsidRPr="002F367B" w:rsidRDefault="0033290F" w:rsidP="00495FC1">
            <w:pPr>
              <w:numPr>
                <w:ilvl w:val="0"/>
                <w:numId w:val="91"/>
              </w:numPr>
              <w:spacing w:after="0" w:afterAutospacing="0" w:line="276" w:lineRule="auto"/>
              <w:contextualSpacing/>
              <w:rPr>
                <w:rFonts w:cs="Calibri"/>
                <w:bCs/>
                <w:iCs/>
                <w:sz w:val="20"/>
                <w:szCs w:val="20"/>
              </w:rPr>
            </w:pPr>
            <w:r w:rsidRPr="0033290F">
              <w:rPr>
                <w:rFonts w:cs="Calibri"/>
                <w:bCs/>
                <w:iCs/>
                <w:sz w:val="20"/>
                <w:szCs w:val="20"/>
              </w:rPr>
              <w:t>Státní politika životního prostředí ČR 2012 – 2020 a její prioritní oblasti:</w:t>
            </w:r>
          </w:p>
          <w:p w:rsidR="000127EB" w:rsidRPr="002F367B" w:rsidRDefault="0033290F" w:rsidP="003F2759">
            <w:pPr>
              <w:spacing w:after="0" w:afterAutospacing="0" w:line="276" w:lineRule="auto"/>
              <w:ind w:left="708"/>
              <w:rPr>
                <w:rFonts w:cs="Times New Roman"/>
                <w:sz w:val="20"/>
                <w:szCs w:val="20"/>
              </w:rPr>
            </w:pPr>
            <w:r w:rsidRPr="0033290F">
              <w:rPr>
                <w:rFonts w:cs="Times New Roman"/>
                <w:sz w:val="20"/>
                <w:szCs w:val="20"/>
              </w:rPr>
              <w:t xml:space="preserve">1.1 Zajištění ochrany vod a zlepšování jejich stavu </w:t>
            </w:r>
          </w:p>
          <w:p w:rsidR="000127EB" w:rsidRPr="002F367B" w:rsidRDefault="0033290F" w:rsidP="00495FC1">
            <w:pPr>
              <w:pStyle w:val="Odstavecseseznamem"/>
              <w:numPr>
                <w:ilvl w:val="0"/>
                <w:numId w:val="91"/>
              </w:numPr>
              <w:spacing w:after="0" w:afterAutospacing="0" w:line="276" w:lineRule="auto"/>
              <w:rPr>
                <w:rFonts w:cs="Times New Roman"/>
                <w:sz w:val="20"/>
                <w:szCs w:val="20"/>
              </w:rPr>
            </w:pPr>
            <w:r w:rsidRPr="0033290F">
              <w:rPr>
                <w:rFonts w:cs="Times New Roman"/>
                <w:sz w:val="20"/>
                <w:szCs w:val="20"/>
              </w:rPr>
              <w:t xml:space="preserve">Plán hlavních povodí České republiky </w:t>
            </w:r>
          </w:p>
          <w:p w:rsidR="000127EB" w:rsidRPr="002F367B" w:rsidRDefault="0033290F" w:rsidP="00495FC1">
            <w:pPr>
              <w:numPr>
                <w:ilvl w:val="0"/>
                <w:numId w:val="91"/>
              </w:numPr>
              <w:spacing w:after="0" w:afterAutospacing="0" w:line="276" w:lineRule="auto"/>
              <w:contextualSpacing/>
              <w:rPr>
                <w:rFonts w:cs="Times New Roman"/>
                <w:sz w:val="20"/>
                <w:szCs w:val="20"/>
              </w:rPr>
            </w:pPr>
            <w:r w:rsidRPr="0033290F">
              <w:rPr>
                <w:rFonts w:cs="Times New Roman"/>
                <w:sz w:val="20"/>
                <w:szCs w:val="20"/>
              </w:rPr>
              <w:t xml:space="preserve">Plány povodí pro mezinárodní oblasti povodí Labe, Odry a Dunaje </w:t>
            </w:r>
          </w:p>
          <w:p w:rsidR="000127EB" w:rsidRPr="002F367B" w:rsidRDefault="0033290F" w:rsidP="00821DC5">
            <w:pPr>
              <w:numPr>
                <w:ilvl w:val="0"/>
                <w:numId w:val="91"/>
              </w:numPr>
              <w:spacing w:line="360" w:lineRule="auto"/>
              <w:contextualSpacing/>
              <w:rPr>
                <w:rFonts w:cs="Times New Roman"/>
                <w:sz w:val="20"/>
                <w:szCs w:val="20"/>
              </w:rPr>
            </w:pPr>
            <w:r w:rsidRPr="0033290F">
              <w:rPr>
                <w:rFonts w:cs="Times New Roman"/>
                <w:sz w:val="20"/>
                <w:szCs w:val="20"/>
              </w:rPr>
              <w:t>Plány oblastí povodí</w:t>
            </w:r>
          </w:p>
          <w:p w:rsidR="000127EB" w:rsidRPr="002F367B" w:rsidRDefault="0033290F" w:rsidP="00821DC5">
            <w:pPr>
              <w:spacing w:line="360" w:lineRule="auto"/>
              <w:contextualSpacing/>
              <w:rPr>
                <w:rFonts w:cs="Times New Roman"/>
                <w:sz w:val="20"/>
                <w:szCs w:val="20"/>
                <w:u w:val="single"/>
              </w:rPr>
            </w:pPr>
            <w:r w:rsidRPr="0033290F">
              <w:rPr>
                <w:rFonts w:cs="Times New Roman"/>
                <w:sz w:val="20"/>
                <w:szCs w:val="20"/>
                <w:u w:val="single"/>
              </w:rPr>
              <w:t>Obecné zdůvodnění:</w:t>
            </w:r>
          </w:p>
          <w:p w:rsidR="000127EB" w:rsidRPr="002F367B" w:rsidRDefault="0033290F" w:rsidP="00821DC5">
            <w:pPr>
              <w:numPr>
                <w:ilvl w:val="0"/>
                <w:numId w:val="90"/>
              </w:numPr>
              <w:spacing w:after="0" w:afterAutospacing="0" w:line="276" w:lineRule="auto"/>
              <w:ind w:left="714" w:hanging="357"/>
              <w:contextualSpacing/>
              <w:rPr>
                <w:rFonts w:cs="Times New Roman"/>
                <w:sz w:val="20"/>
                <w:szCs w:val="20"/>
              </w:rPr>
            </w:pPr>
            <w:r w:rsidRPr="0033290F">
              <w:rPr>
                <w:rFonts w:cs="Times New Roman"/>
                <w:sz w:val="20"/>
                <w:szCs w:val="20"/>
              </w:rPr>
              <w:t>Řešení stále nevyhovujícího stavu povrchových a podzemních vod (komunální zdroje znečištění, zhoršená jakost některých vodních toků, eutrofizace, průmyslové a zemědělské zdroje znečištění)</w:t>
            </w:r>
          </w:p>
          <w:p w:rsidR="000127EB" w:rsidRPr="002F367B" w:rsidRDefault="0033290F" w:rsidP="00821DC5">
            <w:pPr>
              <w:numPr>
                <w:ilvl w:val="0"/>
                <w:numId w:val="90"/>
              </w:numPr>
              <w:spacing w:after="0" w:afterAutospacing="0" w:line="276" w:lineRule="auto"/>
              <w:ind w:left="714" w:hanging="357"/>
              <w:contextualSpacing/>
              <w:rPr>
                <w:rFonts w:cs="Times New Roman"/>
                <w:sz w:val="20"/>
                <w:szCs w:val="20"/>
              </w:rPr>
            </w:pPr>
            <w:r w:rsidRPr="0033290F">
              <w:rPr>
                <w:rFonts w:cs="Times New Roman"/>
                <w:sz w:val="20"/>
                <w:szCs w:val="20"/>
              </w:rPr>
              <w:t>Zajištění dodávky pitné vody v odpovídajícím množství a kvalitě</w:t>
            </w:r>
          </w:p>
          <w:p w:rsidR="000127EB" w:rsidRPr="002F367B" w:rsidRDefault="0033290F" w:rsidP="00821DC5">
            <w:pPr>
              <w:numPr>
                <w:ilvl w:val="0"/>
                <w:numId w:val="90"/>
              </w:numPr>
              <w:spacing w:after="0" w:afterAutospacing="0" w:line="276" w:lineRule="auto"/>
              <w:ind w:left="714" w:hanging="357"/>
              <w:contextualSpacing/>
              <w:rPr>
                <w:rFonts w:cs="Times New Roman"/>
                <w:sz w:val="20"/>
                <w:szCs w:val="20"/>
              </w:rPr>
            </w:pPr>
            <w:r w:rsidRPr="0033290F">
              <w:rPr>
                <w:rFonts w:cs="Times New Roman"/>
                <w:sz w:val="20"/>
                <w:szCs w:val="20"/>
              </w:rPr>
              <w:t>Snižující se retenční schopnost krajiny</w:t>
            </w:r>
          </w:p>
          <w:p w:rsidR="000127EB" w:rsidRPr="002F367B" w:rsidRDefault="0033290F" w:rsidP="00821DC5">
            <w:pPr>
              <w:pStyle w:val="Odstavecseseznamem"/>
              <w:numPr>
                <w:ilvl w:val="0"/>
                <w:numId w:val="90"/>
              </w:numPr>
              <w:spacing w:after="0" w:afterAutospacing="0" w:line="276" w:lineRule="auto"/>
              <w:ind w:left="714" w:hanging="357"/>
              <w:rPr>
                <w:rStyle w:val="Zdraznnintenzivn"/>
                <w:b w:val="0"/>
                <w:bCs w:val="0"/>
                <w:i w:val="0"/>
                <w:iCs w:val="0"/>
                <w:color w:val="auto"/>
                <w:sz w:val="20"/>
                <w:szCs w:val="20"/>
              </w:rPr>
            </w:pPr>
            <w:r w:rsidRPr="0033290F">
              <w:rPr>
                <w:rFonts w:cs="Times New Roman"/>
                <w:sz w:val="20"/>
                <w:szCs w:val="20"/>
              </w:rPr>
              <w:t>Zvyšující se plocha území ohrožená větrnou i vodní erozí</w:t>
            </w:r>
          </w:p>
        </w:tc>
      </w:tr>
      <w:tr w:rsidR="000127EB" w:rsidRPr="005727DB" w:rsidTr="003F2759">
        <w:trPr>
          <w:trHeight w:val="5077"/>
        </w:trPr>
        <w:tc>
          <w:tcPr>
            <w:tcW w:w="3070" w:type="dxa"/>
            <w:tcBorders>
              <w:top w:val="single" w:sz="8" w:space="0" w:color="auto"/>
              <w:left w:val="single" w:sz="4" w:space="0" w:color="auto"/>
            </w:tcBorders>
          </w:tcPr>
          <w:p w:rsidR="000127EB" w:rsidRPr="002F367B" w:rsidRDefault="0033290F" w:rsidP="003F2759">
            <w:pPr>
              <w:spacing w:line="276" w:lineRule="auto"/>
              <w:rPr>
                <w:rFonts w:cs="Calibri"/>
                <w:sz w:val="20"/>
                <w:szCs w:val="20"/>
              </w:rPr>
            </w:pPr>
            <w:r w:rsidRPr="0033290F">
              <w:rPr>
                <w:rFonts w:cs="Calibri"/>
                <w:sz w:val="20"/>
                <w:szCs w:val="20"/>
              </w:rPr>
              <w:lastRenderedPageBreak/>
              <w:t>Tematický cíl 6: Ochrana životního prostředí a podpora účinného využívání zdrojů</w:t>
            </w:r>
          </w:p>
        </w:tc>
        <w:tc>
          <w:tcPr>
            <w:tcW w:w="3559" w:type="dxa"/>
          </w:tcPr>
          <w:p w:rsidR="000127EB" w:rsidRPr="002F367B" w:rsidRDefault="0033290F" w:rsidP="003F2759">
            <w:pPr>
              <w:spacing w:line="276" w:lineRule="auto"/>
              <w:rPr>
                <w:rStyle w:val="Zdraznnintenzivn"/>
                <w:rFonts w:cstheme="minorHAnsi"/>
                <w:b w:val="0"/>
                <w:i w:val="0"/>
                <w:color w:val="auto"/>
                <w:sz w:val="20"/>
                <w:szCs w:val="20"/>
              </w:rPr>
            </w:pPr>
            <w:r w:rsidRPr="0033290F">
              <w:rPr>
                <w:sz w:val="20"/>
                <w:szCs w:val="20"/>
              </w:rPr>
              <w:t>Zachování a ochrana životního prostředí a podporování účinného využívání zdrojů přijímáním opatření ke zlepšování městského prostředí, revitalizaci měst, regeneraci a dekontaminaci dříve zastavěných území (</w:t>
            </w:r>
            <w:proofErr w:type="spellStart"/>
            <w:proofErr w:type="gramStart"/>
            <w:r w:rsidRPr="0033290F">
              <w:rPr>
                <w:sz w:val="20"/>
                <w:szCs w:val="20"/>
              </w:rPr>
              <w:t>brownfields</w:t>
            </w:r>
            <w:proofErr w:type="spellEnd"/>
            <w:r w:rsidRPr="0033290F">
              <w:rPr>
                <w:sz w:val="20"/>
                <w:szCs w:val="20"/>
              </w:rPr>
              <w:t>)(včetně</w:t>
            </w:r>
            <w:proofErr w:type="gramEnd"/>
            <w:r w:rsidRPr="0033290F">
              <w:rPr>
                <w:sz w:val="20"/>
                <w:szCs w:val="20"/>
              </w:rPr>
              <w:t xml:space="preserve"> bývalých vojenských oblastí), snížení znečištění ovzduší a podporou opatření ke snížení hluku (Dle nařízení Evropského Parlamentu a Rady č. 1300/2013, čl. 4 odst. c) písm. </w:t>
            </w:r>
            <w:proofErr w:type="spellStart"/>
            <w:r w:rsidRPr="0033290F">
              <w:rPr>
                <w:sz w:val="20"/>
                <w:szCs w:val="20"/>
              </w:rPr>
              <w:t>iv</w:t>
            </w:r>
            <w:proofErr w:type="spellEnd"/>
            <w:r w:rsidRPr="0033290F">
              <w:rPr>
                <w:sz w:val="20"/>
                <w:szCs w:val="20"/>
              </w:rPr>
              <w:t>))</w:t>
            </w:r>
          </w:p>
        </w:tc>
        <w:tc>
          <w:tcPr>
            <w:tcW w:w="7513" w:type="dxa"/>
            <w:tcBorders>
              <w:top w:val="single" w:sz="8" w:space="0" w:color="auto"/>
              <w:right w:val="single" w:sz="4" w:space="0" w:color="auto"/>
            </w:tcBorders>
          </w:tcPr>
          <w:p w:rsidR="000127EB" w:rsidRPr="002F367B" w:rsidRDefault="0033290F" w:rsidP="00495FC1">
            <w:pPr>
              <w:numPr>
                <w:ilvl w:val="0"/>
                <w:numId w:val="83"/>
              </w:numPr>
              <w:spacing w:after="0" w:afterAutospacing="0" w:line="276" w:lineRule="auto"/>
              <w:contextualSpacing/>
              <w:rPr>
                <w:rFonts w:cs="Times New Roman"/>
                <w:sz w:val="20"/>
                <w:szCs w:val="20"/>
              </w:rPr>
            </w:pPr>
            <w:r w:rsidRPr="0033290F">
              <w:rPr>
                <w:rFonts w:cs="Times New Roman"/>
                <w:sz w:val="20"/>
                <w:szCs w:val="20"/>
              </w:rPr>
              <w:t>Strategie Evropa 2020</w:t>
            </w:r>
          </w:p>
          <w:p w:rsidR="000127EB" w:rsidRPr="002F367B" w:rsidRDefault="0033290F" w:rsidP="00495FC1">
            <w:pPr>
              <w:pStyle w:val="Odstavecseseznamem"/>
              <w:numPr>
                <w:ilvl w:val="0"/>
                <w:numId w:val="83"/>
              </w:numPr>
              <w:spacing w:after="0" w:afterAutospacing="0" w:line="276" w:lineRule="auto"/>
              <w:rPr>
                <w:rFonts w:cs="Times New Roman"/>
                <w:sz w:val="20"/>
                <w:szCs w:val="20"/>
              </w:rPr>
            </w:pPr>
            <w:r w:rsidRPr="0033290F">
              <w:rPr>
                <w:rFonts w:cs="Times New Roman"/>
                <w:sz w:val="20"/>
                <w:szCs w:val="20"/>
              </w:rPr>
              <w:t xml:space="preserve">7. akční program EU v oblasti životního prostředí </w:t>
            </w:r>
          </w:p>
          <w:p w:rsidR="000127EB" w:rsidRPr="002F367B" w:rsidRDefault="0033290F" w:rsidP="00495FC1">
            <w:pPr>
              <w:numPr>
                <w:ilvl w:val="0"/>
                <w:numId w:val="83"/>
              </w:numPr>
              <w:spacing w:after="0" w:afterAutospacing="0" w:line="276" w:lineRule="auto"/>
              <w:contextualSpacing/>
              <w:rPr>
                <w:rFonts w:cs="Times New Roman"/>
                <w:sz w:val="20"/>
                <w:szCs w:val="20"/>
              </w:rPr>
            </w:pPr>
            <w:r w:rsidRPr="0033290F">
              <w:rPr>
                <w:rFonts w:cs="Times New Roman"/>
                <w:sz w:val="20"/>
                <w:szCs w:val="20"/>
              </w:rPr>
              <w:t>Tematická strategie o znečišťování ovzduší EU</w:t>
            </w:r>
          </w:p>
          <w:p w:rsidR="000127EB" w:rsidRPr="002F367B" w:rsidRDefault="0033290F" w:rsidP="00495FC1">
            <w:pPr>
              <w:numPr>
                <w:ilvl w:val="0"/>
                <w:numId w:val="83"/>
              </w:numPr>
              <w:spacing w:after="0" w:afterAutospacing="0" w:line="276" w:lineRule="auto"/>
              <w:contextualSpacing/>
              <w:rPr>
                <w:rFonts w:cs="Times New Roman"/>
                <w:sz w:val="20"/>
                <w:szCs w:val="20"/>
              </w:rPr>
            </w:pPr>
            <w:r w:rsidRPr="0033290F">
              <w:rPr>
                <w:rFonts w:cs="Times New Roman"/>
                <w:sz w:val="20"/>
                <w:szCs w:val="20"/>
              </w:rPr>
              <w:t>Program „Čisté ovzduší pro Evropu“ a navazující dokumenty („balíček k čistotě ovzduší“)</w:t>
            </w:r>
          </w:p>
          <w:p w:rsidR="000127EB" w:rsidRPr="002F367B" w:rsidRDefault="0033290F" w:rsidP="00495FC1">
            <w:pPr>
              <w:numPr>
                <w:ilvl w:val="0"/>
                <w:numId w:val="83"/>
              </w:numPr>
              <w:spacing w:after="0" w:afterAutospacing="0" w:line="276" w:lineRule="auto"/>
              <w:contextualSpacing/>
              <w:rPr>
                <w:rFonts w:cs="Times New Roman"/>
                <w:sz w:val="20"/>
                <w:szCs w:val="20"/>
              </w:rPr>
            </w:pPr>
            <w:r w:rsidRPr="0033290F">
              <w:rPr>
                <w:rFonts w:cs="Times New Roman"/>
                <w:sz w:val="20"/>
                <w:szCs w:val="20"/>
              </w:rPr>
              <w:t>Směrnice EU ke kvalitě ovzduší a snižování emisí</w:t>
            </w:r>
          </w:p>
          <w:p w:rsidR="000127EB" w:rsidRPr="002F367B" w:rsidRDefault="0033290F" w:rsidP="00495FC1">
            <w:pPr>
              <w:numPr>
                <w:ilvl w:val="0"/>
                <w:numId w:val="83"/>
              </w:numPr>
              <w:spacing w:after="0" w:afterAutospacing="0" w:line="276" w:lineRule="auto"/>
              <w:contextualSpacing/>
              <w:rPr>
                <w:rFonts w:cs="Times New Roman"/>
                <w:sz w:val="20"/>
                <w:szCs w:val="20"/>
              </w:rPr>
            </w:pPr>
            <w:r w:rsidRPr="0033290F">
              <w:rPr>
                <w:rFonts w:cs="Times New Roman"/>
                <w:sz w:val="20"/>
                <w:szCs w:val="20"/>
              </w:rPr>
              <w:t>Strategický rámec udržitelného rozvoje ČR</w:t>
            </w:r>
          </w:p>
          <w:p w:rsidR="000127EB" w:rsidRPr="002F367B" w:rsidRDefault="0033290F" w:rsidP="00495FC1">
            <w:pPr>
              <w:numPr>
                <w:ilvl w:val="0"/>
                <w:numId w:val="83"/>
              </w:numPr>
              <w:spacing w:after="0" w:afterAutospacing="0" w:line="276" w:lineRule="auto"/>
              <w:contextualSpacing/>
              <w:rPr>
                <w:rFonts w:cs="Calibri"/>
                <w:bCs/>
                <w:iCs/>
                <w:sz w:val="20"/>
                <w:szCs w:val="20"/>
              </w:rPr>
            </w:pPr>
            <w:r w:rsidRPr="0033290F">
              <w:rPr>
                <w:rFonts w:cs="Calibri"/>
                <w:bCs/>
                <w:iCs/>
                <w:sz w:val="20"/>
                <w:szCs w:val="20"/>
              </w:rPr>
              <w:t>Státní politika životního prostředí ČR 2012 – 2020a její prioritní oblasti:</w:t>
            </w:r>
          </w:p>
          <w:p w:rsidR="000127EB" w:rsidRPr="002F367B" w:rsidRDefault="0033290F" w:rsidP="003F2759">
            <w:pPr>
              <w:spacing w:after="0" w:afterAutospacing="0" w:line="276" w:lineRule="auto"/>
              <w:ind w:left="708"/>
              <w:contextualSpacing/>
              <w:rPr>
                <w:rFonts w:cs="Calibri"/>
                <w:bCs/>
                <w:iCs/>
                <w:sz w:val="20"/>
                <w:szCs w:val="20"/>
              </w:rPr>
            </w:pPr>
            <w:r w:rsidRPr="0033290F">
              <w:rPr>
                <w:rFonts w:cs="Calibri"/>
                <w:bCs/>
                <w:iCs/>
                <w:sz w:val="20"/>
                <w:szCs w:val="20"/>
              </w:rPr>
              <w:t>1.3 Ochrana a udržitelné využívání půdního a horninového prostředí</w:t>
            </w:r>
          </w:p>
          <w:p w:rsidR="000127EB" w:rsidRPr="002F367B" w:rsidRDefault="0033290F" w:rsidP="003F2759">
            <w:pPr>
              <w:spacing w:after="0" w:afterAutospacing="0" w:line="276" w:lineRule="auto"/>
              <w:ind w:left="708"/>
              <w:contextualSpacing/>
              <w:rPr>
                <w:rFonts w:cs="Times New Roman"/>
                <w:sz w:val="20"/>
                <w:szCs w:val="20"/>
              </w:rPr>
            </w:pPr>
            <w:r w:rsidRPr="0033290F">
              <w:rPr>
                <w:rFonts w:cs="Times New Roman"/>
                <w:sz w:val="20"/>
                <w:szCs w:val="20"/>
              </w:rPr>
              <w:t xml:space="preserve">2.2 Snížení úrovně znečištění ovzduší  </w:t>
            </w:r>
          </w:p>
          <w:p w:rsidR="000127EB" w:rsidRPr="002F367B" w:rsidRDefault="0033290F" w:rsidP="003F2759">
            <w:pPr>
              <w:spacing w:after="0" w:afterAutospacing="0" w:line="276" w:lineRule="auto"/>
              <w:ind w:left="708"/>
              <w:contextualSpacing/>
              <w:rPr>
                <w:rFonts w:cs="Times New Roman"/>
                <w:sz w:val="20"/>
                <w:szCs w:val="20"/>
              </w:rPr>
            </w:pPr>
            <w:r w:rsidRPr="0033290F">
              <w:rPr>
                <w:rFonts w:cs="Times New Roman"/>
                <w:sz w:val="20"/>
                <w:szCs w:val="20"/>
              </w:rPr>
              <w:t>3.3 Zlepšení kvality prostředí v sídlech</w:t>
            </w:r>
          </w:p>
          <w:p w:rsidR="000127EB" w:rsidRPr="002F367B" w:rsidRDefault="0033290F" w:rsidP="00495FC1">
            <w:pPr>
              <w:numPr>
                <w:ilvl w:val="0"/>
                <w:numId w:val="84"/>
              </w:numPr>
              <w:spacing w:after="0" w:afterAutospacing="0" w:line="276" w:lineRule="auto"/>
              <w:contextualSpacing/>
              <w:rPr>
                <w:rFonts w:cs="Times New Roman"/>
                <w:sz w:val="20"/>
                <w:szCs w:val="20"/>
              </w:rPr>
            </w:pPr>
            <w:r w:rsidRPr="0033290F">
              <w:rPr>
                <w:rFonts w:cs="Times New Roman"/>
                <w:sz w:val="20"/>
                <w:szCs w:val="20"/>
              </w:rPr>
              <w:t>Střednědobá (do roku 2020) strategie zlepšení kvality ovzduší</w:t>
            </w:r>
          </w:p>
          <w:p w:rsidR="000127EB" w:rsidRPr="002F367B" w:rsidRDefault="0033290F" w:rsidP="00495FC1">
            <w:pPr>
              <w:numPr>
                <w:ilvl w:val="0"/>
                <w:numId w:val="84"/>
              </w:numPr>
              <w:spacing w:after="0" w:afterAutospacing="0" w:line="276" w:lineRule="auto"/>
              <w:contextualSpacing/>
              <w:rPr>
                <w:rFonts w:cs="Times New Roman"/>
                <w:sz w:val="20"/>
                <w:szCs w:val="20"/>
              </w:rPr>
            </w:pPr>
            <w:r w:rsidRPr="0033290F">
              <w:rPr>
                <w:rFonts w:cs="Times New Roman"/>
                <w:sz w:val="20"/>
                <w:szCs w:val="20"/>
              </w:rPr>
              <w:t>Národní program snižování ovzduší</w:t>
            </w:r>
          </w:p>
          <w:p w:rsidR="000127EB" w:rsidRPr="002F367B" w:rsidRDefault="0033290F" w:rsidP="00495FC1">
            <w:pPr>
              <w:numPr>
                <w:ilvl w:val="0"/>
                <w:numId w:val="84"/>
              </w:numPr>
              <w:spacing w:after="0" w:afterAutospacing="0" w:line="276" w:lineRule="auto"/>
              <w:contextualSpacing/>
              <w:rPr>
                <w:rFonts w:cs="Times New Roman"/>
                <w:sz w:val="20"/>
                <w:szCs w:val="20"/>
              </w:rPr>
            </w:pPr>
            <w:r w:rsidRPr="0033290F">
              <w:rPr>
                <w:rFonts w:cs="Times New Roman"/>
                <w:sz w:val="20"/>
                <w:szCs w:val="20"/>
              </w:rPr>
              <w:t xml:space="preserve">Programy zlepšování kvality ovzduší v zónách a aglomeracích </w:t>
            </w:r>
          </w:p>
          <w:p w:rsidR="000127EB" w:rsidRPr="002F367B" w:rsidRDefault="000127EB" w:rsidP="003F2759">
            <w:pPr>
              <w:spacing w:after="0" w:afterAutospacing="0" w:line="276" w:lineRule="auto"/>
              <w:ind w:left="360"/>
              <w:contextualSpacing/>
              <w:rPr>
                <w:rFonts w:cs="Times New Roman"/>
                <w:sz w:val="20"/>
                <w:szCs w:val="20"/>
              </w:rPr>
            </w:pPr>
          </w:p>
          <w:p w:rsidR="000127EB" w:rsidRPr="002F367B" w:rsidRDefault="0033290F" w:rsidP="003F2759">
            <w:pPr>
              <w:spacing w:after="0" w:afterAutospacing="0" w:line="276" w:lineRule="auto"/>
              <w:rPr>
                <w:rFonts w:cs="Times New Roman"/>
                <w:sz w:val="20"/>
                <w:szCs w:val="20"/>
                <w:u w:val="single"/>
              </w:rPr>
            </w:pPr>
            <w:r w:rsidRPr="0033290F">
              <w:rPr>
                <w:rFonts w:cs="Times New Roman"/>
                <w:sz w:val="20"/>
                <w:szCs w:val="20"/>
                <w:u w:val="single"/>
              </w:rPr>
              <w:t>Obecné zdůvodnění:</w:t>
            </w:r>
          </w:p>
          <w:p w:rsidR="000127EB" w:rsidRPr="002F367B" w:rsidRDefault="0033290F" w:rsidP="00495FC1">
            <w:pPr>
              <w:pStyle w:val="Odstavecseseznamem"/>
              <w:numPr>
                <w:ilvl w:val="0"/>
                <w:numId w:val="94"/>
              </w:numPr>
              <w:spacing w:after="0" w:afterAutospacing="0" w:line="276" w:lineRule="auto"/>
              <w:rPr>
                <w:rFonts w:cs="Times New Roman"/>
                <w:sz w:val="20"/>
                <w:szCs w:val="20"/>
              </w:rPr>
            </w:pPr>
            <w:r w:rsidRPr="0033290F">
              <w:rPr>
                <w:rFonts w:cs="Times New Roman"/>
                <w:sz w:val="20"/>
                <w:szCs w:val="20"/>
              </w:rPr>
              <w:t>Řešení stále nevyhovujícího stavu ovzduší ve městech</w:t>
            </w:r>
          </w:p>
          <w:p w:rsidR="000127EB" w:rsidRPr="002F367B" w:rsidRDefault="0033290F" w:rsidP="00495FC1">
            <w:pPr>
              <w:pStyle w:val="Odstavecseseznamem"/>
              <w:numPr>
                <w:ilvl w:val="0"/>
                <w:numId w:val="94"/>
              </w:numPr>
              <w:spacing w:after="0" w:afterAutospacing="0" w:line="276" w:lineRule="auto"/>
              <w:rPr>
                <w:rFonts w:cs="Times New Roman"/>
                <w:sz w:val="20"/>
                <w:szCs w:val="20"/>
              </w:rPr>
            </w:pPr>
            <w:r w:rsidRPr="0033290F">
              <w:rPr>
                <w:rFonts w:cs="Times New Roman"/>
                <w:sz w:val="20"/>
                <w:szCs w:val="20"/>
              </w:rPr>
              <w:t>Dodržení nově stanovených národních závazků snížení emisí</w:t>
            </w:r>
          </w:p>
          <w:p w:rsidR="000127EB" w:rsidRPr="00584ED8" w:rsidRDefault="0033290F" w:rsidP="00495FC1">
            <w:pPr>
              <w:pStyle w:val="Odstavecseseznamem"/>
              <w:numPr>
                <w:ilvl w:val="0"/>
                <w:numId w:val="94"/>
              </w:numPr>
              <w:spacing w:after="0" w:afterAutospacing="0" w:line="276" w:lineRule="auto"/>
              <w:rPr>
                <w:rFonts w:cs="Times New Roman"/>
                <w:sz w:val="20"/>
                <w:szCs w:val="20"/>
              </w:rPr>
            </w:pPr>
            <w:r w:rsidRPr="0033290F">
              <w:rPr>
                <w:rFonts w:cs="Times New Roman"/>
                <w:sz w:val="20"/>
                <w:szCs w:val="20"/>
              </w:rPr>
              <w:t xml:space="preserve">Sanace kontaminovaných ploch ve městech </w:t>
            </w:r>
          </w:p>
        </w:tc>
      </w:tr>
      <w:tr w:rsidR="000127EB" w:rsidRPr="005727DB" w:rsidTr="003F2759">
        <w:trPr>
          <w:trHeight w:val="900"/>
        </w:trPr>
        <w:tc>
          <w:tcPr>
            <w:tcW w:w="3070" w:type="dxa"/>
            <w:tcBorders>
              <w:top w:val="single" w:sz="8" w:space="0" w:color="auto"/>
              <w:left w:val="single" w:sz="4" w:space="0" w:color="auto"/>
            </w:tcBorders>
          </w:tcPr>
          <w:p w:rsidR="000127EB" w:rsidRPr="002F367B" w:rsidRDefault="0033290F" w:rsidP="003F2759">
            <w:pPr>
              <w:spacing w:line="276" w:lineRule="auto"/>
              <w:rPr>
                <w:rFonts w:cs="Calibri"/>
                <w:sz w:val="20"/>
                <w:szCs w:val="20"/>
              </w:rPr>
            </w:pPr>
            <w:r w:rsidRPr="0033290F">
              <w:rPr>
                <w:rFonts w:cs="Calibri"/>
                <w:sz w:val="20"/>
                <w:szCs w:val="20"/>
              </w:rPr>
              <w:t>Tematický cíl 6: Ochrana životního prostředí a podpora účinného využívání zdrojů</w:t>
            </w:r>
          </w:p>
        </w:tc>
        <w:tc>
          <w:tcPr>
            <w:tcW w:w="3559" w:type="dxa"/>
          </w:tcPr>
          <w:p w:rsidR="000127EB" w:rsidRPr="002F367B" w:rsidRDefault="0033290F" w:rsidP="003F2759">
            <w:pPr>
              <w:spacing w:line="276" w:lineRule="auto"/>
              <w:rPr>
                <w:rStyle w:val="Zdraznnintenzivn"/>
                <w:rFonts w:cstheme="minorHAnsi"/>
                <w:b w:val="0"/>
                <w:i w:val="0"/>
                <w:color w:val="auto"/>
                <w:sz w:val="20"/>
                <w:szCs w:val="20"/>
              </w:rPr>
            </w:pPr>
            <w:r w:rsidRPr="0033290F">
              <w:rPr>
                <w:sz w:val="20"/>
                <w:szCs w:val="20"/>
              </w:rPr>
              <w:t xml:space="preserve">Zachování a ochrana životního prostředí a podporování účinného využívání zdrojů investicemi do odpadového hospodářství s cílem plnit požadavky </w:t>
            </w:r>
            <w:proofErr w:type="spellStart"/>
            <w:r w:rsidRPr="0033290F">
              <w:rPr>
                <w:i/>
                <w:sz w:val="20"/>
                <w:szCs w:val="20"/>
              </w:rPr>
              <w:t>acquis</w:t>
            </w:r>
            <w:proofErr w:type="spellEnd"/>
            <w:r w:rsidRPr="0033290F">
              <w:rPr>
                <w:sz w:val="20"/>
                <w:szCs w:val="20"/>
              </w:rPr>
              <w:t xml:space="preserve"> Unie v oblasti životního prostředí a řešením potřeb investic, které podle zjištění členských států přesahují rámec těchto požadavků (Dle Nařízení Evropského Parlamentu a Rady č. 1301/2013, čl. 5 odst. 6 písm. a))</w:t>
            </w:r>
          </w:p>
        </w:tc>
        <w:tc>
          <w:tcPr>
            <w:tcW w:w="7513" w:type="dxa"/>
            <w:tcBorders>
              <w:top w:val="single" w:sz="8" w:space="0" w:color="auto"/>
              <w:right w:val="single" w:sz="4" w:space="0" w:color="auto"/>
            </w:tcBorders>
          </w:tcPr>
          <w:p w:rsidR="000127EB" w:rsidRPr="002F367B" w:rsidRDefault="0033290F" w:rsidP="00495FC1">
            <w:pPr>
              <w:pStyle w:val="Odstavecseseznamem"/>
              <w:numPr>
                <w:ilvl w:val="0"/>
                <w:numId w:val="85"/>
              </w:numPr>
              <w:spacing w:after="0" w:afterAutospacing="0" w:line="276" w:lineRule="auto"/>
              <w:ind w:left="357" w:hanging="357"/>
              <w:rPr>
                <w:rFonts w:cs="Times New Roman"/>
                <w:sz w:val="20"/>
                <w:szCs w:val="20"/>
              </w:rPr>
            </w:pPr>
            <w:r w:rsidRPr="0033290F">
              <w:rPr>
                <w:rFonts w:cs="Times New Roman"/>
                <w:sz w:val="20"/>
                <w:szCs w:val="20"/>
              </w:rPr>
              <w:t>Strategie Evropa 2020</w:t>
            </w:r>
          </w:p>
          <w:p w:rsidR="000127EB" w:rsidRPr="002F367B" w:rsidRDefault="0033290F" w:rsidP="00495FC1">
            <w:pPr>
              <w:pStyle w:val="Odstavecseseznamem"/>
              <w:numPr>
                <w:ilvl w:val="0"/>
                <w:numId w:val="85"/>
              </w:numPr>
              <w:spacing w:after="0" w:afterAutospacing="0" w:line="276" w:lineRule="auto"/>
              <w:ind w:left="357" w:hanging="357"/>
              <w:rPr>
                <w:rFonts w:cs="Times New Roman"/>
                <w:sz w:val="20"/>
                <w:szCs w:val="20"/>
              </w:rPr>
            </w:pPr>
            <w:r w:rsidRPr="0033290F">
              <w:rPr>
                <w:rFonts w:cs="Times New Roman"/>
                <w:sz w:val="20"/>
                <w:szCs w:val="20"/>
              </w:rPr>
              <w:t xml:space="preserve">7. akční program EU v oblasti životního prostředí </w:t>
            </w:r>
          </w:p>
          <w:p w:rsidR="000127EB" w:rsidRPr="002F367B" w:rsidRDefault="0033290F" w:rsidP="00495FC1">
            <w:pPr>
              <w:pStyle w:val="Odstavecseseznamem"/>
              <w:numPr>
                <w:ilvl w:val="0"/>
                <w:numId w:val="85"/>
              </w:numPr>
              <w:spacing w:after="0" w:afterAutospacing="0" w:line="276" w:lineRule="auto"/>
              <w:ind w:left="357" w:hanging="357"/>
              <w:rPr>
                <w:rFonts w:cs="Times New Roman"/>
                <w:sz w:val="20"/>
                <w:szCs w:val="20"/>
              </w:rPr>
            </w:pPr>
            <w:r w:rsidRPr="0033290F">
              <w:rPr>
                <w:rFonts w:cs="Times New Roman"/>
                <w:sz w:val="20"/>
                <w:szCs w:val="20"/>
              </w:rPr>
              <w:t>Plán pro Evropu účinněji využívající zdroje</w:t>
            </w:r>
          </w:p>
          <w:p w:rsidR="000127EB" w:rsidRPr="002F367B" w:rsidRDefault="0033290F" w:rsidP="00495FC1">
            <w:pPr>
              <w:pStyle w:val="Odstavecseseznamem"/>
              <w:numPr>
                <w:ilvl w:val="0"/>
                <w:numId w:val="85"/>
              </w:numPr>
              <w:spacing w:after="0" w:afterAutospacing="0" w:line="276" w:lineRule="auto"/>
              <w:ind w:left="357" w:hanging="357"/>
              <w:rPr>
                <w:rFonts w:cs="Times New Roman"/>
                <w:sz w:val="20"/>
                <w:szCs w:val="20"/>
              </w:rPr>
            </w:pPr>
            <w:r w:rsidRPr="0033290F">
              <w:rPr>
                <w:rFonts w:cs="Times New Roman"/>
                <w:sz w:val="20"/>
                <w:szCs w:val="20"/>
              </w:rPr>
              <w:t>Směrnice EU k odpadům</w:t>
            </w:r>
          </w:p>
          <w:p w:rsidR="000127EB" w:rsidRPr="002F367B" w:rsidRDefault="0033290F" w:rsidP="00495FC1">
            <w:pPr>
              <w:pStyle w:val="Odstavecseseznamem"/>
              <w:numPr>
                <w:ilvl w:val="0"/>
                <w:numId w:val="85"/>
              </w:numPr>
              <w:spacing w:after="0" w:afterAutospacing="0" w:line="276" w:lineRule="auto"/>
              <w:ind w:left="357" w:hanging="357"/>
              <w:rPr>
                <w:rFonts w:cs="Times New Roman"/>
                <w:sz w:val="20"/>
                <w:szCs w:val="20"/>
              </w:rPr>
            </w:pPr>
            <w:r w:rsidRPr="0033290F">
              <w:rPr>
                <w:rFonts w:cs="Times New Roman"/>
                <w:sz w:val="20"/>
                <w:szCs w:val="20"/>
              </w:rPr>
              <w:t>Strategický rámec udržitelného rozvoje ČR</w:t>
            </w:r>
          </w:p>
          <w:p w:rsidR="000127EB" w:rsidRPr="002F367B" w:rsidRDefault="0033290F" w:rsidP="00495FC1">
            <w:pPr>
              <w:pStyle w:val="Odstavecseseznamem"/>
              <w:numPr>
                <w:ilvl w:val="0"/>
                <w:numId w:val="85"/>
              </w:numPr>
              <w:spacing w:after="0" w:afterAutospacing="0" w:line="276" w:lineRule="auto"/>
              <w:ind w:left="357" w:hanging="357"/>
              <w:rPr>
                <w:rFonts w:cs="Times New Roman"/>
                <w:sz w:val="20"/>
                <w:szCs w:val="20"/>
              </w:rPr>
            </w:pPr>
            <w:r w:rsidRPr="0033290F">
              <w:rPr>
                <w:rFonts w:cs="Calibri"/>
                <w:bCs/>
                <w:iCs/>
                <w:sz w:val="20"/>
                <w:szCs w:val="20"/>
              </w:rPr>
              <w:t>Státní politika životního prostředí ČR 2012 – 2020 a její prioritní oblasti:</w:t>
            </w:r>
          </w:p>
          <w:p w:rsidR="000127EB" w:rsidRPr="002F367B" w:rsidRDefault="0033290F" w:rsidP="003F2759">
            <w:pPr>
              <w:spacing w:after="0" w:afterAutospacing="0" w:line="276" w:lineRule="auto"/>
              <w:ind w:left="708"/>
              <w:contextualSpacing/>
              <w:rPr>
                <w:rFonts w:cs="Times New Roman"/>
                <w:sz w:val="20"/>
                <w:szCs w:val="20"/>
              </w:rPr>
            </w:pPr>
            <w:r w:rsidRPr="0033290F">
              <w:rPr>
                <w:rFonts w:cs="Times New Roman"/>
                <w:sz w:val="20"/>
                <w:szCs w:val="20"/>
              </w:rPr>
              <w:t>1.2 Předcházení vzniku odpadů, zajištění jejich maximálního využití</w:t>
            </w:r>
          </w:p>
          <w:p w:rsidR="000127EB" w:rsidRPr="002F367B" w:rsidRDefault="0033290F" w:rsidP="003F2759">
            <w:pPr>
              <w:spacing w:after="0" w:afterAutospacing="0" w:line="276" w:lineRule="auto"/>
              <w:ind w:left="708"/>
              <w:contextualSpacing/>
              <w:rPr>
                <w:rFonts w:cs="Times New Roman"/>
                <w:sz w:val="20"/>
                <w:szCs w:val="20"/>
              </w:rPr>
            </w:pPr>
            <w:r w:rsidRPr="0033290F">
              <w:rPr>
                <w:rFonts w:cs="Times New Roman"/>
                <w:sz w:val="20"/>
                <w:szCs w:val="20"/>
              </w:rPr>
              <w:t xml:space="preserve">      a omezování jejich negativního vlivu na životní prostředí. Podpora</w:t>
            </w:r>
          </w:p>
          <w:p w:rsidR="000127EB" w:rsidRPr="002F367B" w:rsidRDefault="0033290F" w:rsidP="003F2759">
            <w:pPr>
              <w:spacing w:after="0" w:afterAutospacing="0" w:line="276" w:lineRule="auto"/>
              <w:ind w:left="708"/>
              <w:contextualSpacing/>
              <w:rPr>
                <w:rFonts w:cs="Times New Roman"/>
                <w:sz w:val="20"/>
                <w:szCs w:val="20"/>
              </w:rPr>
            </w:pPr>
            <w:r w:rsidRPr="0033290F">
              <w:rPr>
                <w:rFonts w:cs="Times New Roman"/>
                <w:sz w:val="20"/>
                <w:szCs w:val="20"/>
              </w:rPr>
              <w:t xml:space="preserve">      využívání odpadů jako náhrady přírodních zdrojů</w:t>
            </w:r>
          </w:p>
          <w:p w:rsidR="000127EB" w:rsidRPr="002F367B" w:rsidRDefault="0033290F" w:rsidP="00495FC1">
            <w:pPr>
              <w:numPr>
                <w:ilvl w:val="0"/>
                <w:numId w:val="86"/>
              </w:numPr>
              <w:spacing w:after="0" w:afterAutospacing="0" w:line="276" w:lineRule="auto"/>
              <w:contextualSpacing/>
              <w:rPr>
                <w:rFonts w:cs="Calibri"/>
                <w:bCs/>
                <w:iCs/>
                <w:sz w:val="20"/>
                <w:szCs w:val="20"/>
              </w:rPr>
            </w:pPr>
            <w:r w:rsidRPr="0033290F">
              <w:rPr>
                <w:rFonts w:cs="Calibri"/>
                <w:bCs/>
                <w:iCs/>
                <w:sz w:val="20"/>
                <w:szCs w:val="20"/>
              </w:rPr>
              <w:t>Plán odpadového hospodářství ČR</w:t>
            </w:r>
          </w:p>
          <w:p w:rsidR="000127EB" w:rsidRPr="002F367B" w:rsidRDefault="0033290F" w:rsidP="00495FC1">
            <w:pPr>
              <w:numPr>
                <w:ilvl w:val="0"/>
                <w:numId w:val="86"/>
              </w:numPr>
              <w:spacing w:after="0" w:afterAutospacing="0" w:line="276" w:lineRule="auto"/>
              <w:contextualSpacing/>
              <w:rPr>
                <w:rFonts w:cs="Calibri"/>
                <w:bCs/>
                <w:iCs/>
                <w:sz w:val="20"/>
                <w:szCs w:val="20"/>
              </w:rPr>
            </w:pPr>
            <w:r w:rsidRPr="0033290F">
              <w:rPr>
                <w:rFonts w:cs="Calibri"/>
                <w:bCs/>
                <w:iCs/>
                <w:sz w:val="20"/>
                <w:szCs w:val="20"/>
              </w:rPr>
              <w:t>Program předcházení vzniku odpadů ČR</w:t>
            </w:r>
          </w:p>
          <w:p w:rsidR="000127EB" w:rsidRPr="002F367B" w:rsidRDefault="000127EB" w:rsidP="003F2759">
            <w:pPr>
              <w:spacing w:after="0" w:afterAutospacing="0" w:line="276" w:lineRule="auto"/>
              <w:ind w:left="360"/>
              <w:contextualSpacing/>
              <w:rPr>
                <w:rFonts w:cs="Calibri"/>
                <w:bCs/>
                <w:iCs/>
                <w:sz w:val="20"/>
                <w:szCs w:val="20"/>
              </w:rPr>
            </w:pPr>
          </w:p>
          <w:p w:rsidR="000127EB" w:rsidRPr="002F367B" w:rsidRDefault="0033290F" w:rsidP="003F2759">
            <w:pPr>
              <w:spacing w:after="0" w:afterAutospacing="0" w:line="276" w:lineRule="auto"/>
              <w:contextualSpacing/>
              <w:rPr>
                <w:rFonts w:cs="Times New Roman"/>
                <w:sz w:val="20"/>
                <w:szCs w:val="20"/>
                <w:u w:val="single"/>
              </w:rPr>
            </w:pPr>
            <w:r w:rsidRPr="0033290F">
              <w:rPr>
                <w:rFonts w:cs="Times New Roman"/>
                <w:sz w:val="20"/>
                <w:szCs w:val="20"/>
                <w:u w:val="single"/>
              </w:rPr>
              <w:t>Obecné zdůvodnění:</w:t>
            </w:r>
          </w:p>
          <w:p w:rsidR="000127EB" w:rsidRPr="002F367B" w:rsidRDefault="0033290F" w:rsidP="00495FC1">
            <w:pPr>
              <w:pStyle w:val="Odstavecseseznamem"/>
              <w:numPr>
                <w:ilvl w:val="0"/>
                <w:numId w:val="95"/>
              </w:numPr>
              <w:spacing w:after="0" w:afterAutospacing="0" w:line="276" w:lineRule="auto"/>
              <w:rPr>
                <w:rFonts w:cs="Times New Roman"/>
                <w:sz w:val="20"/>
                <w:szCs w:val="20"/>
              </w:rPr>
            </w:pPr>
            <w:r w:rsidRPr="0033290F">
              <w:rPr>
                <w:rFonts w:cs="Times New Roman"/>
                <w:sz w:val="20"/>
                <w:szCs w:val="20"/>
              </w:rPr>
              <w:t>Nedostatečné věnování se předcházení vzniku odpadů</w:t>
            </w:r>
          </w:p>
          <w:p w:rsidR="000127EB" w:rsidRPr="002F367B" w:rsidRDefault="0033290F" w:rsidP="00495FC1">
            <w:pPr>
              <w:pStyle w:val="Odstavecseseznamem"/>
              <w:numPr>
                <w:ilvl w:val="0"/>
                <w:numId w:val="95"/>
              </w:numPr>
              <w:spacing w:after="0" w:afterAutospacing="0" w:line="276" w:lineRule="auto"/>
              <w:rPr>
                <w:rFonts w:cs="Times New Roman"/>
                <w:sz w:val="20"/>
                <w:szCs w:val="20"/>
              </w:rPr>
            </w:pPr>
            <w:r w:rsidRPr="0033290F">
              <w:rPr>
                <w:rFonts w:cs="Times New Roman"/>
                <w:sz w:val="20"/>
                <w:szCs w:val="20"/>
              </w:rPr>
              <w:t xml:space="preserve">Nedostatečné kapacity zařízení pro využití odpadů </w:t>
            </w:r>
          </w:p>
          <w:p w:rsidR="000127EB" w:rsidRPr="002F367B" w:rsidRDefault="0033290F" w:rsidP="00495FC1">
            <w:pPr>
              <w:pStyle w:val="Odstavecseseznamem"/>
              <w:numPr>
                <w:ilvl w:val="0"/>
                <w:numId w:val="95"/>
              </w:numPr>
              <w:spacing w:after="0" w:afterAutospacing="0" w:line="276" w:lineRule="auto"/>
              <w:rPr>
                <w:rFonts w:cs="Times New Roman"/>
                <w:sz w:val="20"/>
                <w:szCs w:val="20"/>
              </w:rPr>
            </w:pPr>
            <w:r w:rsidRPr="0033290F">
              <w:rPr>
                <w:rFonts w:cs="Times New Roman"/>
                <w:sz w:val="20"/>
                <w:szCs w:val="20"/>
              </w:rPr>
              <w:t>Nedostatečné kapacity pro energetické využití zbytkového směsného komunálního odpadu</w:t>
            </w:r>
          </w:p>
          <w:p w:rsidR="000127EB" w:rsidRPr="002F367B" w:rsidRDefault="0033290F" w:rsidP="00495FC1">
            <w:pPr>
              <w:pStyle w:val="Odstavecseseznamem"/>
              <w:numPr>
                <w:ilvl w:val="0"/>
                <w:numId w:val="95"/>
              </w:numPr>
              <w:spacing w:after="0" w:afterAutospacing="0" w:line="276" w:lineRule="auto"/>
              <w:rPr>
                <w:rFonts w:cs="Times New Roman"/>
                <w:sz w:val="20"/>
                <w:szCs w:val="20"/>
              </w:rPr>
            </w:pPr>
            <w:r w:rsidRPr="0033290F">
              <w:rPr>
                <w:rFonts w:cs="Times New Roman"/>
                <w:sz w:val="20"/>
                <w:szCs w:val="20"/>
              </w:rPr>
              <w:t>Nedostatečná kapacity zařízení pro zpracování a likvidaci nebezpečného odpadu</w:t>
            </w:r>
          </w:p>
          <w:p w:rsidR="000127EB" w:rsidRPr="002F367B" w:rsidRDefault="0033290F" w:rsidP="00495FC1">
            <w:pPr>
              <w:pStyle w:val="Odstavecseseznamem"/>
              <w:numPr>
                <w:ilvl w:val="0"/>
                <w:numId w:val="95"/>
              </w:numPr>
              <w:spacing w:after="0" w:afterAutospacing="0" w:line="276" w:lineRule="auto"/>
              <w:rPr>
                <w:rFonts w:cs="Times New Roman"/>
                <w:sz w:val="20"/>
                <w:szCs w:val="20"/>
              </w:rPr>
            </w:pPr>
            <w:r w:rsidRPr="0033290F">
              <w:rPr>
                <w:rFonts w:cs="Times New Roman"/>
                <w:sz w:val="20"/>
                <w:szCs w:val="20"/>
              </w:rPr>
              <w:t xml:space="preserve">Stále výrazný výskyt starých a nepovolených skládek </w:t>
            </w:r>
          </w:p>
          <w:p w:rsidR="00674BC9" w:rsidRDefault="0033290F" w:rsidP="00495FC1">
            <w:pPr>
              <w:pStyle w:val="Odstavecseseznamem"/>
              <w:numPr>
                <w:ilvl w:val="0"/>
                <w:numId w:val="95"/>
              </w:numPr>
              <w:spacing w:after="0" w:afterAutospacing="0"/>
              <w:rPr>
                <w:rFonts w:cs="Times New Roman"/>
                <w:sz w:val="20"/>
                <w:szCs w:val="20"/>
              </w:rPr>
            </w:pPr>
            <w:r w:rsidRPr="0033290F">
              <w:rPr>
                <w:rFonts w:cs="Times New Roman"/>
                <w:sz w:val="20"/>
                <w:szCs w:val="20"/>
              </w:rPr>
              <w:t>Omezení negativních dopadů nebezpečných odpadů na lidské zdraví</w:t>
            </w:r>
          </w:p>
        </w:tc>
      </w:tr>
      <w:tr w:rsidR="000127EB" w:rsidRPr="005727DB" w:rsidTr="00BB77D0">
        <w:trPr>
          <w:trHeight w:val="693"/>
        </w:trPr>
        <w:tc>
          <w:tcPr>
            <w:tcW w:w="3070" w:type="dxa"/>
            <w:tcBorders>
              <w:left w:val="single" w:sz="4" w:space="0" w:color="auto"/>
              <w:bottom w:val="single" w:sz="4" w:space="0" w:color="auto"/>
            </w:tcBorders>
          </w:tcPr>
          <w:p w:rsidR="000127EB" w:rsidRPr="002F367B" w:rsidRDefault="0033290F" w:rsidP="003F2759">
            <w:pPr>
              <w:spacing w:line="276" w:lineRule="auto"/>
              <w:rPr>
                <w:rFonts w:cs="Calibri"/>
                <w:sz w:val="20"/>
                <w:szCs w:val="20"/>
              </w:rPr>
            </w:pPr>
            <w:r w:rsidRPr="0033290F">
              <w:rPr>
                <w:rFonts w:cs="Calibri"/>
                <w:sz w:val="20"/>
                <w:szCs w:val="20"/>
              </w:rPr>
              <w:lastRenderedPageBreak/>
              <w:t>Tematický cíl 6: Ochrana životního prostředí a podpora účinného využívání zdrojů</w:t>
            </w:r>
          </w:p>
        </w:tc>
        <w:tc>
          <w:tcPr>
            <w:tcW w:w="3559" w:type="dxa"/>
            <w:tcBorders>
              <w:bottom w:val="single" w:sz="4" w:space="0" w:color="auto"/>
            </w:tcBorders>
          </w:tcPr>
          <w:p w:rsidR="000127EB" w:rsidRPr="002F367B" w:rsidRDefault="0033290F" w:rsidP="003F2759">
            <w:pPr>
              <w:spacing w:line="276" w:lineRule="auto"/>
              <w:rPr>
                <w:rStyle w:val="Zdraznnintenzivn"/>
                <w:rFonts w:cstheme="minorHAnsi"/>
                <w:b w:val="0"/>
                <w:i w:val="0"/>
                <w:color w:val="auto"/>
                <w:sz w:val="20"/>
                <w:szCs w:val="20"/>
              </w:rPr>
            </w:pPr>
            <w:r w:rsidRPr="0033290F">
              <w:rPr>
                <w:sz w:val="20"/>
                <w:szCs w:val="20"/>
              </w:rPr>
              <w:t>Zachování a ochrana životního prostředí a podporování účinného využívání zdrojů ochranou a obnovou biologické rozmanitosti a půdy a podporou ekosystémových služeb, včetně prostřednictvím sítě NATURA 2000 a ekologických infrastruktur (Dle Nařízení Evropského Parlamentu a Rady č. 1301/2013, čl. 5 odst. 6 písm. d))</w:t>
            </w:r>
          </w:p>
        </w:tc>
        <w:tc>
          <w:tcPr>
            <w:tcW w:w="7513" w:type="dxa"/>
            <w:tcBorders>
              <w:bottom w:val="single" w:sz="4" w:space="0" w:color="auto"/>
              <w:right w:val="single" w:sz="4" w:space="0" w:color="auto"/>
            </w:tcBorders>
          </w:tcPr>
          <w:p w:rsidR="000127EB" w:rsidRPr="002F367B" w:rsidRDefault="0033290F" w:rsidP="00495FC1">
            <w:pPr>
              <w:numPr>
                <w:ilvl w:val="0"/>
                <w:numId w:val="87"/>
              </w:numPr>
              <w:spacing w:after="0" w:afterAutospacing="0" w:line="276" w:lineRule="auto"/>
              <w:contextualSpacing/>
              <w:rPr>
                <w:rFonts w:cs="Times New Roman"/>
                <w:sz w:val="20"/>
                <w:szCs w:val="20"/>
              </w:rPr>
            </w:pPr>
            <w:r w:rsidRPr="0033290F">
              <w:rPr>
                <w:rFonts w:cs="Times New Roman"/>
                <w:sz w:val="20"/>
                <w:szCs w:val="20"/>
              </w:rPr>
              <w:t>Strategie Evropa 2020</w:t>
            </w:r>
          </w:p>
          <w:p w:rsidR="000127EB" w:rsidRPr="002F367B" w:rsidRDefault="0033290F" w:rsidP="00495FC1">
            <w:pPr>
              <w:pStyle w:val="Odstavecseseznamem"/>
              <w:numPr>
                <w:ilvl w:val="0"/>
                <w:numId w:val="87"/>
              </w:numPr>
              <w:spacing w:after="0" w:afterAutospacing="0" w:line="276" w:lineRule="auto"/>
              <w:rPr>
                <w:rFonts w:cs="Times New Roman"/>
                <w:sz w:val="20"/>
                <w:szCs w:val="20"/>
              </w:rPr>
            </w:pPr>
            <w:r w:rsidRPr="0033290F">
              <w:rPr>
                <w:rFonts w:cs="Times New Roman"/>
                <w:sz w:val="20"/>
                <w:szCs w:val="20"/>
              </w:rPr>
              <w:t xml:space="preserve">7. akční program EU v oblasti životního prostředí </w:t>
            </w:r>
          </w:p>
          <w:p w:rsidR="000127EB" w:rsidRPr="002F367B" w:rsidRDefault="0033290F" w:rsidP="00495FC1">
            <w:pPr>
              <w:numPr>
                <w:ilvl w:val="0"/>
                <w:numId w:val="87"/>
              </w:numPr>
              <w:spacing w:after="0" w:afterAutospacing="0" w:line="276" w:lineRule="auto"/>
              <w:contextualSpacing/>
              <w:rPr>
                <w:rFonts w:cs="Times New Roman"/>
                <w:sz w:val="20"/>
                <w:szCs w:val="20"/>
              </w:rPr>
            </w:pPr>
            <w:r w:rsidRPr="0033290F">
              <w:rPr>
                <w:rFonts w:cs="Times New Roman"/>
                <w:sz w:val="20"/>
                <w:szCs w:val="20"/>
              </w:rPr>
              <w:t>Rámcová směrnice o vodní politice</w:t>
            </w:r>
          </w:p>
          <w:p w:rsidR="000127EB" w:rsidRPr="002F367B" w:rsidRDefault="0033290F" w:rsidP="00495FC1">
            <w:pPr>
              <w:numPr>
                <w:ilvl w:val="0"/>
                <w:numId w:val="87"/>
              </w:numPr>
              <w:spacing w:after="0" w:afterAutospacing="0" w:line="276" w:lineRule="auto"/>
              <w:contextualSpacing/>
              <w:rPr>
                <w:rFonts w:cs="Times New Roman"/>
                <w:sz w:val="20"/>
                <w:szCs w:val="20"/>
              </w:rPr>
            </w:pPr>
            <w:r w:rsidRPr="0033290F">
              <w:rPr>
                <w:rFonts w:cs="Times New Roman"/>
                <w:sz w:val="20"/>
                <w:szCs w:val="20"/>
              </w:rPr>
              <w:t xml:space="preserve">Strategie EU v oblasti biologické rozmanitosti </w:t>
            </w:r>
          </w:p>
          <w:p w:rsidR="000127EB" w:rsidRPr="002F367B" w:rsidRDefault="0033290F" w:rsidP="00495FC1">
            <w:pPr>
              <w:numPr>
                <w:ilvl w:val="0"/>
                <w:numId w:val="87"/>
              </w:numPr>
              <w:spacing w:after="0" w:afterAutospacing="0" w:line="276" w:lineRule="auto"/>
              <w:contextualSpacing/>
              <w:rPr>
                <w:rFonts w:cs="Times New Roman"/>
                <w:sz w:val="20"/>
                <w:szCs w:val="20"/>
              </w:rPr>
            </w:pPr>
            <w:r w:rsidRPr="0033290F">
              <w:rPr>
                <w:rFonts w:cs="Times New Roman"/>
                <w:sz w:val="20"/>
                <w:szCs w:val="20"/>
              </w:rPr>
              <w:t>Směrnice k ochraně přírody</w:t>
            </w:r>
          </w:p>
          <w:p w:rsidR="000127EB" w:rsidRPr="002F367B" w:rsidRDefault="0033290F" w:rsidP="00495FC1">
            <w:pPr>
              <w:numPr>
                <w:ilvl w:val="0"/>
                <w:numId w:val="87"/>
              </w:numPr>
              <w:spacing w:after="0" w:afterAutospacing="0" w:line="276" w:lineRule="auto"/>
              <w:contextualSpacing/>
              <w:rPr>
                <w:rFonts w:cs="Times New Roman"/>
                <w:sz w:val="20"/>
                <w:szCs w:val="20"/>
              </w:rPr>
            </w:pPr>
            <w:r w:rsidRPr="0033290F">
              <w:rPr>
                <w:rFonts w:cs="Times New Roman"/>
                <w:sz w:val="20"/>
                <w:szCs w:val="20"/>
              </w:rPr>
              <w:t>Strategický rámec udržitelného rozvoje ČR</w:t>
            </w:r>
          </w:p>
          <w:p w:rsidR="000127EB" w:rsidRPr="002F367B" w:rsidRDefault="0033290F" w:rsidP="00495FC1">
            <w:pPr>
              <w:numPr>
                <w:ilvl w:val="0"/>
                <w:numId w:val="87"/>
              </w:numPr>
              <w:spacing w:after="0" w:afterAutospacing="0" w:line="276" w:lineRule="auto"/>
              <w:contextualSpacing/>
              <w:rPr>
                <w:rFonts w:cs="Calibri"/>
                <w:bCs/>
                <w:iCs/>
                <w:sz w:val="20"/>
                <w:szCs w:val="20"/>
              </w:rPr>
            </w:pPr>
            <w:r w:rsidRPr="0033290F">
              <w:rPr>
                <w:rFonts w:cs="Calibri"/>
                <w:bCs/>
                <w:iCs/>
                <w:sz w:val="20"/>
                <w:szCs w:val="20"/>
              </w:rPr>
              <w:t>Státní politika životního prostředí ČR 2012 – 2020a její prioritní oblasti:</w:t>
            </w:r>
          </w:p>
          <w:p w:rsidR="000127EB" w:rsidRPr="002F367B" w:rsidRDefault="0033290F" w:rsidP="003F2759">
            <w:pPr>
              <w:spacing w:after="0" w:afterAutospacing="0" w:line="276" w:lineRule="auto"/>
              <w:ind w:left="708"/>
              <w:contextualSpacing/>
              <w:rPr>
                <w:rFonts w:cs="Times New Roman"/>
                <w:sz w:val="20"/>
                <w:szCs w:val="20"/>
              </w:rPr>
            </w:pPr>
            <w:r w:rsidRPr="0033290F">
              <w:rPr>
                <w:rFonts w:cs="Times New Roman"/>
                <w:sz w:val="20"/>
                <w:szCs w:val="20"/>
              </w:rPr>
              <w:t xml:space="preserve">3.1 Ochrana a posílení ekologických funkcí krajiny </w:t>
            </w:r>
          </w:p>
          <w:p w:rsidR="000127EB" w:rsidRPr="002F367B" w:rsidRDefault="0033290F" w:rsidP="003F2759">
            <w:pPr>
              <w:spacing w:after="0" w:afterAutospacing="0" w:line="276" w:lineRule="auto"/>
              <w:ind w:left="708"/>
              <w:contextualSpacing/>
              <w:rPr>
                <w:rFonts w:cs="Times New Roman"/>
                <w:sz w:val="20"/>
                <w:szCs w:val="20"/>
              </w:rPr>
            </w:pPr>
            <w:r w:rsidRPr="0033290F">
              <w:rPr>
                <w:rFonts w:cs="Times New Roman"/>
                <w:sz w:val="20"/>
                <w:szCs w:val="20"/>
              </w:rPr>
              <w:t xml:space="preserve">3.2 Zachování přírodních a krajinných hodnot </w:t>
            </w:r>
          </w:p>
          <w:p w:rsidR="000127EB" w:rsidRPr="002F367B" w:rsidRDefault="0033290F" w:rsidP="003F2759">
            <w:pPr>
              <w:spacing w:after="0" w:afterAutospacing="0" w:line="276" w:lineRule="auto"/>
              <w:ind w:left="708"/>
              <w:contextualSpacing/>
              <w:rPr>
                <w:rFonts w:cs="Times New Roman"/>
                <w:sz w:val="20"/>
                <w:szCs w:val="20"/>
              </w:rPr>
            </w:pPr>
            <w:r w:rsidRPr="0033290F">
              <w:rPr>
                <w:rFonts w:cs="Times New Roman"/>
                <w:sz w:val="20"/>
                <w:szCs w:val="20"/>
              </w:rPr>
              <w:t>3.3 Zlepšení kvality prostředí v sídlech</w:t>
            </w:r>
          </w:p>
          <w:p w:rsidR="000127EB" w:rsidRPr="002F367B" w:rsidRDefault="0033290F" w:rsidP="00495FC1">
            <w:pPr>
              <w:numPr>
                <w:ilvl w:val="0"/>
                <w:numId w:val="88"/>
              </w:numPr>
              <w:spacing w:after="0" w:afterAutospacing="0" w:line="276" w:lineRule="auto"/>
              <w:contextualSpacing/>
              <w:rPr>
                <w:rFonts w:cs="Calibri"/>
                <w:bCs/>
                <w:iCs/>
                <w:sz w:val="20"/>
                <w:szCs w:val="20"/>
              </w:rPr>
            </w:pPr>
            <w:r w:rsidRPr="0033290F">
              <w:rPr>
                <w:rFonts w:cs="Calibri"/>
                <w:bCs/>
                <w:iCs/>
                <w:sz w:val="20"/>
                <w:szCs w:val="20"/>
              </w:rPr>
              <w:t>Strategie ochrany biologické rozmanitosti ČR Plán odpadového hospodářství</w:t>
            </w:r>
          </w:p>
          <w:p w:rsidR="0037157C" w:rsidRPr="002F367B" w:rsidRDefault="0037157C" w:rsidP="003F2759">
            <w:pPr>
              <w:spacing w:after="0" w:afterAutospacing="0" w:line="276" w:lineRule="auto"/>
              <w:rPr>
                <w:rFonts w:cs="Times New Roman"/>
                <w:sz w:val="20"/>
                <w:szCs w:val="20"/>
                <w:u w:val="single"/>
              </w:rPr>
            </w:pPr>
          </w:p>
          <w:p w:rsidR="000127EB" w:rsidRPr="002F367B" w:rsidRDefault="0033290F" w:rsidP="003F2759">
            <w:pPr>
              <w:spacing w:after="0" w:afterAutospacing="0" w:line="276" w:lineRule="auto"/>
              <w:rPr>
                <w:rFonts w:cs="Times New Roman"/>
                <w:sz w:val="20"/>
                <w:szCs w:val="20"/>
                <w:u w:val="single"/>
              </w:rPr>
            </w:pPr>
            <w:r w:rsidRPr="0033290F">
              <w:rPr>
                <w:rFonts w:cs="Times New Roman"/>
                <w:sz w:val="20"/>
                <w:szCs w:val="20"/>
                <w:u w:val="single"/>
              </w:rPr>
              <w:t>Obecné zdůvodnění:</w:t>
            </w:r>
          </w:p>
          <w:p w:rsidR="000127EB" w:rsidRPr="002F367B" w:rsidRDefault="0033290F" w:rsidP="00495FC1">
            <w:pPr>
              <w:pStyle w:val="Odstavecseseznamem"/>
              <w:numPr>
                <w:ilvl w:val="0"/>
                <w:numId w:val="96"/>
              </w:numPr>
              <w:spacing w:after="0" w:afterAutospacing="0" w:line="276" w:lineRule="auto"/>
              <w:rPr>
                <w:rFonts w:cs="Times New Roman"/>
                <w:sz w:val="20"/>
                <w:szCs w:val="20"/>
              </w:rPr>
            </w:pPr>
            <w:r w:rsidRPr="0033290F">
              <w:rPr>
                <w:rFonts w:cs="Times New Roman"/>
                <w:sz w:val="20"/>
                <w:szCs w:val="20"/>
              </w:rPr>
              <w:t>Nedostatečné zajištění kvalitní ochrany a managementu o ZCHÚ a lokality NATURA 2000</w:t>
            </w:r>
          </w:p>
          <w:p w:rsidR="000127EB" w:rsidRPr="002F367B" w:rsidRDefault="0033290F" w:rsidP="00495FC1">
            <w:pPr>
              <w:pStyle w:val="Odstavecseseznamem"/>
              <w:numPr>
                <w:ilvl w:val="0"/>
                <w:numId w:val="96"/>
              </w:numPr>
              <w:spacing w:after="0" w:afterAutospacing="0" w:line="276" w:lineRule="auto"/>
              <w:rPr>
                <w:rFonts w:cs="Times New Roman"/>
                <w:sz w:val="20"/>
                <w:szCs w:val="20"/>
              </w:rPr>
            </w:pPr>
            <w:r w:rsidRPr="0033290F">
              <w:rPr>
                <w:rFonts w:cs="Times New Roman"/>
                <w:sz w:val="20"/>
                <w:szCs w:val="20"/>
              </w:rPr>
              <w:t>Stále se snižující biodiverzita</w:t>
            </w:r>
          </w:p>
          <w:p w:rsidR="000127EB" w:rsidRPr="002F367B" w:rsidRDefault="0033290F" w:rsidP="00495FC1">
            <w:pPr>
              <w:pStyle w:val="Odstavecseseznamem"/>
              <w:numPr>
                <w:ilvl w:val="0"/>
                <w:numId w:val="96"/>
              </w:numPr>
              <w:spacing w:after="0" w:afterAutospacing="0" w:line="276" w:lineRule="auto"/>
              <w:rPr>
                <w:rFonts w:cs="Times New Roman"/>
                <w:sz w:val="20"/>
                <w:szCs w:val="20"/>
              </w:rPr>
            </w:pPr>
            <w:r w:rsidRPr="0033290F">
              <w:rPr>
                <w:rFonts w:cs="Times New Roman"/>
                <w:sz w:val="20"/>
                <w:szCs w:val="20"/>
              </w:rPr>
              <w:t>Omezení rozsahu rozšíření problematických invazních druhů</w:t>
            </w:r>
          </w:p>
          <w:p w:rsidR="000127EB" w:rsidRPr="002F367B" w:rsidRDefault="0033290F" w:rsidP="00495FC1">
            <w:pPr>
              <w:pStyle w:val="Odstavecseseznamem"/>
              <w:numPr>
                <w:ilvl w:val="0"/>
                <w:numId w:val="96"/>
              </w:numPr>
              <w:spacing w:after="0" w:afterAutospacing="0" w:line="276" w:lineRule="auto"/>
              <w:rPr>
                <w:rFonts w:cs="Times New Roman"/>
                <w:sz w:val="20"/>
                <w:szCs w:val="20"/>
              </w:rPr>
            </w:pPr>
            <w:r w:rsidRPr="0033290F">
              <w:rPr>
                <w:rFonts w:cs="Times New Roman"/>
                <w:sz w:val="20"/>
                <w:szCs w:val="20"/>
              </w:rPr>
              <w:t>Zajištění prostupnosti krajiny pro živočichy</w:t>
            </w:r>
          </w:p>
          <w:p w:rsidR="000127EB" w:rsidRPr="002F367B" w:rsidRDefault="0033290F" w:rsidP="00495FC1">
            <w:pPr>
              <w:pStyle w:val="Odstavecseseznamem"/>
              <w:numPr>
                <w:ilvl w:val="0"/>
                <w:numId w:val="96"/>
              </w:numPr>
              <w:spacing w:after="0" w:afterAutospacing="0" w:line="276" w:lineRule="auto"/>
              <w:rPr>
                <w:rFonts w:cs="Times New Roman"/>
                <w:sz w:val="20"/>
                <w:szCs w:val="20"/>
              </w:rPr>
            </w:pPr>
            <w:r w:rsidRPr="0033290F">
              <w:rPr>
                <w:rFonts w:cs="Times New Roman"/>
                <w:sz w:val="20"/>
                <w:szCs w:val="20"/>
              </w:rPr>
              <w:t>Snižující se retenční schopnost krajiny</w:t>
            </w:r>
          </w:p>
          <w:p w:rsidR="000127EB" w:rsidRPr="002F367B" w:rsidRDefault="0033290F" w:rsidP="00495FC1">
            <w:pPr>
              <w:pStyle w:val="Odstavecseseznamem"/>
              <w:numPr>
                <w:ilvl w:val="0"/>
                <w:numId w:val="96"/>
              </w:numPr>
              <w:spacing w:after="0" w:afterAutospacing="0" w:line="276" w:lineRule="auto"/>
              <w:rPr>
                <w:rFonts w:cs="Times New Roman"/>
                <w:sz w:val="20"/>
                <w:szCs w:val="20"/>
              </w:rPr>
            </w:pPr>
            <w:r w:rsidRPr="0033290F">
              <w:rPr>
                <w:rFonts w:cs="Times New Roman"/>
                <w:sz w:val="20"/>
                <w:szCs w:val="20"/>
              </w:rPr>
              <w:t>Zvyšující se plocha území ohrožená větrnou i vodní erozí</w:t>
            </w:r>
          </w:p>
          <w:p w:rsidR="000127EB" w:rsidRPr="002F367B" w:rsidRDefault="0033290F" w:rsidP="00495FC1">
            <w:pPr>
              <w:pStyle w:val="Odstavecseseznamem"/>
              <w:numPr>
                <w:ilvl w:val="0"/>
                <w:numId w:val="96"/>
              </w:numPr>
              <w:spacing w:after="0" w:afterAutospacing="0" w:line="276" w:lineRule="auto"/>
              <w:rPr>
                <w:rStyle w:val="Zdraznnintenzivn"/>
                <w:rFonts w:cstheme="minorHAnsi"/>
                <w:b w:val="0"/>
                <w:i w:val="0"/>
                <w:color w:val="auto"/>
                <w:sz w:val="20"/>
                <w:szCs w:val="20"/>
              </w:rPr>
            </w:pPr>
            <w:r w:rsidRPr="0033290F">
              <w:rPr>
                <w:rFonts w:cs="Times New Roman"/>
                <w:sz w:val="20"/>
                <w:szCs w:val="20"/>
              </w:rPr>
              <w:lastRenderedPageBreak/>
              <w:t>Snižující se funkční plochy a prvky zeleně v sídlech jako základní oblasti pro kvalitní život obyvatel</w:t>
            </w:r>
          </w:p>
        </w:tc>
      </w:tr>
    </w:tbl>
    <w:p w:rsidR="00FE4C0F" w:rsidRDefault="00FE4C0F" w:rsidP="00B66FDE">
      <w:pPr>
        <w:rPr>
          <w:rFonts w:cs="Arial"/>
          <w:color w:val="000000"/>
          <w:sz w:val="24"/>
          <w:szCs w:val="24"/>
        </w:rPr>
        <w:sectPr w:rsidR="00FE4C0F" w:rsidSect="005727DB">
          <w:pgSz w:w="16838" w:h="11906" w:orient="landscape" w:code="9"/>
          <w:pgMar w:top="1418" w:right="1418" w:bottom="1418" w:left="1418" w:header="709" w:footer="709" w:gutter="0"/>
          <w:cols w:space="708"/>
          <w:docGrid w:linePitch="360"/>
        </w:sectPr>
      </w:pPr>
    </w:p>
    <w:p w:rsidR="003A3EFF" w:rsidRDefault="00CA1F99" w:rsidP="00BA305E">
      <w:pPr>
        <w:pStyle w:val="Nadpis2"/>
      </w:pPr>
      <w:bookmarkStart w:id="2212" w:name="_Toc392150973"/>
      <w:r>
        <w:lastRenderedPageBreak/>
        <w:t xml:space="preserve">Odůvodnění přidělení </w:t>
      </w:r>
      <w:r w:rsidR="0015134E" w:rsidRPr="00D47D28">
        <w:t>finančních</w:t>
      </w:r>
      <w:r w:rsidR="0015134E">
        <w:t xml:space="preserve"> </w:t>
      </w:r>
      <w:r>
        <w:t>prostředků</w:t>
      </w:r>
      <w:bookmarkEnd w:id="2212"/>
      <w:r>
        <w:t xml:space="preserve">       </w:t>
      </w:r>
    </w:p>
    <w:p w:rsidR="001C687F" w:rsidRPr="004314F4" w:rsidRDefault="00FB77AC" w:rsidP="00B66FDE">
      <w:r w:rsidRPr="004314F4">
        <w:t>Rozdělení finanční alokace pro OP</w:t>
      </w:r>
      <w:r w:rsidR="00E16955">
        <w:t xml:space="preserve"> </w:t>
      </w:r>
      <w:r w:rsidRPr="004314F4">
        <w:t xml:space="preserve">ŽP </w:t>
      </w:r>
      <w:r w:rsidR="001E17C1" w:rsidRPr="004314F4">
        <w:t>2014-2020</w:t>
      </w:r>
      <w:r w:rsidR="00914968">
        <w:t xml:space="preserve"> </w:t>
      </w:r>
      <w:r w:rsidR="00914968" w:rsidRPr="00023A69">
        <w:t>ve výši 2 </w:t>
      </w:r>
      <w:r w:rsidR="00914968" w:rsidRPr="004940E7">
        <w:t>565 439 018 EUR (příspěvek Fondu soudržnosti a Evropského fondu pro regionální rozvoj)</w:t>
      </w:r>
      <w:r w:rsidRPr="004314F4">
        <w:t xml:space="preserve"> </w:t>
      </w:r>
      <w:r w:rsidR="004F14BC">
        <w:t>je</w:t>
      </w:r>
      <w:r w:rsidR="004F14BC" w:rsidRPr="004314F4">
        <w:t xml:space="preserve"> </w:t>
      </w:r>
      <w:r w:rsidRPr="004314F4">
        <w:t>navrženo s ohledem na výstupy z identifikace potřeb v oblasti životního prostředí, na naplňová</w:t>
      </w:r>
      <w:r w:rsidR="0029003F">
        <w:t>ní cílů Strategie Evropa 2020 a </w:t>
      </w:r>
      <w:r w:rsidRPr="004314F4">
        <w:t>Státní polit</w:t>
      </w:r>
      <w:r w:rsidR="008629D5">
        <w:t>iky životního prostředí ČR 2012-</w:t>
      </w:r>
      <w:r w:rsidRPr="004314F4">
        <w:t>2020</w:t>
      </w:r>
      <w:r w:rsidR="00914968">
        <w:t xml:space="preserve">, </w:t>
      </w:r>
      <w:r w:rsidR="00914968" w:rsidRPr="00023A69">
        <w:t>které jsou obsaženy v jednotlivých prioritních osách, jejich specifických cílech a konkrétních aktivitách</w:t>
      </w:r>
      <w:r w:rsidRPr="004314F4">
        <w:t>.</w:t>
      </w:r>
    </w:p>
    <w:p w:rsidR="00173BA4" w:rsidRDefault="00FB77AC" w:rsidP="00173BA4">
      <w:r w:rsidRPr="004314F4">
        <w:t xml:space="preserve">Současně navržené alokace </w:t>
      </w:r>
      <w:r w:rsidR="000A44CA" w:rsidRPr="004314F4">
        <w:t>odpovída</w:t>
      </w:r>
      <w:r w:rsidR="000A44CA">
        <w:t>jí</w:t>
      </w:r>
      <w:r w:rsidR="000A44CA" w:rsidRPr="004314F4">
        <w:t xml:space="preserve"> </w:t>
      </w:r>
      <w:r w:rsidRPr="004314F4">
        <w:t>doporučení v rámci  „</w:t>
      </w:r>
      <w:proofErr w:type="spellStart"/>
      <w:r w:rsidRPr="004314F4">
        <w:t>Position</w:t>
      </w:r>
      <w:proofErr w:type="spellEnd"/>
      <w:r w:rsidRPr="004314F4">
        <w:t xml:space="preserve"> </w:t>
      </w:r>
      <w:proofErr w:type="spellStart"/>
      <w:r w:rsidRPr="004314F4">
        <w:t>of</w:t>
      </w:r>
      <w:proofErr w:type="spellEnd"/>
      <w:r w:rsidRPr="004314F4">
        <w:t xml:space="preserve"> </w:t>
      </w:r>
      <w:proofErr w:type="spellStart"/>
      <w:r w:rsidRPr="004314F4">
        <w:t>the</w:t>
      </w:r>
      <w:proofErr w:type="spellEnd"/>
      <w:r w:rsidRPr="004314F4">
        <w:t xml:space="preserve"> </w:t>
      </w:r>
      <w:proofErr w:type="spellStart"/>
      <w:r w:rsidRPr="004314F4">
        <w:t>Commission</w:t>
      </w:r>
      <w:proofErr w:type="spellEnd"/>
      <w:r w:rsidRPr="004314F4">
        <w:t xml:space="preserve"> </w:t>
      </w:r>
      <w:proofErr w:type="spellStart"/>
      <w:r w:rsidRPr="004314F4">
        <w:t>Services</w:t>
      </w:r>
      <w:proofErr w:type="spellEnd"/>
      <w:r w:rsidRPr="004314F4">
        <w:t xml:space="preserve"> on </w:t>
      </w:r>
      <w:proofErr w:type="spellStart"/>
      <w:r w:rsidRPr="004314F4">
        <w:t>the</w:t>
      </w:r>
      <w:proofErr w:type="spellEnd"/>
      <w:r w:rsidRPr="004314F4">
        <w:t xml:space="preserve"> </w:t>
      </w:r>
      <w:proofErr w:type="spellStart"/>
      <w:r w:rsidRPr="004314F4">
        <w:t>development</w:t>
      </w:r>
      <w:proofErr w:type="spellEnd"/>
      <w:r w:rsidRPr="004314F4">
        <w:t xml:space="preserve"> </w:t>
      </w:r>
      <w:proofErr w:type="spellStart"/>
      <w:r w:rsidRPr="004314F4">
        <w:t>of</w:t>
      </w:r>
      <w:proofErr w:type="spellEnd"/>
      <w:r w:rsidRPr="004314F4">
        <w:t xml:space="preserve"> </w:t>
      </w:r>
      <w:proofErr w:type="spellStart"/>
      <w:r w:rsidRPr="004314F4">
        <w:t>Partnership</w:t>
      </w:r>
      <w:proofErr w:type="spellEnd"/>
      <w:r w:rsidRPr="004314F4">
        <w:t xml:space="preserve"> </w:t>
      </w:r>
      <w:proofErr w:type="spellStart"/>
      <w:r w:rsidRPr="004314F4">
        <w:t>Agreement</w:t>
      </w:r>
      <w:proofErr w:type="spellEnd"/>
      <w:r w:rsidRPr="004314F4">
        <w:t xml:space="preserve"> and </w:t>
      </w:r>
      <w:proofErr w:type="spellStart"/>
      <w:r w:rsidRPr="004314F4">
        <w:t>programmes</w:t>
      </w:r>
      <w:proofErr w:type="spellEnd"/>
      <w:r w:rsidRPr="004314F4">
        <w:t xml:space="preserve"> in </w:t>
      </w:r>
      <w:proofErr w:type="spellStart"/>
      <w:r w:rsidRPr="004314F4">
        <w:t>the</w:t>
      </w:r>
      <w:proofErr w:type="spellEnd"/>
      <w:r w:rsidRPr="004314F4">
        <w:t xml:space="preserve"> CZECH REPUBLIC </w:t>
      </w:r>
      <w:proofErr w:type="spellStart"/>
      <w:r w:rsidRPr="004314F4">
        <w:t>for</w:t>
      </w:r>
      <w:proofErr w:type="spellEnd"/>
      <w:r w:rsidRPr="004314F4">
        <w:t xml:space="preserve"> </w:t>
      </w:r>
      <w:proofErr w:type="spellStart"/>
      <w:r w:rsidRPr="004314F4">
        <w:t>the</w:t>
      </w:r>
      <w:proofErr w:type="spellEnd"/>
      <w:r w:rsidRPr="004314F4">
        <w:t xml:space="preserve"> period 2014-2020“, </w:t>
      </w:r>
      <w:r w:rsidR="00914968" w:rsidRPr="00023A69">
        <w:t>Národního programu reforem a</w:t>
      </w:r>
      <w:r w:rsidR="0029003F">
        <w:t> </w:t>
      </w:r>
      <w:r w:rsidR="00914968" w:rsidRPr="00023A69">
        <w:t>cíle stanovené v</w:t>
      </w:r>
      <w:r w:rsidR="00914968">
        <w:t> </w:t>
      </w:r>
      <w:r w:rsidR="00D533B6" w:rsidRPr="004314F4">
        <w:t>Dohod</w:t>
      </w:r>
      <w:r w:rsidR="00914968">
        <w:t xml:space="preserve">ě </w:t>
      </w:r>
      <w:r w:rsidR="00D533B6" w:rsidRPr="004314F4">
        <w:t xml:space="preserve">o </w:t>
      </w:r>
      <w:r w:rsidR="00914968">
        <w:t>p</w:t>
      </w:r>
      <w:r w:rsidR="00D533B6" w:rsidRPr="004314F4">
        <w:t>artnerství</w:t>
      </w:r>
      <w:r w:rsidR="007C7469" w:rsidRPr="004314F4">
        <w:t>.</w:t>
      </w:r>
      <w:bookmarkStart w:id="2213" w:name="_Toc384907305"/>
    </w:p>
    <w:p w:rsidR="00914968" w:rsidRPr="00023A69" w:rsidRDefault="00914968" w:rsidP="00914968">
      <w:pPr>
        <w:spacing w:after="120"/>
        <w:rPr>
          <w:rFonts w:cs="Times New Roman"/>
        </w:rPr>
      </w:pPr>
      <w:r w:rsidRPr="00023A69">
        <w:rPr>
          <w:rFonts w:cs="Times New Roman"/>
        </w:rPr>
        <w:t xml:space="preserve">Hlavní rozhodnutí při stanovování alokace na jednotlivé prioritní osy OP ŽP 2014-2020, specifické cíle a aktivity </w:t>
      </w:r>
      <w:r>
        <w:rPr>
          <w:rFonts w:cs="Times New Roman"/>
        </w:rPr>
        <w:t>představovala</w:t>
      </w:r>
      <w:r w:rsidRPr="00023A69">
        <w:rPr>
          <w:rFonts w:cs="Times New Roman"/>
        </w:rPr>
        <w:t xml:space="preserve"> provedená analýza absorpční kapacity operačního programu. Analýza absorpčních kapacit pro jednotlivé prioritní osy, kterou zpracovaly příslušné odborné útvary MŽP, vycházely zejména ze zkušeností z čerpání z </w:t>
      </w:r>
      <w:proofErr w:type="gramStart"/>
      <w:r w:rsidRPr="00023A69">
        <w:rPr>
          <w:rFonts w:cs="Times New Roman"/>
        </w:rPr>
        <w:t>OP</w:t>
      </w:r>
      <w:proofErr w:type="gramEnd"/>
      <w:r w:rsidRPr="00023A69">
        <w:rPr>
          <w:rFonts w:cs="Times New Roman"/>
        </w:rPr>
        <w:t xml:space="preserve"> ŽP 2007-2013, expertních odhadů a relevantních strategických dokumentů dostupných pro daný sektor.</w:t>
      </w:r>
    </w:p>
    <w:p w:rsidR="00914968" w:rsidRDefault="00914968" w:rsidP="00914968">
      <w:pPr>
        <w:pStyle w:val="Standardntext"/>
        <w:spacing w:line="276" w:lineRule="auto"/>
        <w:rPr>
          <w:rFonts w:ascii="Cambria" w:hAnsi="Cambria"/>
          <w:sz w:val="22"/>
          <w:szCs w:val="22"/>
        </w:rPr>
      </w:pPr>
      <w:r>
        <w:rPr>
          <w:rFonts w:ascii="Cambria" w:hAnsi="Cambria"/>
          <w:sz w:val="22"/>
          <w:szCs w:val="22"/>
        </w:rPr>
        <w:t>Prioritní osy 1, 2, 5 a 6 jsou plně spolufinancovány z Fondu soudržnosti. Prioritní osa 3 je spolufinancována jak z Fondu soudržnosti, tak z Evropského fondu pro regionální rozvoj. Prioritní osa 4 je plně spolufinancována z Evropského fondu pro regionální rozvoj.</w:t>
      </w:r>
    </w:p>
    <w:p w:rsidR="00914968" w:rsidRPr="004940E7" w:rsidRDefault="00914968" w:rsidP="00914968">
      <w:pPr>
        <w:pStyle w:val="Standardntext"/>
        <w:spacing w:line="276" w:lineRule="auto"/>
        <w:rPr>
          <w:rFonts w:ascii="Cambria" w:hAnsi="Cambria"/>
          <w:sz w:val="22"/>
          <w:szCs w:val="22"/>
        </w:rPr>
      </w:pPr>
      <w:r w:rsidRPr="004940E7">
        <w:rPr>
          <w:rFonts w:ascii="Cambria" w:hAnsi="Cambria"/>
          <w:sz w:val="22"/>
          <w:szCs w:val="22"/>
        </w:rPr>
        <w:t xml:space="preserve">Pro prioritní osu 1: </w:t>
      </w:r>
      <w:r w:rsidRPr="004940E7">
        <w:rPr>
          <w:rFonts w:ascii="Cambria" w:hAnsi="Cambria"/>
          <w:b/>
          <w:sz w:val="22"/>
          <w:szCs w:val="22"/>
        </w:rPr>
        <w:t>Zlepšování kvality vody a snižování rizika povodní</w:t>
      </w:r>
      <w:r w:rsidRPr="004940E7">
        <w:rPr>
          <w:rFonts w:ascii="Cambria" w:hAnsi="Cambria"/>
          <w:sz w:val="22"/>
          <w:szCs w:val="22"/>
        </w:rPr>
        <w:t xml:space="preserve"> vážící se k</w:t>
      </w:r>
      <w:r w:rsidR="0029003F">
        <w:rPr>
          <w:rFonts w:ascii="Cambria" w:hAnsi="Cambria"/>
          <w:sz w:val="22"/>
          <w:szCs w:val="22"/>
        </w:rPr>
        <w:t> </w:t>
      </w:r>
      <w:r w:rsidRPr="004940E7">
        <w:rPr>
          <w:rFonts w:ascii="Cambria" w:hAnsi="Cambria"/>
          <w:sz w:val="22"/>
          <w:szCs w:val="22"/>
        </w:rPr>
        <w:t xml:space="preserve">tematickému cíli 5: </w:t>
      </w:r>
      <w:r w:rsidRPr="00023A69">
        <w:rPr>
          <w:rFonts w:ascii="Cambria" w:hAnsi="Cambria" w:cstheme="minorHAnsi"/>
          <w:sz w:val="22"/>
          <w:szCs w:val="22"/>
        </w:rPr>
        <w:t>Podpora přizpůsobení se změně klimatu, předcházení rizikům a řízení rizik</w:t>
      </w:r>
      <w:r w:rsidRPr="00023A69">
        <w:rPr>
          <w:rFonts w:ascii="Cambria" w:hAnsi="Cambria"/>
          <w:sz w:val="22"/>
          <w:szCs w:val="22"/>
        </w:rPr>
        <w:t xml:space="preserve"> a tematickému cíli 6: </w:t>
      </w:r>
      <w:r w:rsidRPr="00023A69">
        <w:rPr>
          <w:rFonts w:ascii="Cambria" w:hAnsi="Cambria" w:cstheme="minorHAnsi"/>
          <w:bCs/>
          <w:sz w:val="22"/>
          <w:szCs w:val="22"/>
        </w:rPr>
        <w:t>Ochrana životního prostředí a podpora účinného využívání zdrojů</w:t>
      </w:r>
      <w:r w:rsidRPr="00023A69">
        <w:rPr>
          <w:rFonts w:ascii="Cambria" w:hAnsi="Cambria"/>
          <w:sz w:val="22"/>
          <w:szCs w:val="22"/>
        </w:rPr>
        <w:t xml:space="preserve"> je předpokládána nejvyšší finanční alokace, a to </w:t>
      </w:r>
      <w:r w:rsidRPr="004940E7">
        <w:rPr>
          <w:rFonts w:ascii="Cambria" w:hAnsi="Cambria"/>
          <w:b/>
          <w:sz w:val="22"/>
          <w:szCs w:val="22"/>
        </w:rPr>
        <w:t>2</w:t>
      </w:r>
      <w:r w:rsidR="00D80A4A">
        <w:rPr>
          <w:rFonts w:ascii="Cambria" w:hAnsi="Cambria"/>
          <w:b/>
          <w:sz w:val="22"/>
          <w:szCs w:val="22"/>
        </w:rPr>
        <w:t>8</w:t>
      </w:r>
      <w:r w:rsidR="00E879F0">
        <w:rPr>
          <w:rFonts w:ascii="Cambria" w:hAnsi="Cambria"/>
          <w:b/>
          <w:sz w:val="22"/>
          <w:szCs w:val="22"/>
        </w:rPr>
        <w:t>,00</w:t>
      </w:r>
      <w:r w:rsidRPr="004940E7">
        <w:rPr>
          <w:rFonts w:ascii="Cambria" w:hAnsi="Cambria"/>
          <w:b/>
          <w:sz w:val="22"/>
          <w:szCs w:val="22"/>
        </w:rPr>
        <w:t>%</w:t>
      </w:r>
      <w:r w:rsidRPr="004940E7">
        <w:rPr>
          <w:rFonts w:ascii="Cambria" w:hAnsi="Cambria"/>
          <w:sz w:val="22"/>
          <w:szCs w:val="22"/>
        </w:rPr>
        <w:t xml:space="preserve"> celkové alokace programu. </w:t>
      </w:r>
    </w:p>
    <w:p w:rsidR="00914968" w:rsidRPr="00023A69" w:rsidRDefault="00914968" w:rsidP="00914968">
      <w:pPr>
        <w:pStyle w:val="Standardntext"/>
        <w:spacing w:line="276" w:lineRule="auto"/>
        <w:rPr>
          <w:rFonts w:ascii="Cambria" w:hAnsi="Cambria"/>
          <w:sz w:val="22"/>
          <w:szCs w:val="22"/>
        </w:rPr>
      </w:pPr>
      <w:r w:rsidRPr="003F1EB0">
        <w:rPr>
          <w:rFonts w:ascii="Cambria" w:hAnsi="Cambria"/>
          <w:sz w:val="22"/>
          <w:szCs w:val="22"/>
        </w:rPr>
        <w:t>Pro prioritní osu 2</w:t>
      </w:r>
      <w:r w:rsidRPr="00023A69">
        <w:rPr>
          <w:rFonts w:ascii="Cambria" w:hAnsi="Cambria"/>
          <w:sz w:val="22"/>
          <w:szCs w:val="22"/>
        </w:rPr>
        <w:t xml:space="preserve">: </w:t>
      </w:r>
      <w:r w:rsidRPr="00023A69">
        <w:rPr>
          <w:rFonts w:ascii="Cambria" w:hAnsi="Cambria"/>
          <w:b/>
          <w:sz w:val="22"/>
          <w:szCs w:val="22"/>
        </w:rPr>
        <w:t>Zlepšování kvality ovzduší v lidských sídlech</w:t>
      </w:r>
      <w:r w:rsidRPr="00023A69">
        <w:rPr>
          <w:rFonts w:ascii="Cambria" w:hAnsi="Cambria"/>
          <w:sz w:val="22"/>
          <w:szCs w:val="22"/>
        </w:rPr>
        <w:t xml:space="preserve"> vážící se k tematickému cíli 6: </w:t>
      </w:r>
      <w:r w:rsidRPr="00023A69">
        <w:rPr>
          <w:rFonts w:ascii="Cambria" w:hAnsi="Cambria" w:cstheme="minorHAnsi"/>
          <w:bCs/>
          <w:sz w:val="22"/>
          <w:szCs w:val="22"/>
        </w:rPr>
        <w:t>Ochrana životního prostředí a podpora účinného využívání zdrojů</w:t>
      </w:r>
      <w:r w:rsidRPr="00023A69">
        <w:rPr>
          <w:rFonts w:ascii="Cambria" w:hAnsi="Cambria"/>
          <w:sz w:val="22"/>
          <w:szCs w:val="22"/>
        </w:rPr>
        <w:t xml:space="preserve"> je předpokládána finanční alokace ve výši </w:t>
      </w:r>
      <w:r w:rsidRPr="00023A69">
        <w:rPr>
          <w:rFonts w:ascii="Cambria" w:hAnsi="Cambria"/>
          <w:b/>
          <w:sz w:val="22"/>
          <w:szCs w:val="22"/>
        </w:rPr>
        <w:t>1</w:t>
      </w:r>
      <w:r w:rsidR="00A252BB">
        <w:rPr>
          <w:rFonts w:ascii="Cambria" w:hAnsi="Cambria"/>
          <w:b/>
          <w:sz w:val="22"/>
          <w:szCs w:val="22"/>
        </w:rPr>
        <w:t>7,</w:t>
      </w:r>
      <w:r w:rsidR="004B56F1">
        <w:rPr>
          <w:rFonts w:ascii="Cambria" w:hAnsi="Cambria"/>
          <w:b/>
          <w:sz w:val="22"/>
          <w:szCs w:val="22"/>
        </w:rPr>
        <w:t>69</w:t>
      </w:r>
      <w:r w:rsidR="00A252BB">
        <w:rPr>
          <w:rFonts w:ascii="Cambria" w:hAnsi="Cambria"/>
          <w:b/>
          <w:sz w:val="22"/>
          <w:szCs w:val="22"/>
        </w:rPr>
        <w:t xml:space="preserve"> </w:t>
      </w:r>
      <w:r w:rsidRPr="00023A69">
        <w:rPr>
          <w:rFonts w:ascii="Cambria" w:hAnsi="Cambria"/>
          <w:b/>
          <w:sz w:val="22"/>
          <w:szCs w:val="22"/>
        </w:rPr>
        <w:t>%</w:t>
      </w:r>
      <w:r w:rsidRPr="00023A69">
        <w:rPr>
          <w:rFonts w:ascii="Cambria" w:hAnsi="Cambria"/>
          <w:sz w:val="22"/>
          <w:szCs w:val="22"/>
        </w:rPr>
        <w:t xml:space="preserve"> celkové alokace programu. </w:t>
      </w:r>
    </w:p>
    <w:p w:rsidR="00914968" w:rsidRPr="00023A69" w:rsidRDefault="00914968" w:rsidP="00914968">
      <w:pPr>
        <w:pStyle w:val="Standardntext"/>
        <w:spacing w:line="276" w:lineRule="auto"/>
        <w:rPr>
          <w:rFonts w:ascii="Cambria" w:hAnsi="Cambria"/>
          <w:sz w:val="22"/>
          <w:szCs w:val="22"/>
        </w:rPr>
      </w:pPr>
      <w:r w:rsidRPr="004940E7">
        <w:rPr>
          <w:rFonts w:ascii="Cambria" w:hAnsi="Cambria"/>
          <w:sz w:val="22"/>
          <w:szCs w:val="22"/>
        </w:rPr>
        <w:t>Pro prioritní osu 3</w:t>
      </w:r>
      <w:r w:rsidRPr="00AE309F">
        <w:rPr>
          <w:rFonts w:ascii="Cambria" w:hAnsi="Cambria"/>
          <w:sz w:val="22"/>
          <w:szCs w:val="22"/>
        </w:rPr>
        <w:t xml:space="preserve">: </w:t>
      </w:r>
      <w:r w:rsidRPr="00181EDE">
        <w:rPr>
          <w:rFonts w:ascii="Cambria" w:hAnsi="Cambria"/>
          <w:b/>
          <w:sz w:val="22"/>
          <w:szCs w:val="22"/>
        </w:rPr>
        <w:t>Odpady a materiálové toky</w:t>
      </w:r>
      <w:r w:rsidRPr="003F1EB0">
        <w:rPr>
          <w:rFonts w:ascii="Cambria" w:hAnsi="Cambria"/>
          <w:b/>
          <w:sz w:val="22"/>
          <w:szCs w:val="22"/>
        </w:rPr>
        <w:t>, ekologické zátěže a rizika</w:t>
      </w:r>
      <w:r w:rsidRPr="00023A69">
        <w:rPr>
          <w:rFonts w:ascii="Cambria" w:hAnsi="Cambria"/>
          <w:sz w:val="22"/>
          <w:szCs w:val="22"/>
        </w:rPr>
        <w:t xml:space="preserve"> vážící se k</w:t>
      </w:r>
      <w:r w:rsidR="0029003F">
        <w:rPr>
          <w:rFonts w:ascii="Cambria" w:hAnsi="Cambria"/>
          <w:sz w:val="22"/>
          <w:szCs w:val="22"/>
        </w:rPr>
        <w:t> </w:t>
      </w:r>
      <w:r w:rsidRPr="00023A69">
        <w:rPr>
          <w:rFonts w:ascii="Cambria" w:hAnsi="Cambria"/>
          <w:sz w:val="22"/>
          <w:szCs w:val="22"/>
        </w:rPr>
        <w:t xml:space="preserve">tematickému cíli 5: </w:t>
      </w:r>
      <w:r w:rsidRPr="00023A69">
        <w:rPr>
          <w:rFonts w:ascii="Cambria" w:hAnsi="Cambria" w:cstheme="minorHAnsi"/>
          <w:sz w:val="22"/>
          <w:szCs w:val="22"/>
        </w:rPr>
        <w:t xml:space="preserve">Podpora přizpůsobení se změně klimatu, předcházení rizikům a </w:t>
      </w:r>
      <w:proofErr w:type="spellStart"/>
      <w:r w:rsidRPr="00023A69">
        <w:rPr>
          <w:rFonts w:ascii="Cambria" w:hAnsi="Cambria" w:cstheme="minorHAnsi"/>
          <w:sz w:val="22"/>
          <w:szCs w:val="22"/>
        </w:rPr>
        <w:t>řízenírizik</w:t>
      </w:r>
      <w:proofErr w:type="spellEnd"/>
      <w:r w:rsidRPr="00023A69">
        <w:rPr>
          <w:rFonts w:ascii="Cambria" w:hAnsi="Cambria"/>
          <w:sz w:val="22"/>
          <w:szCs w:val="22"/>
        </w:rPr>
        <w:t xml:space="preserve"> a tematickému cíli 6: </w:t>
      </w:r>
      <w:r w:rsidRPr="00023A69">
        <w:rPr>
          <w:rFonts w:ascii="Cambria" w:hAnsi="Cambria" w:cstheme="minorHAnsi"/>
          <w:bCs/>
          <w:sz w:val="22"/>
          <w:szCs w:val="22"/>
        </w:rPr>
        <w:t>Ochrana životního prostředí a podpora účinného využívání zdrojů</w:t>
      </w:r>
      <w:r w:rsidRPr="00023A69">
        <w:rPr>
          <w:rFonts w:ascii="Cambria" w:hAnsi="Cambria"/>
          <w:sz w:val="22"/>
          <w:szCs w:val="22"/>
        </w:rPr>
        <w:t xml:space="preserve"> je předpokládána alokace ve výši zhruba </w:t>
      </w:r>
      <w:r w:rsidR="0033290F" w:rsidRPr="0033290F">
        <w:rPr>
          <w:rFonts w:ascii="Cambria" w:hAnsi="Cambria"/>
          <w:b/>
          <w:sz w:val="22"/>
          <w:szCs w:val="22"/>
        </w:rPr>
        <w:t>17,88 %</w:t>
      </w:r>
      <w:r w:rsidRPr="00023A69">
        <w:rPr>
          <w:rFonts w:ascii="Cambria" w:hAnsi="Cambria"/>
          <w:sz w:val="22"/>
          <w:szCs w:val="22"/>
        </w:rPr>
        <w:t xml:space="preserve"> celkové alokace programu. </w:t>
      </w:r>
    </w:p>
    <w:p w:rsidR="00914968" w:rsidRPr="004940E7" w:rsidRDefault="00914968" w:rsidP="00914968">
      <w:pPr>
        <w:pStyle w:val="Standardntext"/>
        <w:spacing w:line="276" w:lineRule="auto"/>
        <w:rPr>
          <w:rFonts w:ascii="Cambria" w:hAnsi="Cambria"/>
          <w:sz w:val="22"/>
          <w:szCs w:val="22"/>
        </w:rPr>
      </w:pPr>
      <w:r w:rsidRPr="00023A69">
        <w:rPr>
          <w:rFonts w:ascii="Cambria" w:hAnsi="Cambria"/>
          <w:sz w:val="22"/>
          <w:szCs w:val="22"/>
        </w:rPr>
        <w:t xml:space="preserve">Pro prioritní osu 4: </w:t>
      </w:r>
      <w:r w:rsidRPr="00023A69">
        <w:rPr>
          <w:rFonts w:ascii="Cambria" w:hAnsi="Cambria"/>
          <w:b/>
          <w:sz w:val="22"/>
          <w:szCs w:val="22"/>
        </w:rPr>
        <w:t>Ochrana a péče o přírodu a krajinu</w:t>
      </w:r>
      <w:r w:rsidRPr="00023A69">
        <w:rPr>
          <w:rFonts w:ascii="Cambria" w:hAnsi="Cambria"/>
          <w:sz w:val="22"/>
          <w:szCs w:val="22"/>
        </w:rPr>
        <w:t xml:space="preserve"> vážící se k tematickému cíli 6: </w:t>
      </w:r>
      <w:r w:rsidRPr="00023A69">
        <w:rPr>
          <w:rFonts w:ascii="Cambria" w:hAnsi="Cambria" w:cstheme="minorHAnsi"/>
          <w:bCs/>
          <w:sz w:val="22"/>
          <w:szCs w:val="22"/>
        </w:rPr>
        <w:t>Ochrana životního prostředí a podpora účinného využívání zdrojů</w:t>
      </w:r>
      <w:r w:rsidRPr="00023A69">
        <w:rPr>
          <w:rFonts w:ascii="Cambria" w:hAnsi="Cambria"/>
          <w:sz w:val="22"/>
          <w:szCs w:val="22"/>
        </w:rPr>
        <w:t xml:space="preserve"> je předpokládána alokace ve výši </w:t>
      </w:r>
      <w:r w:rsidRPr="00023A69">
        <w:rPr>
          <w:rFonts w:ascii="Cambria" w:hAnsi="Cambria"/>
          <w:b/>
          <w:sz w:val="22"/>
          <w:szCs w:val="22"/>
        </w:rPr>
        <w:t>13</w:t>
      </w:r>
      <w:r w:rsidR="00A252BB">
        <w:rPr>
          <w:rFonts w:ascii="Cambria" w:hAnsi="Cambria"/>
          <w:b/>
          <w:sz w:val="22"/>
          <w:szCs w:val="22"/>
        </w:rPr>
        <w:t>,7</w:t>
      </w:r>
      <w:r w:rsidR="00E879F0">
        <w:rPr>
          <w:rFonts w:ascii="Cambria" w:hAnsi="Cambria"/>
          <w:b/>
          <w:sz w:val="22"/>
          <w:szCs w:val="22"/>
        </w:rPr>
        <w:t>1</w:t>
      </w:r>
      <w:r w:rsidRPr="00023A69">
        <w:rPr>
          <w:rFonts w:ascii="Cambria" w:hAnsi="Cambria"/>
          <w:b/>
          <w:sz w:val="22"/>
          <w:szCs w:val="22"/>
        </w:rPr>
        <w:t xml:space="preserve"> %</w:t>
      </w:r>
      <w:r w:rsidRPr="004940E7">
        <w:rPr>
          <w:rFonts w:ascii="Cambria" w:hAnsi="Cambria"/>
          <w:sz w:val="22"/>
          <w:szCs w:val="22"/>
        </w:rPr>
        <w:t xml:space="preserve"> celkové alokace programu. </w:t>
      </w:r>
    </w:p>
    <w:p w:rsidR="00914968" w:rsidRDefault="00914968" w:rsidP="00914968">
      <w:pPr>
        <w:pStyle w:val="Standardntext"/>
        <w:spacing w:line="276" w:lineRule="auto"/>
        <w:rPr>
          <w:rFonts w:ascii="Cambria" w:hAnsi="Cambria"/>
          <w:sz w:val="22"/>
          <w:szCs w:val="22"/>
        </w:rPr>
      </w:pPr>
      <w:r w:rsidRPr="003F1EB0">
        <w:rPr>
          <w:rFonts w:ascii="Cambria" w:hAnsi="Cambria"/>
          <w:sz w:val="22"/>
          <w:szCs w:val="22"/>
        </w:rPr>
        <w:t xml:space="preserve">Pro prioritní osu </w:t>
      </w:r>
      <w:r w:rsidRPr="00023A69">
        <w:rPr>
          <w:rFonts w:ascii="Cambria" w:hAnsi="Cambria"/>
          <w:sz w:val="22"/>
          <w:szCs w:val="22"/>
        </w:rPr>
        <w:t xml:space="preserve">5: </w:t>
      </w:r>
      <w:r w:rsidRPr="00023A69">
        <w:rPr>
          <w:rFonts w:ascii="Cambria" w:hAnsi="Cambria"/>
          <w:b/>
          <w:sz w:val="22"/>
          <w:szCs w:val="22"/>
        </w:rPr>
        <w:t>Energetické úspory</w:t>
      </w:r>
      <w:r w:rsidRPr="00023A69">
        <w:rPr>
          <w:rFonts w:ascii="Cambria" w:hAnsi="Cambria"/>
          <w:sz w:val="22"/>
          <w:szCs w:val="22"/>
        </w:rPr>
        <w:t xml:space="preserve"> vážící se k tematickému cíli 4: </w:t>
      </w:r>
      <w:r w:rsidRPr="00023A69">
        <w:rPr>
          <w:rFonts w:ascii="Cambria" w:hAnsi="Cambria" w:cstheme="minorHAnsi"/>
          <w:bCs/>
          <w:sz w:val="22"/>
          <w:szCs w:val="22"/>
        </w:rPr>
        <w:t>Podpora přechodu na</w:t>
      </w:r>
      <w:r w:rsidR="0029003F">
        <w:rPr>
          <w:rFonts w:ascii="Cambria" w:hAnsi="Cambria" w:cstheme="minorHAnsi"/>
          <w:bCs/>
          <w:sz w:val="22"/>
          <w:szCs w:val="22"/>
        </w:rPr>
        <w:t> </w:t>
      </w:r>
      <w:r w:rsidRPr="00023A69">
        <w:rPr>
          <w:rFonts w:ascii="Cambria" w:hAnsi="Cambria" w:cstheme="minorHAnsi"/>
          <w:bCs/>
          <w:sz w:val="22"/>
          <w:szCs w:val="22"/>
        </w:rPr>
        <w:t>nízkouhlíkové hospodářství ve všech odvětvích</w:t>
      </w:r>
      <w:r w:rsidRPr="00023A69">
        <w:rPr>
          <w:rFonts w:ascii="Cambria" w:hAnsi="Cambria"/>
          <w:sz w:val="22"/>
          <w:szCs w:val="22"/>
        </w:rPr>
        <w:t xml:space="preserve"> je předpokládána alokace ve výši </w:t>
      </w:r>
      <w:r w:rsidR="00A252BB">
        <w:rPr>
          <w:rFonts w:ascii="Cambria" w:hAnsi="Cambria"/>
          <w:b/>
          <w:sz w:val="22"/>
          <w:szCs w:val="22"/>
        </w:rPr>
        <w:t>19,87</w:t>
      </w:r>
      <w:r w:rsidRPr="00023A69">
        <w:rPr>
          <w:rFonts w:ascii="Cambria" w:hAnsi="Cambria"/>
          <w:b/>
          <w:sz w:val="22"/>
          <w:szCs w:val="22"/>
        </w:rPr>
        <w:t xml:space="preserve"> %</w:t>
      </w:r>
      <w:r w:rsidRPr="00023A69">
        <w:rPr>
          <w:rFonts w:ascii="Cambria" w:hAnsi="Cambria"/>
          <w:sz w:val="22"/>
          <w:szCs w:val="22"/>
        </w:rPr>
        <w:t xml:space="preserve"> celkové alokace programu. </w:t>
      </w:r>
    </w:p>
    <w:p w:rsidR="00914968" w:rsidRPr="00023A69" w:rsidRDefault="00914968" w:rsidP="00914968">
      <w:pPr>
        <w:pStyle w:val="Standardntext"/>
        <w:spacing w:line="276" w:lineRule="auto"/>
        <w:rPr>
          <w:rFonts w:ascii="Cambria" w:hAnsi="Cambria"/>
          <w:sz w:val="22"/>
          <w:szCs w:val="22"/>
        </w:rPr>
      </w:pPr>
      <w:r w:rsidRPr="00023A69">
        <w:rPr>
          <w:rFonts w:ascii="Cambria" w:hAnsi="Cambria"/>
          <w:sz w:val="22"/>
          <w:szCs w:val="22"/>
        </w:rPr>
        <w:t xml:space="preserve">Pro prioritní osu 6: </w:t>
      </w:r>
      <w:r w:rsidRPr="00023A69">
        <w:rPr>
          <w:rFonts w:ascii="Cambria" w:hAnsi="Cambria"/>
          <w:b/>
          <w:sz w:val="22"/>
          <w:szCs w:val="22"/>
        </w:rPr>
        <w:t>Technická pomoc</w:t>
      </w:r>
      <w:r w:rsidRPr="00023A69">
        <w:rPr>
          <w:rFonts w:ascii="Cambria" w:hAnsi="Cambria"/>
          <w:sz w:val="22"/>
          <w:szCs w:val="22"/>
        </w:rPr>
        <w:t xml:space="preserve"> je předpokládána alokace ve výši </w:t>
      </w:r>
      <w:r w:rsidR="00A252BB">
        <w:rPr>
          <w:rFonts w:ascii="Cambria" w:hAnsi="Cambria"/>
          <w:b/>
          <w:sz w:val="22"/>
          <w:szCs w:val="22"/>
        </w:rPr>
        <w:t>2,85</w:t>
      </w:r>
      <w:r w:rsidRPr="00227E45">
        <w:rPr>
          <w:rFonts w:ascii="Cambria" w:hAnsi="Cambria"/>
          <w:b/>
          <w:sz w:val="22"/>
          <w:szCs w:val="22"/>
        </w:rPr>
        <w:t xml:space="preserve"> %</w:t>
      </w:r>
      <w:r w:rsidRPr="00023A69">
        <w:rPr>
          <w:rFonts w:ascii="Cambria" w:hAnsi="Cambria"/>
          <w:sz w:val="22"/>
          <w:szCs w:val="22"/>
        </w:rPr>
        <w:t xml:space="preserve"> z celkové alokace programu. Rozdělení této alokace na jednotlivé aktivity bude vycházet zejména </w:t>
      </w:r>
      <w:r w:rsidRPr="00023A69">
        <w:rPr>
          <w:rFonts w:ascii="Cambria" w:hAnsi="Cambria"/>
          <w:sz w:val="22"/>
          <w:szCs w:val="22"/>
        </w:rPr>
        <w:lastRenderedPageBreak/>
        <w:t>ze</w:t>
      </w:r>
      <w:r w:rsidR="0029003F">
        <w:rPr>
          <w:rFonts w:ascii="Cambria" w:hAnsi="Cambria"/>
          <w:sz w:val="22"/>
          <w:szCs w:val="22"/>
        </w:rPr>
        <w:t> </w:t>
      </w:r>
      <w:r w:rsidRPr="00023A69">
        <w:rPr>
          <w:rFonts w:ascii="Cambria" w:hAnsi="Cambria"/>
          <w:sz w:val="22"/>
          <w:szCs w:val="22"/>
        </w:rPr>
        <w:t>zkušeností s realizací technické pomoci v </w:t>
      </w:r>
      <w:proofErr w:type="gramStart"/>
      <w:r w:rsidRPr="00023A69">
        <w:rPr>
          <w:rFonts w:ascii="Cambria" w:hAnsi="Cambria"/>
          <w:sz w:val="22"/>
          <w:szCs w:val="22"/>
        </w:rPr>
        <w:t>OP</w:t>
      </w:r>
      <w:proofErr w:type="gramEnd"/>
      <w:r w:rsidRPr="00023A69">
        <w:rPr>
          <w:rFonts w:ascii="Cambria" w:hAnsi="Cambria"/>
          <w:sz w:val="22"/>
          <w:szCs w:val="22"/>
        </w:rPr>
        <w:t xml:space="preserve"> ŽP 2007-2013</w:t>
      </w:r>
      <w:r w:rsidR="0029003F">
        <w:rPr>
          <w:rFonts w:ascii="Cambria" w:hAnsi="Cambria"/>
          <w:sz w:val="22"/>
          <w:szCs w:val="22"/>
        </w:rPr>
        <w:t xml:space="preserve"> </w:t>
      </w:r>
      <w:r w:rsidRPr="00023A69">
        <w:rPr>
          <w:rFonts w:ascii="Cambria" w:hAnsi="Cambria"/>
          <w:sz w:val="22"/>
          <w:szCs w:val="22"/>
        </w:rPr>
        <w:t>a ve vazbě na alokaci a aktivity OP</w:t>
      </w:r>
      <w:r w:rsidR="0029003F">
        <w:rPr>
          <w:rFonts w:ascii="Cambria" w:hAnsi="Cambria"/>
          <w:sz w:val="22"/>
          <w:szCs w:val="22"/>
        </w:rPr>
        <w:t> </w:t>
      </w:r>
      <w:r w:rsidRPr="00023A69">
        <w:rPr>
          <w:rFonts w:ascii="Cambria" w:hAnsi="Cambria"/>
          <w:sz w:val="22"/>
          <w:szCs w:val="22"/>
        </w:rPr>
        <w:t>TP.</w:t>
      </w:r>
    </w:p>
    <w:p w:rsidR="00914968" w:rsidRPr="00023A69" w:rsidRDefault="00914968" w:rsidP="00914968">
      <w:pPr>
        <w:pStyle w:val="Standardntext"/>
        <w:spacing w:line="276" w:lineRule="auto"/>
        <w:rPr>
          <w:rFonts w:ascii="Cambria" w:hAnsi="Cambria"/>
          <w:sz w:val="22"/>
          <w:szCs w:val="22"/>
        </w:rPr>
      </w:pPr>
      <w:r w:rsidRPr="00023A69">
        <w:rPr>
          <w:rFonts w:ascii="Cambria" w:hAnsi="Cambria"/>
          <w:sz w:val="22"/>
          <w:szCs w:val="22"/>
        </w:rPr>
        <w:t xml:space="preserve">Finanční alokace pro operační program a jednotlivé prioritní osy jsou stanovovány jako 85% příspěvek FS a EFRR doplněný o povinné národní spolufinancování ve výši 15 %, přičemž míra spolufinancování se vztahuje dle čl. 120 obecného nařízení </w:t>
      </w:r>
      <w:r>
        <w:rPr>
          <w:rFonts w:ascii="Cambria" w:hAnsi="Cambria"/>
          <w:sz w:val="22"/>
          <w:szCs w:val="22"/>
        </w:rPr>
        <w:t xml:space="preserve">na celkové </w:t>
      </w:r>
      <w:r w:rsidRPr="00023A69">
        <w:rPr>
          <w:rFonts w:ascii="Cambria" w:hAnsi="Cambria"/>
          <w:sz w:val="22"/>
          <w:szCs w:val="22"/>
        </w:rPr>
        <w:t>způsobilé vý</w:t>
      </w:r>
      <w:r>
        <w:rPr>
          <w:rFonts w:ascii="Cambria" w:hAnsi="Cambria"/>
          <w:sz w:val="22"/>
          <w:szCs w:val="22"/>
        </w:rPr>
        <w:t>daje</w:t>
      </w:r>
      <w:r w:rsidRPr="00023A69">
        <w:rPr>
          <w:rFonts w:ascii="Cambria" w:hAnsi="Cambria"/>
          <w:sz w:val="22"/>
          <w:szCs w:val="22"/>
        </w:rPr>
        <w:t>.</w:t>
      </w:r>
    </w:p>
    <w:p w:rsidR="00674BC9" w:rsidRDefault="00914968">
      <w:pPr>
        <w:pStyle w:val="Standardntext"/>
        <w:spacing w:line="276" w:lineRule="auto"/>
        <w:rPr>
          <w:rFonts w:cs="Times New Roman"/>
        </w:rPr>
      </w:pPr>
      <w:r w:rsidRPr="00023A69">
        <w:rPr>
          <w:rFonts w:ascii="Cambria" w:hAnsi="Cambria"/>
          <w:sz w:val="22"/>
          <w:szCs w:val="22"/>
        </w:rPr>
        <w:t>Jakákoli veřejná podpora poskytnutá v rámci OP ŽP 2014-2020 musí být v souladu s</w:t>
      </w:r>
      <w:r w:rsidR="0029003F">
        <w:rPr>
          <w:rFonts w:ascii="Cambria" w:hAnsi="Cambria"/>
          <w:sz w:val="22"/>
          <w:szCs w:val="22"/>
        </w:rPr>
        <w:t> </w:t>
      </w:r>
      <w:r w:rsidRPr="00023A69">
        <w:rPr>
          <w:rFonts w:ascii="Cambria" w:hAnsi="Cambria"/>
          <w:sz w:val="22"/>
          <w:szCs w:val="22"/>
        </w:rPr>
        <w:t xml:space="preserve">procedurálními a materiálními pravidly pro poskytování veřejné podpory </w:t>
      </w:r>
      <w:r w:rsidRPr="00023A69">
        <w:rPr>
          <w:rFonts w:ascii="Cambria" w:eastAsiaTheme="minorEastAsia" w:hAnsi="Cambria" w:cs="Times New Roman"/>
          <w:sz w:val="22"/>
          <w:szCs w:val="22"/>
        </w:rPr>
        <w:t>platnými v</w:t>
      </w:r>
      <w:r w:rsidR="0029003F">
        <w:rPr>
          <w:rFonts w:ascii="Cambria" w:eastAsiaTheme="minorEastAsia" w:hAnsi="Cambria" w:cs="Times New Roman"/>
          <w:sz w:val="22"/>
          <w:szCs w:val="22"/>
        </w:rPr>
        <w:t> </w:t>
      </w:r>
      <w:r w:rsidRPr="00023A69">
        <w:rPr>
          <w:rFonts w:ascii="Cambria" w:eastAsiaTheme="minorEastAsia" w:hAnsi="Cambria" w:cs="Times New Roman"/>
          <w:sz w:val="22"/>
          <w:szCs w:val="22"/>
        </w:rPr>
        <w:t>okamžiku,</w:t>
      </w:r>
      <w:r w:rsidR="004B6C19">
        <w:rPr>
          <w:rFonts w:ascii="Cambria" w:eastAsiaTheme="minorEastAsia" w:hAnsi="Cambria" w:cs="Times New Roman"/>
          <w:sz w:val="22"/>
          <w:szCs w:val="22"/>
        </w:rPr>
        <w:t xml:space="preserve"> </w:t>
      </w:r>
      <w:r w:rsidRPr="00023A69">
        <w:rPr>
          <w:rFonts w:ascii="Cambria" w:eastAsiaTheme="minorEastAsia" w:hAnsi="Cambria" w:cs="Times New Roman"/>
          <w:sz w:val="22"/>
          <w:szCs w:val="22"/>
        </w:rPr>
        <w:t>kdy je veřejná podpora poskytnuta.</w:t>
      </w:r>
    </w:p>
    <w:p w:rsidR="00A73799" w:rsidRDefault="00A73799" w:rsidP="00A73799">
      <w:r w:rsidRPr="003679F8">
        <w:t>V rámci OPŽP 2014-2020 bude zajištěna realizace a dokončení druhé fáze projektů, jejichž první fáze byla realizov</w:t>
      </w:r>
      <w:r>
        <w:t>ána v rámci OPŽP 2007-2013. Pro </w:t>
      </w:r>
      <w:r w:rsidRPr="003679F8">
        <w:t xml:space="preserve">předmětné fázované projekty bude prioritně umožněno předložení žádostí o poskytnutí podpory pro </w:t>
      </w:r>
      <w:r>
        <w:t xml:space="preserve">druhou fázi projektu a vymezeny </w:t>
      </w:r>
      <w:r w:rsidRPr="003679F8">
        <w:t>odpovídající zdroje na spolufinan</w:t>
      </w:r>
      <w:r>
        <w:t>cování pro dokončení druhé fáze.</w:t>
      </w:r>
    </w:p>
    <w:p w:rsidR="00FE4C0F" w:rsidRDefault="00FE4C0F" w:rsidP="00173BA4">
      <w:pPr>
        <w:sectPr w:rsidR="00FE4C0F" w:rsidSect="00FE4C0F">
          <w:pgSz w:w="11906" w:h="16838" w:code="9"/>
          <w:pgMar w:top="1418" w:right="1418" w:bottom="1418" w:left="1418" w:header="709" w:footer="709" w:gutter="0"/>
          <w:cols w:space="708"/>
          <w:docGrid w:linePitch="360"/>
        </w:sectPr>
      </w:pPr>
    </w:p>
    <w:p w:rsidR="00FB77AC" w:rsidRPr="004314F4" w:rsidRDefault="00493433" w:rsidP="00EA3437">
      <w:pPr>
        <w:pStyle w:val="Titulek"/>
        <w:rPr>
          <w:sz w:val="24"/>
          <w:szCs w:val="24"/>
        </w:rPr>
      </w:pPr>
      <w:r w:rsidRPr="00B45232">
        <w:lastRenderedPageBreak/>
        <w:t>Přehled</w:t>
      </w:r>
      <w:r w:rsidRPr="004314F4">
        <w:t xml:space="preserve"> investiční strategie </w:t>
      </w:r>
      <w:r w:rsidR="0073424E">
        <w:t xml:space="preserve">operačního </w:t>
      </w:r>
      <w:r w:rsidRPr="004314F4">
        <w:t>pro</w:t>
      </w:r>
      <w:r w:rsidR="007C7469" w:rsidRPr="004314F4">
        <w:t>g</w:t>
      </w:r>
      <w:r w:rsidRPr="004314F4">
        <w:t>ramu</w:t>
      </w:r>
      <w:bookmarkEnd w:id="2213"/>
    </w:p>
    <w:tbl>
      <w:tblPr>
        <w:tblW w:w="4973"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7"/>
        <w:gridCol w:w="1418"/>
        <w:gridCol w:w="1134"/>
        <w:gridCol w:w="1134"/>
        <w:gridCol w:w="2977"/>
        <w:gridCol w:w="3260"/>
        <w:gridCol w:w="1842"/>
      </w:tblGrid>
      <w:tr w:rsidR="001E41A2" w:rsidRPr="00284FFC" w:rsidTr="00AE7F37">
        <w:trPr>
          <w:trHeight w:val="2000"/>
          <w:tblHeader/>
        </w:trPr>
        <w:tc>
          <w:tcPr>
            <w:tcW w:w="959" w:type="dxa"/>
            <w:shd w:val="clear" w:color="auto" w:fill="BFBFBF" w:themeFill="background1" w:themeFillShade="BF"/>
          </w:tcPr>
          <w:p w:rsidR="001E41A2" w:rsidRPr="002F367B" w:rsidRDefault="001E41A2" w:rsidP="00AE7F37">
            <w:pPr>
              <w:jc w:val="left"/>
              <w:rPr>
                <w:b/>
                <w:sz w:val="20"/>
                <w:szCs w:val="20"/>
              </w:rPr>
            </w:pPr>
            <w:r w:rsidRPr="002F367B">
              <w:rPr>
                <w:b/>
                <w:sz w:val="20"/>
                <w:szCs w:val="20"/>
              </w:rPr>
              <w:t>Prioritní osa</w:t>
            </w:r>
          </w:p>
          <w:p w:rsidR="001E41A2" w:rsidRPr="002F367B" w:rsidRDefault="001E41A2" w:rsidP="00AE7F37">
            <w:pPr>
              <w:jc w:val="left"/>
              <w:rPr>
                <w:b/>
                <w:sz w:val="20"/>
                <w:szCs w:val="20"/>
              </w:rPr>
            </w:pPr>
          </w:p>
        </w:tc>
        <w:tc>
          <w:tcPr>
            <w:tcW w:w="1417" w:type="dxa"/>
            <w:shd w:val="clear" w:color="auto" w:fill="BFBFBF" w:themeFill="background1" w:themeFillShade="BF"/>
          </w:tcPr>
          <w:p w:rsidR="001E41A2" w:rsidRPr="002F367B" w:rsidRDefault="0033290F" w:rsidP="00AE7F37">
            <w:pPr>
              <w:jc w:val="left"/>
              <w:rPr>
                <w:b/>
                <w:color w:val="000000"/>
                <w:kern w:val="32"/>
                <w:sz w:val="20"/>
                <w:szCs w:val="20"/>
              </w:rPr>
            </w:pPr>
            <w:r w:rsidRPr="0033290F">
              <w:rPr>
                <w:b/>
                <w:color w:val="000000"/>
                <w:kern w:val="32"/>
                <w:sz w:val="20"/>
                <w:szCs w:val="20"/>
              </w:rPr>
              <w:t>Fond (EFRR, Fond soudržnosti, ESF nebo Iniciativa na podporu zaměstnanosti mladých lidí)</w:t>
            </w:r>
          </w:p>
        </w:tc>
        <w:tc>
          <w:tcPr>
            <w:tcW w:w="1418" w:type="dxa"/>
            <w:shd w:val="clear" w:color="auto" w:fill="BFBFBF" w:themeFill="background1" w:themeFillShade="BF"/>
          </w:tcPr>
          <w:p w:rsidR="001E41A2" w:rsidRPr="002F367B" w:rsidRDefault="0033290F" w:rsidP="00AE7F37">
            <w:pPr>
              <w:jc w:val="left"/>
              <w:rPr>
                <w:b/>
                <w:sz w:val="20"/>
                <w:szCs w:val="20"/>
              </w:rPr>
            </w:pPr>
            <w:r w:rsidRPr="0033290F">
              <w:rPr>
                <w:b/>
                <w:color w:val="000000"/>
                <w:kern w:val="32"/>
                <w:sz w:val="20"/>
                <w:szCs w:val="20"/>
              </w:rPr>
              <w:t>Podpora Unie (EUR)</w:t>
            </w:r>
          </w:p>
        </w:tc>
        <w:tc>
          <w:tcPr>
            <w:tcW w:w="1134" w:type="dxa"/>
            <w:shd w:val="clear" w:color="auto" w:fill="BFBFBF" w:themeFill="background1" w:themeFillShade="BF"/>
          </w:tcPr>
          <w:p w:rsidR="001E41A2" w:rsidRPr="002F367B" w:rsidRDefault="0033290F" w:rsidP="00AE7F37">
            <w:pPr>
              <w:jc w:val="left"/>
              <w:rPr>
                <w:b/>
                <w:sz w:val="20"/>
                <w:szCs w:val="20"/>
              </w:rPr>
            </w:pPr>
            <w:r w:rsidRPr="0033290F">
              <w:rPr>
                <w:b/>
                <w:sz w:val="20"/>
                <w:szCs w:val="20"/>
              </w:rPr>
              <w:t xml:space="preserve">Podíl celkové podpory Unie operačnímu programu </w:t>
            </w:r>
          </w:p>
        </w:tc>
        <w:tc>
          <w:tcPr>
            <w:tcW w:w="1134" w:type="dxa"/>
            <w:shd w:val="clear" w:color="auto" w:fill="BFBFBF" w:themeFill="background1" w:themeFillShade="BF"/>
          </w:tcPr>
          <w:p w:rsidR="001E41A2" w:rsidRPr="002F367B" w:rsidRDefault="0033290F" w:rsidP="00AE7F37">
            <w:pPr>
              <w:jc w:val="left"/>
              <w:rPr>
                <w:b/>
                <w:color w:val="000000"/>
                <w:kern w:val="32"/>
                <w:sz w:val="20"/>
                <w:szCs w:val="20"/>
              </w:rPr>
            </w:pPr>
            <w:r w:rsidRPr="0033290F">
              <w:rPr>
                <w:b/>
                <w:color w:val="000000"/>
                <w:kern w:val="32"/>
                <w:sz w:val="20"/>
                <w:szCs w:val="20"/>
              </w:rPr>
              <w:t>Tematický cíl</w:t>
            </w:r>
          </w:p>
        </w:tc>
        <w:tc>
          <w:tcPr>
            <w:tcW w:w="2977" w:type="dxa"/>
            <w:shd w:val="clear" w:color="auto" w:fill="BFBFBF" w:themeFill="background1" w:themeFillShade="BF"/>
          </w:tcPr>
          <w:p w:rsidR="001E41A2" w:rsidRPr="002F367B" w:rsidRDefault="0033290F" w:rsidP="00AE7F37">
            <w:pPr>
              <w:jc w:val="left"/>
              <w:rPr>
                <w:b/>
                <w:color w:val="000000"/>
                <w:kern w:val="32"/>
                <w:sz w:val="20"/>
                <w:szCs w:val="20"/>
              </w:rPr>
            </w:pPr>
            <w:r w:rsidRPr="0033290F">
              <w:rPr>
                <w:b/>
                <w:color w:val="000000"/>
                <w:kern w:val="32"/>
                <w:sz w:val="20"/>
                <w:szCs w:val="20"/>
              </w:rPr>
              <w:t>Investiční priority</w:t>
            </w:r>
          </w:p>
        </w:tc>
        <w:tc>
          <w:tcPr>
            <w:tcW w:w="3260" w:type="dxa"/>
            <w:shd w:val="clear" w:color="auto" w:fill="BFBFBF" w:themeFill="background1" w:themeFillShade="BF"/>
          </w:tcPr>
          <w:p w:rsidR="001E41A2" w:rsidRPr="002F367B" w:rsidRDefault="0033290F" w:rsidP="00AE7F37">
            <w:pPr>
              <w:jc w:val="left"/>
              <w:rPr>
                <w:b/>
                <w:color w:val="000000"/>
                <w:kern w:val="32"/>
                <w:sz w:val="20"/>
                <w:szCs w:val="20"/>
              </w:rPr>
            </w:pPr>
            <w:r w:rsidRPr="0033290F">
              <w:rPr>
                <w:b/>
                <w:color w:val="000000"/>
                <w:kern w:val="32"/>
                <w:sz w:val="20"/>
                <w:szCs w:val="20"/>
              </w:rPr>
              <w:t>Specifické cíle odpovídající investiční prioritě</w:t>
            </w:r>
          </w:p>
        </w:tc>
        <w:tc>
          <w:tcPr>
            <w:tcW w:w="1842" w:type="dxa"/>
            <w:shd w:val="clear" w:color="auto" w:fill="BFBFBF" w:themeFill="background1" w:themeFillShade="BF"/>
          </w:tcPr>
          <w:p w:rsidR="001E41A2" w:rsidRPr="002F367B" w:rsidRDefault="0033290F" w:rsidP="00AE7F37">
            <w:pPr>
              <w:jc w:val="left"/>
              <w:rPr>
                <w:b/>
                <w:sz w:val="20"/>
                <w:szCs w:val="20"/>
              </w:rPr>
            </w:pPr>
            <w:r w:rsidRPr="0033290F">
              <w:rPr>
                <w:b/>
                <w:sz w:val="20"/>
                <w:szCs w:val="20"/>
              </w:rPr>
              <w:t xml:space="preserve">Společné a specifické programové ukazatele výsledků, pro které byl stanoven cíl </w:t>
            </w:r>
          </w:p>
        </w:tc>
      </w:tr>
      <w:tr w:rsidR="001E41A2" w:rsidRPr="00284FFC" w:rsidTr="00AE7F37">
        <w:trPr>
          <w:trHeight w:val="1565"/>
        </w:trPr>
        <w:tc>
          <w:tcPr>
            <w:tcW w:w="959" w:type="dxa"/>
            <w:vMerge w:val="restart"/>
            <w:shd w:val="clear" w:color="548DD4" w:fill="FFFFFF"/>
          </w:tcPr>
          <w:p w:rsidR="001E41A2" w:rsidRPr="002F367B" w:rsidRDefault="001E41A2" w:rsidP="00AE7F37">
            <w:pPr>
              <w:jc w:val="left"/>
              <w:rPr>
                <w:sz w:val="20"/>
                <w:szCs w:val="20"/>
              </w:rPr>
            </w:pPr>
            <w:r w:rsidRPr="002F367B">
              <w:rPr>
                <w:sz w:val="20"/>
                <w:szCs w:val="20"/>
              </w:rPr>
              <w:t>Prioritní osa 1</w:t>
            </w:r>
          </w:p>
          <w:p w:rsidR="001E41A2" w:rsidRPr="002F367B" w:rsidRDefault="001E41A2" w:rsidP="00AE7F37">
            <w:pPr>
              <w:jc w:val="left"/>
              <w:rPr>
                <w:rFonts w:cstheme="minorHAnsi"/>
                <w:bCs/>
                <w:sz w:val="20"/>
                <w:szCs w:val="20"/>
              </w:rPr>
            </w:pPr>
          </w:p>
        </w:tc>
        <w:tc>
          <w:tcPr>
            <w:tcW w:w="1417" w:type="dxa"/>
            <w:vMerge w:val="restart"/>
            <w:shd w:val="clear" w:color="548DD4" w:fill="FFFFFF"/>
          </w:tcPr>
          <w:p w:rsidR="001E41A2" w:rsidRPr="002F367B" w:rsidRDefault="0033290F" w:rsidP="00AE7F37">
            <w:pPr>
              <w:jc w:val="left"/>
              <w:rPr>
                <w:sz w:val="20"/>
                <w:szCs w:val="20"/>
              </w:rPr>
            </w:pPr>
            <w:r w:rsidRPr="0033290F">
              <w:rPr>
                <w:rFonts w:cstheme="minorHAnsi"/>
                <w:bCs/>
                <w:sz w:val="20"/>
                <w:szCs w:val="20"/>
              </w:rPr>
              <w:t>FS</w:t>
            </w:r>
            <w:r w:rsidRPr="0033290F">
              <w:rPr>
                <w:sz w:val="20"/>
                <w:szCs w:val="20"/>
              </w:rPr>
              <w:t xml:space="preserve"> </w:t>
            </w:r>
          </w:p>
        </w:tc>
        <w:tc>
          <w:tcPr>
            <w:tcW w:w="1418" w:type="dxa"/>
            <w:vMerge w:val="restart"/>
            <w:shd w:val="clear" w:color="548DD4" w:fill="FFFFFF"/>
          </w:tcPr>
          <w:p w:rsidR="001E41A2" w:rsidRPr="002F367B" w:rsidDel="00830F8E" w:rsidRDefault="0089526A" w:rsidP="0089526A">
            <w:pPr>
              <w:jc w:val="left"/>
              <w:rPr>
                <w:rFonts w:eastAsia="Times New Roman" w:cs="Times New Roman"/>
                <w:sz w:val="20"/>
                <w:szCs w:val="20"/>
                <w:lang w:val="en-GB" w:eastAsia="fr-BE"/>
              </w:rPr>
            </w:pPr>
            <w:r>
              <w:rPr>
                <w:rFonts w:eastAsia="Times New Roman" w:cs="Times New Roman"/>
                <w:sz w:val="20"/>
                <w:szCs w:val="20"/>
                <w:lang w:val="en-GB" w:eastAsia="fr-BE"/>
              </w:rPr>
              <w:t>430 993 755</w:t>
            </w:r>
          </w:p>
        </w:tc>
        <w:tc>
          <w:tcPr>
            <w:tcW w:w="1134" w:type="dxa"/>
            <w:vMerge w:val="restart"/>
            <w:shd w:val="clear" w:color="548DD4" w:fill="FFFFFF"/>
          </w:tcPr>
          <w:p w:rsidR="001E41A2" w:rsidRPr="002F367B" w:rsidRDefault="0033290F" w:rsidP="00750C65">
            <w:pPr>
              <w:jc w:val="left"/>
              <w:rPr>
                <w:rFonts w:eastAsia="Times New Roman" w:cs="Times New Roman"/>
                <w:sz w:val="20"/>
                <w:szCs w:val="20"/>
                <w:lang w:val="en-GB" w:eastAsia="fr-BE"/>
              </w:rPr>
            </w:pPr>
            <w:r w:rsidRPr="0033290F">
              <w:rPr>
                <w:rFonts w:eastAsia="Times New Roman" w:cs="Times New Roman"/>
                <w:sz w:val="20"/>
                <w:szCs w:val="20"/>
                <w:lang w:val="en-GB" w:eastAsia="fr-BE"/>
              </w:rPr>
              <w:t>16,</w:t>
            </w:r>
            <w:r w:rsidR="00750C65">
              <w:rPr>
                <w:rFonts w:eastAsia="Times New Roman" w:cs="Times New Roman"/>
                <w:sz w:val="20"/>
                <w:szCs w:val="20"/>
                <w:lang w:val="en-GB" w:eastAsia="fr-BE"/>
              </w:rPr>
              <w:t>8</w:t>
            </w:r>
            <w:r w:rsidRPr="0033290F">
              <w:rPr>
                <w:rFonts w:eastAsia="Times New Roman" w:cs="Times New Roman"/>
                <w:sz w:val="20"/>
                <w:szCs w:val="20"/>
                <w:lang w:val="en-GB" w:eastAsia="fr-BE"/>
              </w:rPr>
              <w:t xml:space="preserve"> %</w:t>
            </w:r>
          </w:p>
        </w:tc>
        <w:tc>
          <w:tcPr>
            <w:tcW w:w="1134" w:type="dxa"/>
            <w:vMerge w:val="restart"/>
            <w:tcBorders>
              <w:bottom w:val="single" w:sz="4" w:space="0" w:color="auto"/>
            </w:tcBorders>
          </w:tcPr>
          <w:p w:rsidR="001E41A2" w:rsidRPr="002F367B" w:rsidRDefault="0033290F" w:rsidP="00AE7F37">
            <w:pPr>
              <w:jc w:val="left"/>
              <w:rPr>
                <w:sz w:val="20"/>
                <w:szCs w:val="20"/>
              </w:rPr>
            </w:pPr>
            <w:r w:rsidRPr="0033290F">
              <w:rPr>
                <w:rFonts w:cstheme="minorHAnsi"/>
                <w:bCs/>
                <w:sz w:val="20"/>
                <w:szCs w:val="20"/>
              </w:rPr>
              <w:t>Tematický cíl 6: Ochrana životního prostředí a podpora účinného využívání zdrojů</w:t>
            </w:r>
          </w:p>
        </w:tc>
        <w:tc>
          <w:tcPr>
            <w:tcW w:w="2977" w:type="dxa"/>
            <w:vMerge w:val="restart"/>
            <w:tcBorders>
              <w:bottom w:val="single" w:sz="4" w:space="0" w:color="auto"/>
            </w:tcBorders>
            <w:shd w:val="clear" w:color="auto" w:fill="auto"/>
          </w:tcPr>
          <w:p w:rsidR="001E41A2" w:rsidRPr="002F367B" w:rsidRDefault="0033290F" w:rsidP="00AE7F37">
            <w:pPr>
              <w:jc w:val="left"/>
              <w:rPr>
                <w:sz w:val="20"/>
                <w:szCs w:val="20"/>
              </w:rPr>
            </w:pPr>
            <w:r w:rsidRPr="0033290F">
              <w:rPr>
                <w:sz w:val="20"/>
                <w:szCs w:val="20"/>
              </w:rPr>
              <w:t xml:space="preserve">Zachování a ochrana životního prostředí a podporování účinného využívání zdrojů: investicemi </w:t>
            </w:r>
            <w:r w:rsidRPr="0033290F">
              <w:rPr>
                <w:rFonts w:cs="EUAlbertina"/>
                <w:color w:val="000000"/>
                <w:sz w:val="20"/>
                <w:szCs w:val="20"/>
              </w:rPr>
              <w:t xml:space="preserve">do vodního hospodářství s  cílem plnit požadavky </w:t>
            </w:r>
            <w:proofErr w:type="spellStart"/>
            <w:r w:rsidRPr="0033290F">
              <w:rPr>
                <w:rFonts w:cs="EUAlbertina"/>
                <w:i/>
                <w:color w:val="000000"/>
                <w:sz w:val="20"/>
                <w:szCs w:val="20"/>
              </w:rPr>
              <w:t>acquis</w:t>
            </w:r>
            <w:proofErr w:type="spellEnd"/>
            <w:r w:rsidRPr="0033290F">
              <w:rPr>
                <w:rFonts w:cs="EUAlbertina"/>
                <w:color w:val="000000"/>
                <w:sz w:val="20"/>
                <w:szCs w:val="20"/>
              </w:rPr>
              <w:t xml:space="preserve"> Unie v oblasti životního prostředí a řešením potřeb investic, které podle zjištění členských států přesahují rámec těchto požadavků (Dle Nařízení Evropského parlamentu a Rady (EU) č. 1300/2013 čl. 4 odst. c) písm. </w:t>
            </w:r>
            <w:proofErr w:type="spellStart"/>
            <w:r w:rsidRPr="0033290F">
              <w:rPr>
                <w:rFonts w:cs="EUAlbertina"/>
                <w:color w:val="000000"/>
                <w:sz w:val="20"/>
                <w:szCs w:val="20"/>
              </w:rPr>
              <w:t>ii</w:t>
            </w:r>
            <w:proofErr w:type="spellEnd"/>
            <w:r w:rsidRPr="0033290F">
              <w:rPr>
                <w:rFonts w:cs="EUAlbertina"/>
                <w:color w:val="000000"/>
                <w:sz w:val="20"/>
                <w:szCs w:val="20"/>
              </w:rPr>
              <w:t>))</w:t>
            </w:r>
          </w:p>
        </w:tc>
        <w:tc>
          <w:tcPr>
            <w:tcW w:w="3260" w:type="dxa"/>
            <w:tcBorders>
              <w:bottom w:val="single" w:sz="4" w:space="0" w:color="auto"/>
            </w:tcBorders>
            <w:shd w:val="clear" w:color="auto" w:fill="auto"/>
          </w:tcPr>
          <w:p w:rsidR="001E41A2" w:rsidRPr="002F367B" w:rsidRDefault="0033290F" w:rsidP="00AE7F37">
            <w:pPr>
              <w:jc w:val="left"/>
              <w:rPr>
                <w:sz w:val="20"/>
                <w:szCs w:val="20"/>
              </w:rPr>
            </w:pPr>
            <w:r w:rsidRPr="0033290F">
              <w:rPr>
                <w:sz w:val="20"/>
                <w:szCs w:val="20"/>
              </w:rPr>
              <w:t>1.1 Snížit množství vypouštěného znečištění do povrchových i podzemních vod z komunálních zdrojů a zajištění dodávky pitné vody v odpovídající jakosti a množství</w:t>
            </w:r>
          </w:p>
        </w:tc>
        <w:tc>
          <w:tcPr>
            <w:tcW w:w="1842" w:type="dxa"/>
            <w:tcBorders>
              <w:bottom w:val="single" w:sz="4" w:space="0" w:color="auto"/>
            </w:tcBorders>
          </w:tcPr>
          <w:p w:rsidR="001E41A2" w:rsidRPr="002F367B" w:rsidRDefault="0033290F" w:rsidP="00AE7F37">
            <w:pPr>
              <w:jc w:val="left"/>
              <w:rPr>
                <w:sz w:val="20"/>
                <w:szCs w:val="20"/>
              </w:rPr>
            </w:pPr>
            <w:r w:rsidRPr="0033290F">
              <w:rPr>
                <w:sz w:val="20"/>
                <w:szCs w:val="20"/>
              </w:rPr>
              <w:t>Viz kapitola 2.1 PO 1</w:t>
            </w:r>
          </w:p>
        </w:tc>
      </w:tr>
      <w:tr w:rsidR="001E41A2" w:rsidRPr="00284FFC" w:rsidTr="00AE7F37">
        <w:trPr>
          <w:trHeight w:val="2056"/>
        </w:trPr>
        <w:tc>
          <w:tcPr>
            <w:tcW w:w="959" w:type="dxa"/>
            <w:vMerge/>
            <w:shd w:val="clear" w:color="548DD4" w:fill="FFFFFF"/>
          </w:tcPr>
          <w:p w:rsidR="001E41A2" w:rsidRPr="002F367B" w:rsidRDefault="001E41A2" w:rsidP="00AE7F37">
            <w:pPr>
              <w:jc w:val="left"/>
              <w:rPr>
                <w:rFonts w:eastAsia="Times New Roman" w:cs="Times New Roman"/>
                <w:sz w:val="20"/>
                <w:szCs w:val="20"/>
                <w:lang w:val="en-GB" w:eastAsia="fr-BE"/>
              </w:rPr>
            </w:pPr>
          </w:p>
        </w:tc>
        <w:tc>
          <w:tcPr>
            <w:tcW w:w="1417" w:type="dxa"/>
            <w:vMerge/>
            <w:shd w:val="clear" w:color="548DD4" w:fill="FFFFFF"/>
          </w:tcPr>
          <w:p w:rsidR="001E41A2" w:rsidRPr="002F367B" w:rsidRDefault="001E41A2" w:rsidP="00AE7F37">
            <w:pPr>
              <w:jc w:val="left"/>
              <w:rPr>
                <w:rFonts w:eastAsia="Times New Roman" w:cs="Times New Roman"/>
                <w:sz w:val="20"/>
                <w:szCs w:val="20"/>
                <w:lang w:val="en-GB" w:eastAsia="fr-BE"/>
              </w:rPr>
            </w:pPr>
          </w:p>
        </w:tc>
        <w:tc>
          <w:tcPr>
            <w:tcW w:w="1418" w:type="dxa"/>
            <w:vMerge/>
            <w:shd w:val="clear" w:color="548DD4" w:fill="FFFFFF"/>
          </w:tcPr>
          <w:p w:rsidR="001E41A2" w:rsidRPr="002F367B" w:rsidRDefault="001E41A2" w:rsidP="00AE7F37">
            <w:pPr>
              <w:jc w:val="left"/>
              <w:rPr>
                <w:rFonts w:eastAsia="Times New Roman" w:cs="Times New Roman"/>
                <w:sz w:val="20"/>
                <w:szCs w:val="20"/>
                <w:lang w:val="en-GB" w:eastAsia="fr-BE"/>
              </w:rPr>
            </w:pPr>
          </w:p>
        </w:tc>
        <w:tc>
          <w:tcPr>
            <w:tcW w:w="1134" w:type="dxa"/>
            <w:vMerge/>
            <w:shd w:val="clear" w:color="548DD4" w:fill="FFFFFF"/>
          </w:tcPr>
          <w:p w:rsidR="001E41A2" w:rsidRPr="002F367B" w:rsidRDefault="001E41A2" w:rsidP="00AE7F37">
            <w:pPr>
              <w:jc w:val="left"/>
              <w:rPr>
                <w:rFonts w:eastAsia="Times New Roman" w:cs="Times New Roman"/>
                <w:sz w:val="20"/>
                <w:szCs w:val="20"/>
                <w:lang w:val="en-GB" w:eastAsia="fr-BE"/>
              </w:rPr>
            </w:pPr>
          </w:p>
        </w:tc>
        <w:tc>
          <w:tcPr>
            <w:tcW w:w="1134" w:type="dxa"/>
            <w:vMerge/>
            <w:tcBorders>
              <w:bottom w:val="single" w:sz="4" w:space="0" w:color="auto"/>
            </w:tcBorders>
          </w:tcPr>
          <w:p w:rsidR="001E41A2" w:rsidRPr="002F367B" w:rsidRDefault="001E41A2" w:rsidP="00AE7F37">
            <w:pPr>
              <w:jc w:val="left"/>
              <w:rPr>
                <w:sz w:val="20"/>
                <w:szCs w:val="20"/>
              </w:rPr>
            </w:pPr>
          </w:p>
        </w:tc>
        <w:tc>
          <w:tcPr>
            <w:tcW w:w="2977" w:type="dxa"/>
            <w:vMerge/>
            <w:tcBorders>
              <w:bottom w:val="single" w:sz="4" w:space="0" w:color="auto"/>
            </w:tcBorders>
            <w:shd w:val="clear" w:color="auto" w:fill="auto"/>
          </w:tcPr>
          <w:p w:rsidR="001E41A2" w:rsidRPr="002F367B" w:rsidRDefault="001E41A2" w:rsidP="00AE7F37">
            <w:pPr>
              <w:jc w:val="left"/>
              <w:rPr>
                <w:sz w:val="20"/>
                <w:szCs w:val="20"/>
              </w:rPr>
            </w:pPr>
          </w:p>
        </w:tc>
        <w:tc>
          <w:tcPr>
            <w:tcW w:w="3260" w:type="dxa"/>
            <w:tcBorders>
              <w:bottom w:val="single" w:sz="4" w:space="0" w:color="auto"/>
            </w:tcBorders>
            <w:shd w:val="clear" w:color="auto" w:fill="auto"/>
          </w:tcPr>
          <w:p w:rsidR="001E41A2" w:rsidRPr="002F367B" w:rsidRDefault="0033290F" w:rsidP="00AE7F37">
            <w:pPr>
              <w:jc w:val="left"/>
              <w:rPr>
                <w:sz w:val="20"/>
                <w:szCs w:val="20"/>
              </w:rPr>
            </w:pPr>
            <w:r w:rsidRPr="0033290F">
              <w:rPr>
                <w:sz w:val="20"/>
                <w:szCs w:val="20"/>
              </w:rPr>
              <w:t>1.2 Snížit vnos znečišťujících látek do povrchových a podzemních vod</w:t>
            </w:r>
          </w:p>
        </w:tc>
        <w:tc>
          <w:tcPr>
            <w:tcW w:w="1842" w:type="dxa"/>
            <w:tcBorders>
              <w:bottom w:val="single" w:sz="4" w:space="0" w:color="auto"/>
            </w:tcBorders>
          </w:tcPr>
          <w:p w:rsidR="001E41A2" w:rsidRPr="002F367B" w:rsidRDefault="0033290F" w:rsidP="00AE7F37">
            <w:pPr>
              <w:jc w:val="left"/>
              <w:rPr>
                <w:sz w:val="20"/>
                <w:szCs w:val="20"/>
              </w:rPr>
            </w:pPr>
            <w:r w:rsidRPr="0033290F">
              <w:rPr>
                <w:sz w:val="20"/>
                <w:szCs w:val="20"/>
              </w:rPr>
              <w:t>Viz kapitola 2.1 PO 1</w:t>
            </w:r>
          </w:p>
        </w:tc>
      </w:tr>
      <w:tr w:rsidR="001E41A2" w:rsidRPr="00F56E54" w:rsidTr="00AE7F37">
        <w:trPr>
          <w:trHeight w:val="918"/>
        </w:trPr>
        <w:tc>
          <w:tcPr>
            <w:tcW w:w="959" w:type="dxa"/>
            <w:vMerge/>
            <w:shd w:val="clear" w:color="548DD4" w:fill="FFFFFF"/>
          </w:tcPr>
          <w:p w:rsidR="001E41A2" w:rsidRPr="002F367B" w:rsidRDefault="001E41A2" w:rsidP="00AE7F37">
            <w:pPr>
              <w:jc w:val="left"/>
              <w:rPr>
                <w:rFonts w:eastAsia="Times New Roman" w:cstheme="minorHAnsi"/>
                <w:sz w:val="20"/>
                <w:szCs w:val="20"/>
                <w:lang w:val="en-GB" w:eastAsia="en-US"/>
              </w:rPr>
            </w:pPr>
          </w:p>
        </w:tc>
        <w:tc>
          <w:tcPr>
            <w:tcW w:w="1417" w:type="dxa"/>
            <w:vMerge w:val="restart"/>
            <w:shd w:val="clear" w:color="548DD4" w:fill="FFFFFF"/>
          </w:tcPr>
          <w:p w:rsidR="001E41A2" w:rsidRPr="002F367B" w:rsidRDefault="0033290F" w:rsidP="00AE7F37">
            <w:pPr>
              <w:jc w:val="left"/>
              <w:rPr>
                <w:rFonts w:eastAsia="Times New Roman" w:cstheme="minorHAnsi"/>
                <w:sz w:val="20"/>
                <w:szCs w:val="20"/>
                <w:lang w:val="en-GB" w:eastAsia="en-US"/>
              </w:rPr>
            </w:pPr>
            <w:r w:rsidRPr="0033290F">
              <w:rPr>
                <w:rFonts w:eastAsia="Times New Roman" w:cstheme="minorHAnsi"/>
                <w:sz w:val="20"/>
                <w:szCs w:val="20"/>
                <w:lang w:val="en-GB" w:eastAsia="en-US"/>
              </w:rPr>
              <w:t>FS</w:t>
            </w:r>
          </w:p>
        </w:tc>
        <w:tc>
          <w:tcPr>
            <w:tcW w:w="1418" w:type="dxa"/>
            <w:vMerge w:val="restart"/>
            <w:shd w:val="clear" w:color="548DD4" w:fill="FFFFFF"/>
          </w:tcPr>
          <w:p w:rsidR="001E41A2" w:rsidRPr="002F367B" w:rsidRDefault="005C59E1" w:rsidP="00AE7F37">
            <w:pPr>
              <w:jc w:val="left"/>
              <w:rPr>
                <w:rFonts w:eastAsia="Times New Roman" w:cstheme="minorHAnsi"/>
                <w:sz w:val="20"/>
                <w:szCs w:val="20"/>
                <w:lang w:val="en-GB" w:eastAsia="en-US"/>
              </w:rPr>
            </w:pPr>
            <w:r w:rsidRPr="005C59E1">
              <w:rPr>
                <w:rFonts w:eastAsia="Times New Roman" w:cstheme="minorHAnsi"/>
                <w:sz w:val="20"/>
                <w:szCs w:val="20"/>
                <w:lang w:val="en-GB" w:eastAsia="en-US"/>
              </w:rPr>
              <w:t xml:space="preserve">287 329 170 </w:t>
            </w:r>
          </w:p>
        </w:tc>
        <w:tc>
          <w:tcPr>
            <w:tcW w:w="1134" w:type="dxa"/>
            <w:vMerge w:val="restart"/>
            <w:shd w:val="clear" w:color="548DD4" w:fill="FFFFFF"/>
          </w:tcPr>
          <w:p w:rsidR="001E41A2" w:rsidRPr="002F367B" w:rsidRDefault="0033290F" w:rsidP="00750C65">
            <w:pPr>
              <w:jc w:val="left"/>
              <w:rPr>
                <w:rFonts w:eastAsia="Times New Roman" w:cstheme="minorHAnsi"/>
                <w:sz w:val="20"/>
                <w:szCs w:val="20"/>
                <w:lang w:val="en-GB" w:eastAsia="en-US"/>
              </w:rPr>
            </w:pPr>
            <w:r w:rsidRPr="0033290F">
              <w:rPr>
                <w:rFonts w:eastAsia="Times New Roman" w:cstheme="minorHAnsi"/>
                <w:sz w:val="20"/>
                <w:szCs w:val="20"/>
                <w:lang w:val="en-GB" w:eastAsia="en-US"/>
              </w:rPr>
              <w:t>11,</w:t>
            </w:r>
            <w:r w:rsidR="00750C65">
              <w:rPr>
                <w:rFonts w:eastAsia="Times New Roman" w:cstheme="minorHAnsi"/>
                <w:sz w:val="20"/>
                <w:szCs w:val="20"/>
                <w:lang w:val="en-GB" w:eastAsia="en-US"/>
              </w:rPr>
              <w:t>2</w:t>
            </w:r>
            <w:r w:rsidRPr="0033290F">
              <w:rPr>
                <w:rFonts w:eastAsia="Times New Roman" w:cstheme="minorHAnsi"/>
                <w:sz w:val="20"/>
                <w:szCs w:val="20"/>
                <w:lang w:val="en-GB" w:eastAsia="en-US"/>
              </w:rPr>
              <w:t xml:space="preserve"> %</w:t>
            </w:r>
          </w:p>
        </w:tc>
        <w:tc>
          <w:tcPr>
            <w:tcW w:w="1134" w:type="dxa"/>
            <w:vMerge w:val="restart"/>
            <w:tcBorders>
              <w:bottom w:val="single" w:sz="4" w:space="0" w:color="auto"/>
            </w:tcBorders>
          </w:tcPr>
          <w:p w:rsidR="001E41A2" w:rsidRPr="002F367B" w:rsidRDefault="0033290F" w:rsidP="00AE7F37">
            <w:pPr>
              <w:jc w:val="left"/>
              <w:rPr>
                <w:rFonts w:eastAsia="Times New Roman" w:cstheme="minorHAnsi"/>
                <w:bCs/>
                <w:sz w:val="20"/>
                <w:szCs w:val="20"/>
                <w:lang w:val="en-GB" w:eastAsia="fr-BE"/>
              </w:rPr>
            </w:pPr>
            <w:r w:rsidRPr="0033290F">
              <w:rPr>
                <w:rFonts w:cstheme="minorHAnsi"/>
                <w:sz w:val="20"/>
                <w:szCs w:val="20"/>
              </w:rPr>
              <w:t>Tematický cíl 5: Podpora přizpůsobení se změně klimatu, předcháze</w:t>
            </w:r>
            <w:r w:rsidRPr="0033290F">
              <w:rPr>
                <w:rFonts w:cstheme="minorHAnsi"/>
                <w:sz w:val="20"/>
                <w:szCs w:val="20"/>
              </w:rPr>
              <w:lastRenderedPageBreak/>
              <w:t>ní rizikům a řízení rizik</w:t>
            </w:r>
          </w:p>
        </w:tc>
        <w:tc>
          <w:tcPr>
            <w:tcW w:w="2977" w:type="dxa"/>
            <w:vMerge w:val="restart"/>
            <w:tcBorders>
              <w:bottom w:val="single" w:sz="4" w:space="0" w:color="auto"/>
            </w:tcBorders>
            <w:shd w:val="clear" w:color="auto" w:fill="auto"/>
          </w:tcPr>
          <w:p w:rsidR="001E41A2" w:rsidRPr="002F367B" w:rsidRDefault="0033290F" w:rsidP="00AE7F37">
            <w:pPr>
              <w:jc w:val="left"/>
              <w:rPr>
                <w:sz w:val="20"/>
                <w:szCs w:val="20"/>
              </w:rPr>
            </w:pPr>
            <w:r w:rsidRPr="0033290F">
              <w:rPr>
                <w:rFonts w:cs="EUAlbertina"/>
                <w:color w:val="000000"/>
                <w:sz w:val="20"/>
                <w:szCs w:val="20"/>
              </w:rPr>
              <w:lastRenderedPageBreak/>
              <w:t>Podporování přizpůsobení se změně klimatu, předcházení rizikům a řízení rizik podporou investic zaměřených na řešení konkrétních rizik, zajištěním odolnosti vůči katastrofám a vývojem systémů pro zvládání katastrof</w:t>
            </w:r>
          </w:p>
        </w:tc>
        <w:tc>
          <w:tcPr>
            <w:tcW w:w="3260" w:type="dxa"/>
            <w:tcBorders>
              <w:bottom w:val="single" w:sz="4" w:space="0" w:color="auto"/>
            </w:tcBorders>
            <w:shd w:val="clear" w:color="auto" w:fill="auto"/>
          </w:tcPr>
          <w:p w:rsidR="001E41A2" w:rsidRPr="002F367B" w:rsidRDefault="001E41A2" w:rsidP="00AE7F37">
            <w:pPr>
              <w:jc w:val="left"/>
              <w:rPr>
                <w:sz w:val="20"/>
                <w:szCs w:val="20"/>
              </w:rPr>
            </w:pPr>
            <w:r w:rsidRPr="002F367B">
              <w:rPr>
                <w:rFonts w:cstheme="minorHAnsi"/>
                <w:sz w:val="20"/>
                <w:szCs w:val="20"/>
              </w:rPr>
              <w:t>1.3 Zajistit povodňovou ochranu </w:t>
            </w:r>
            <w:proofErr w:type="spellStart"/>
            <w:r w:rsidRPr="002F367B">
              <w:rPr>
                <w:rFonts w:cstheme="minorHAnsi"/>
                <w:sz w:val="20"/>
                <w:szCs w:val="20"/>
              </w:rPr>
              <w:t>intravilánu</w:t>
            </w:r>
            <w:proofErr w:type="spellEnd"/>
            <w:r w:rsidRPr="002F367B">
              <w:rPr>
                <w:rFonts w:cstheme="minorHAnsi"/>
                <w:sz w:val="20"/>
                <w:szCs w:val="20"/>
              </w:rPr>
              <w:t xml:space="preserve"> </w:t>
            </w:r>
          </w:p>
        </w:tc>
        <w:tc>
          <w:tcPr>
            <w:tcW w:w="1842" w:type="dxa"/>
            <w:tcBorders>
              <w:bottom w:val="single" w:sz="4" w:space="0" w:color="auto"/>
            </w:tcBorders>
          </w:tcPr>
          <w:p w:rsidR="001E41A2" w:rsidRPr="002F367B" w:rsidRDefault="0033290F" w:rsidP="00AE7F37">
            <w:pPr>
              <w:jc w:val="left"/>
              <w:rPr>
                <w:sz w:val="20"/>
                <w:szCs w:val="20"/>
              </w:rPr>
            </w:pPr>
            <w:r w:rsidRPr="0033290F">
              <w:rPr>
                <w:sz w:val="20"/>
                <w:szCs w:val="20"/>
              </w:rPr>
              <w:t>Viz kapitola 2.1 PO 1</w:t>
            </w:r>
          </w:p>
        </w:tc>
      </w:tr>
      <w:tr w:rsidR="001E41A2" w:rsidRPr="00284FFC" w:rsidTr="00AE7F37">
        <w:trPr>
          <w:trHeight w:val="780"/>
        </w:trPr>
        <w:tc>
          <w:tcPr>
            <w:tcW w:w="959" w:type="dxa"/>
            <w:vMerge/>
            <w:tcBorders>
              <w:bottom w:val="single" w:sz="4" w:space="0" w:color="auto"/>
            </w:tcBorders>
            <w:shd w:val="clear" w:color="548DD4" w:fill="FFFFFF"/>
          </w:tcPr>
          <w:p w:rsidR="001E41A2" w:rsidRPr="002F367B" w:rsidRDefault="001E41A2" w:rsidP="00AE7F37">
            <w:pPr>
              <w:jc w:val="left"/>
              <w:rPr>
                <w:rFonts w:eastAsia="Times New Roman" w:cstheme="minorHAnsi"/>
                <w:sz w:val="20"/>
                <w:szCs w:val="20"/>
                <w:lang w:val="en-GB" w:eastAsia="en-US"/>
              </w:rPr>
            </w:pPr>
          </w:p>
        </w:tc>
        <w:tc>
          <w:tcPr>
            <w:tcW w:w="1417" w:type="dxa"/>
            <w:vMerge/>
            <w:tcBorders>
              <w:bottom w:val="single" w:sz="4" w:space="0" w:color="auto"/>
            </w:tcBorders>
            <w:shd w:val="clear" w:color="548DD4" w:fill="FFFFFF"/>
          </w:tcPr>
          <w:p w:rsidR="001E41A2" w:rsidRPr="002F367B" w:rsidRDefault="001E41A2" w:rsidP="00AE7F37">
            <w:pPr>
              <w:jc w:val="left"/>
              <w:rPr>
                <w:rFonts w:eastAsia="Times New Roman" w:cstheme="minorHAnsi"/>
                <w:sz w:val="20"/>
                <w:szCs w:val="20"/>
                <w:lang w:val="en-GB" w:eastAsia="en-US"/>
              </w:rPr>
            </w:pPr>
          </w:p>
        </w:tc>
        <w:tc>
          <w:tcPr>
            <w:tcW w:w="1418" w:type="dxa"/>
            <w:vMerge/>
            <w:tcBorders>
              <w:bottom w:val="single" w:sz="4" w:space="0" w:color="auto"/>
            </w:tcBorders>
            <w:shd w:val="clear" w:color="548DD4" w:fill="FFFFFF"/>
          </w:tcPr>
          <w:p w:rsidR="001E41A2" w:rsidRPr="002F367B" w:rsidRDefault="001E41A2" w:rsidP="00AE7F37">
            <w:pPr>
              <w:jc w:val="left"/>
              <w:rPr>
                <w:rFonts w:eastAsia="Times New Roman" w:cstheme="minorHAnsi"/>
                <w:sz w:val="20"/>
                <w:szCs w:val="20"/>
                <w:lang w:val="en-GB" w:eastAsia="en-US"/>
              </w:rPr>
            </w:pPr>
          </w:p>
        </w:tc>
        <w:tc>
          <w:tcPr>
            <w:tcW w:w="1134" w:type="dxa"/>
            <w:vMerge/>
            <w:tcBorders>
              <w:bottom w:val="single" w:sz="4" w:space="0" w:color="auto"/>
            </w:tcBorders>
            <w:shd w:val="clear" w:color="548DD4" w:fill="FFFFFF"/>
          </w:tcPr>
          <w:p w:rsidR="001E41A2" w:rsidRPr="002F367B" w:rsidRDefault="001E41A2" w:rsidP="00AE7F37">
            <w:pPr>
              <w:jc w:val="left"/>
              <w:rPr>
                <w:rFonts w:eastAsia="Times New Roman" w:cstheme="minorHAnsi"/>
                <w:sz w:val="20"/>
                <w:szCs w:val="20"/>
                <w:lang w:val="en-GB" w:eastAsia="en-US"/>
              </w:rPr>
            </w:pPr>
          </w:p>
        </w:tc>
        <w:tc>
          <w:tcPr>
            <w:tcW w:w="1134" w:type="dxa"/>
            <w:vMerge/>
            <w:tcBorders>
              <w:bottom w:val="single" w:sz="4" w:space="0" w:color="auto"/>
            </w:tcBorders>
          </w:tcPr>
          <w:p w:rsidR="001E41A2" w:rsidRPr="002F367B" w:rsidRDefault="001E41A2" w:rsidP="00AE7F37">
            <w:pPr>
              <w:jc w:val="left"/>
              <w:rPr>
                <w:sz w:val="20"/>
                <w:szCs w:val="20"/>
              </w:rPr>
            </w:pPr>
          </w:p>
        </w:tc>
        <w:tc>
          <w:tcPr>
            <w:tcW w:w="2977" w:type="dxa"/>
            <w:vMerge/>
            <w:tcBorders>
              <w:bottom w:val="single" w:sz="4" w:space="0" w:color="auto"/>
            </w:tcBorders>
            <w:shd w:val="clear" w:color="auto" w:fill="auto"/>
          </w:tcPr>
          <w:p w:rsidR="001E41A2" w:rsidRPr="002F367B" w:rsidRDefault="001E41A2" w:rsidP="00AE7F37">
            <w:pPr>
              <w:jc w:val="left"/>
              <w:rPr>
                <w:sz w:val="20"/>
                <w:szCs w:val="20"/>
              </w:rPr>
            </w:pPr>
          </w:p>
        </w:tc>
        <w:tc>
          <w:tcPr>
            <w:tcW w:w="3260" w:type="dxa"/>
            <w:tcBorders>
              <w:bottom w:val="single" w:sz="4" w:space="0" w:color="auto"/>
            </w:tcBorders>
            <w:shd w:val="clear" w:color="auto" w:fill="auto"/>
          </w:tcPr>
          <w:p w:rsidR="001E41A2" w:rsidRPr="002F367B" w:rsidRDefault="0033290F" w:rsidP="00AE7F37">
            <w:pPr>
              <w:jc w:val="left"/>
              <w:rPr>
                <w:sz w:val="20"/>
                <w:szCs w:val="20"/>
              </w:rPr>
            </w:pPr>
            <w:r w:rsidRPr="0033290F">
              <w:rPr>
                <w:rFonts w:cstheme="minorHAnsi"/>
                <w:sz w:val="20"/>
                <w:szCs w:val="20"/>
              </w:rPr>
              <w:t>1.4 Podpořit preventivní protipovodňová opatření</w:t>
            </w:r>
          </w:p>
        </w:tc>
        <w:tc>
          <w:tcPr>
            <w:tcW w:w="1842" w:type="dxa"/>
            <w:tcBorders>
              <w:bottom w:val="single" w:sz="4" w:space="0" w:color="auto"/>
            </w:tcBorders>
          </w:tcPr>
          <w:p w:rsidR="001E41A2" w:rsidRPr="002F367B" w:rsidRDefault="0033290F" w:rsidP="00AE7F37">
            <w:pPr>
              <w:jc w:val="left"/>
              <w:rPr>
                <w:sz w:val="20"/>
                <w:szCs w:val="20"/>
              </w:rPr>
            </w:pPr>
            <w:r w:rsidRPr="0033290F">
              <w:rPr>
                <w:sz w:val="20"/>
                <w:szCs w:val="20"/>
              </w:rPr>
              <w:t>Viz kapitola 2.1 PO 1</w:t>
            </w:r>
          </w:p>
        </w:tc>
      </w:tr>
      <w:tr w:rsidR="001E41A2" w:rsidRPr="00284FFC" w:rsidTr="00AE7F37">
        <w:trPr>
          <w:trHeight w:val="245"/>
        </w:trPr>
        <w:tc>
          <w:tcPr>
            <w:tcW w:w="959" w:type="dxa"/>
            <w:vMerge w:val="restart"/>
            <w:tcBorders>
              <w:top w:val="single" w:sz="4" w:space="0" w:color="auto"/>
            </w:tcBorders>
            <w:shd w:val="clear" w:color="548DD4" w:fill="FFFFFF"/>
          </w:tcPr>
          <w:p w:rsidR="001E41A2" w:rsidRPr="002F367B" w:rsidRDefault="001E41A2" w:rsidP="00AE7F37">
            <w:pPr>
              <w:jc w:val="left"/>
              <w:rPr>
                <w:sz w:val="20"/>
                <w:szCs w:val="20"/>
              </w:rPr>
            </w:pPr>
            <w:r w:rsidRPr="002F367B">
              <w:rPr>
                <w:sz w:val="20"/>
                <w:szCs w:val="20"/>
              </w:rPr>
              <w:lastRenderedPageBreak/>
              <w:t>Prioritní osa 2</w:t>
            </w:r>
          </w:p>
        </w:tc>
        <w:tc>
          <w:tcPr>
            <w:tcW w:w="1417" w:type="dxa"/>
            <w:vMerge w:val="restart"/>
            <w:tcBorders>
              <w:top w:val="single" w:sz="4" w:space="0" w:color="auto"/>
            </w:tcBorders>
            <w:shd w:val="clear" w:color="auto" w:fill="auto"/>
          </w:tcPr>
          <w:p w:rsidR="001E41A2" w:rsidRPr="002F367B" w:rsidRDefault="001E41A2" w:rsidP="00AE7F37">
            <w:pPr>
              <w:jc w:val="left"/>
              <w:rPr>
                <w:rFonts w:cstheme="minorHAnsi"/>
                <w:bCs/>
                <w:sz w:val="20"/>
                <w:szCs w:val="20"/>
              </w:rPr>
            </w:pPr>
            <w:r w:rsidRPr="002F367B">
              <w:rPr>
                <w:rFonts w:cstheme="minorHAnsi"/>
                <w:bCs/>
                <w:sz w:val="20"/>
                <w:szCs w:val="20"/>
              </w:rPr>
              <w:t>FS</w:t>
            </w:r>
          </w:p>
        </w:tc>
        <w:tc>
          <w:tcPr>
            <w:tcW w:w="1418" w:type="dxa"/>
            <w:vMerge w:val="restart"/>
            <w:tcBorders>
              <w:top w:val="single" w:sz="4" w:space="0" w:color="auto"/>
            </w:tcBorders>
            <w:shd w:val="clear" w:color="auto" w:fill="auto"/>
          </w:tcPr>
          <w:p w:rsidR="001E41A2" w:rsidRPr="002F367B" w:rsidRDefault="004B56F1" w:rsidP="00AE7F37">
            <w:pPr>
              <w:jc w:val="left"/>
              <w:rPr>
                <w:sz w:val="20"/>
                <w:szCs w:val="20"/>
              </w:rPr>
            </w:pPr>
            <w:r>
              <w:rPr>
                <w:rFonts w:eastAsia="Times New Roman" w:cstheme="minorHAnsi"/>
                <w:sz w:val="20"/>
                <w:szCs w:val="20"/>
                <w:lang w:val="en-GB" w:eastAsia="en-US"/>
              </w:rPr>
              <w:t>453819065</w:t>
            </w:r>
          </w:p>
        </w:tc>
        <w:tc>
          <w:tcPr>
            <w:tcW w:w="1134" w:type="dxa"/>
            <w:vMerge w:val="restart"/>
            <w:tcBorders>
              <w:top w:val="single" w:sz="4" w:space="0" w:color="auto"/>
            </w:tcBorders>
            <w:shd w:val="clear" w:color="auto" w:fill="auto"/>
          </w:tcPr>
          <w:p w:rsidR="001E41A2" w:rsidRPr="002F367B" w:rsidRDefault="0033290F" w:rsidP="004B56F1">
            <w:pPr>
              <w:jc w:val="left"/>
              <w:rPr>
                <w:rFonts w:eastAsia="Times New Roman" w:cs="Calibri"/>
                <w:bCs/>
                <w:sz w:val="20"/>
                <w:szCs w:val="20"/>
              </w:rPr>
            </w:pPr>
            <w:r w:rsidRPr="0033290F">
              <w:rPr>
                <w:rFonts w:eastAsia="Times New Roman" w:cs="Calibri"/>
                <w:bCs/>
                <w:sz w:val="20"/>
                <w:szCs w:val="20"/>
              </w:rPr>
              <w:t>17,</w:t>
            </w:r>
            <w:r w:rsidR="004B56F1">
              <w:rPr>
                <w:rFonts w:eastAsia="Times New Roman" w:cs="Calibri"/>
                <w:bCs/>
                <w:sz w:val="20"/>
                <w:szCs w:val="20"/>
              </w:rPr>
              <w:t>69</w:t>
            </w:r>
            <w:r w:rsidRPr="0033290F">
              <w:rPr>
                <w:rFonts w:eastAsia="Times New Roman" w:cs="Calibri"/>
                <w:bCs/>
                <w:sz w:val="20"/>
                <w:szCs w:val="20"/>
              </w:rPr>
              <w:t xml:space="preserve"> %</w:t>
            </w:r>
          </w:p>
        </w:tc>
        <w:tc>
          <w:tcPr>
            <w:tcW w:w="1134" w:type="dxa"/>
            <w:vMerge w:val="restart"/>
            <w:tcBorders>
              <w:top w:val="single" w:sz="4" w:space="0" w:color="auto"/>
            </w:tcBorders>
          </w:tcPr>
          <w:p w:rsidR="001E41A2" w:rsidRPr="002F367B" w:rsidRDefault="0033290F" w:rsidP="00AE7F37">
            <w:pPr>
              <w:jc w:val="left"/>
              <w:rPr>
                <w:sz w:val="20"/>
                <w:szCs w:val="20"/>
              </w:rPr>
            </w:pPr>
            <w:r w:rsidRPr="0033290F">
              <w:rPr>
                <w:rFonts w:cstheme="minorHAnsi"/>
                <w:bCs/>
                <w:sz w:val="20"/>
                <w:szCs w:val="20"/>
              </w:rPr>
              <w:t>Tematický cíl 6: Ochrana životního prostředí a podpora účinného využívání zdrojů</w:t>
            </w:r>
          </w:p>
        </w:tc>
        <w:tc>
          <w:tcPr>
            <w:tcW w:w="2977" w:type="dxa"/>
            <w:vMerge w:val="restart"/>
            <w:tcBorders>
              <w:top w:val="single" w:sz="4" w:space="0" w:color="auto"/>
            </w:tcBorders>
            <w:shd w:val="clear" w:color="auto" w:fill="auto"/>
          </w:tcPr>
          <w:p w:rsidR="001E41A2" w:rsidRPr="002F367B" w:rsidRDefault="0033290F" w:rsidP="00AE7F37">
            <w:pPr>
              <w:jc w:val="left"/>
              <w:rPr>
                <w:sz w:val="20"/>
                <w:szCs w:val="20"/>
              </w:rPr>
            </w:pPr>
            <w:r w:rsidRPr="0033290F">
              <w:rPr>
                <w:rFonts w:cs="EUAlbertina"/>
                <w:color w:val="000000"/>
                <w:sz w:val="20"/>
                <w:szCs w:val="20"/>
              </w:rPr>
              <w:t>Zachování a ochrana životního prostředí a podporování účinného využívání zdrojů přijímáním opatření ke zlepšování městského prostředí, revitalizaci měst, regeneraci a dekontaminaci dříve zastavěných území (</w:t>
            </w:r>
            <w:proofErr w:type="spellStart"/>
            <w:proofErr w:type="gramStart"/>
            <w:r w:rsidRPr="0033290F">
              <w:rPr>
                <w:rFonts w:cs="EUAlbertina"/>
                <w:color w:val="000000"/>
                <w:sz w:val="20"/>
                <w:szCs w:val="20"/>
              </w:rPr>
              <w:t>brownfields</w:t>
            </w:r>
            <w:proofErr w:type="spellEnd"/>
            <w:r w:rsidRPr="0033290F">
              <w:rPr>
                <w:rFonts w:cs="EUAlbertina"/>
                <w:color w:val="000000"/>
                <w:sz w:val="20"/>
                <w:szCs w:val="20"/>
              </w:rPr>
              <w:t>) (včetně</w:t>
            </w:r>
            <w:proofErr w:type="gramEnd"/>
            <w:r w:rsidRPr="0033290F">
              <w:rPr>
                <w:rFonts w:cs="EUAlbertina"/>
                <w:color w:val="000000"/>
                <w:sz w:val="20"/>
                <w:szCs w:val="20"/>
              </w:rPr>
              <w:t xml:space="preserve"> bývalých vojenských oblastí), snížení znečištění ovzduší a podporou opatření ke snížení hluku (Dle Nařízení Evropského parlamentu a Rady (EU) č. 1300/2013, čl. 4 odst. c) písm. </w:t>
            </w:r>
            <w:proofErr w:type="spellStart"/>
            <w:r w:rsidRPr="0033290F">
              <w:rPr>
                <w:rFonts w:cs="EUAlbertina"/>
                <w:color w:val="000000"/>
                <w:sz w:val="20"/>
                <w:szCs w:val="20"/>
              </w:rPr>
              <w:t>iv</w:t>
            </w:r>
            <w:proofErr w:type="spellEnd"/>
            <w:r w:rsidRPr="0033290F">
              <w:rPr>
                <w:rFonts w:cs="EUAlbertina"/>
                <w:color w:val="000000"/>
                <w:sz w:val="20"/>
                <w:szCs w:val="20"/>
              </w:rPr>
              <w:t>))</w:t>
            </w:r>
          </w:p>
        </w:tc>
        <w:tc>
          <w:tcPr>
            <w:tcW w:w="3260" w:type="dxa"/>
            <w:tcBorders>
              <w:top w:val="single" w:sz="4" w:space="0" w:color="auto"/>
            </w:tcBorders>
            <w:shd w:val="clear" w:color="auto" w:fill="auto"/>
          </w:tcPr>
          <w:p w:rsidR="001E41A2" w:rsidRPr="002F367B" w:rsidRDefault="0033290F" w:rsidP="00AE7F37">
            <w:pPr>
              <w:jc w:val="left"/>
              <w:rPr>
                <w:rFonts w:eastAsia="Times New Roman" w:cs="Calibri"/>
                <w:bCs/>
                <w:sz w:val="20"/>
                <w:szCs w:val="20"/>
              </w:rPr>
            </w:pPr>
            <w:r w:rsidRPr="0033290F">
              <w:rPr>
                <w:rFonts w:eastAsia="Times New Roman" w:cs="Calibri"/>
                <w:bCs/>
                <w:sz w:val="20"/>
                <w:szCs w:val="20"/>
              </w:rPr>
              <w:t>2.1 Snížit emise z lokálního vytápění domácností podílející se na expozici obyvatelstva nadlimitním koncentracím znečišťujících látek</w:t>
            </w:r>
          </w:p>
        </w:tc>
        <w:tc>
          <w:tcPr>
            <w:tcW w:w="1842" w:type="dxa"/>
            <w:tcBorders>
              <w:top w:val="single" w:sz="4" w:space="0" w:color="auto"/>
            </w:tcBorders>
          </w:tcPr>
          <w:p w:rsidR="001E41A2" w:rsidRPr="002F367B" w:rsidRDefault="0033290F" w:rsidP="00AE7F37">
            <w:pPr>
              <w:jc w:val="left"/>
              <w:rPr>
                <w:sz w:val="20"/>
                <w:szCs w:val="20"/>
              </w:rPr>
            </w:pPr>
            <w:r w:rsidRPr="0033290F">
              <w:rPr>
                <w:sz w:val="20"/>
                <w:szCs w:val="20"/>
              </w:rPr>
              <w:t>Viz kapitola 2.2 PO 2</w:t>
            </w:r>
          </w:p>
        </w:tc>
      </w:tr>
      <w:tr w:rsidR="001E41A2" w:rsidRPr="00284FFC" w:rsidTr="00AE7F37">
        <w:trPr>
          <w:trHeight w:val="419"/>
        </w:trPr>
        <w:tc>
          <w:tcPr>
            <w:tcW w:w="959" w:type="dxa"/>
            <w:vMerge/>
            <w:shd w:val="clear" w:color="548DD4" w:fill="FFFFFF"/>
          </w:tcPr>
          <w:p w:rsidR="001E41A2" w:rsidRPr="002F367B" w:rsidRDefault="001E41A2" w:rsidP="00AE7F37">
            <w:pPr>
              <w:jc w:val="left"/>
              <w:rPr>
                <w:sz w:val="20"/>
                <w:szCs w:val="20"/>
              </w:rPr>
            </w:pPr>
          </w:p>
        </w:tc>
        <w:tc>
          <w:tcPr>
            <w:tcW w:w="1417" w:type="dxa"/>
            <w:vMerge/>
            <w:shd w:val="clear" w:color="auto" w:fill="auto"/>
          </w:tcPr>
          <w:p w:rsidR="001E41A2" w:rsidRPr="002F367B" w:rsidRDefault="001E41A2" w:rsidP="00AE7F37">
            <w:pPr>
              <w:jc w:val="left"/>
              <w:rPr>
                <w:rFonts w:cstheme="minorHAnsi"/>
                <w:bCs/>
                <w:sz w:val="20"/>
                <w:szCs w:val="20"/>
              </w:rPr>
            </w:pPr>
          </w:p>
        </w:tc>
        <w:tc>
          <w:tcPr>
            <w:tcW w:w="1418" w:type="dxa"/>
            <w:vMerge/>
            <w:shd w:val="clear" w:color="auto" w:fill="auto"/>
          </w:tcPr>
          <w:p w:rsidR="001E41A2" w:rsidRPr="002F367B" w:rsidRDefault="001E41A2" w:rsidP="00AE7F37">
            <w:pPr>
              <w:jc w:val="left"/>
              <w:rPr>
                <w:sz w:val="20"/>
                <w:szCs w:val="20"/>
              </w:rPr>
            </w:pPr>
          </w:p>
        </w:tc>
        <w:tc>
          <w:tcPr>
            <w:tcW w:w="1134" w:type="dxa"/>
            <w:vMerge/>
            <w:shd w:val="clear" w:color="auto" w:fill="auto"/>
          </w:tcPr>
          <w:p w:rsidR="001E41A2" w:rsidRPr="002F367B" w:rsidRDefault="001E41A2" w:rsidP="00AE7F37">
            <w:pPr>
              <w:jc w:val="left"/>
              <w:rPr>
                <w:rFonts w:eastAsia="Times New Roman" w:cs="Calibri"/>
                <w:bCs/>
                <w:sz w:val="20"/>
                <w:szCs w:val="20"/>
                <w:lang w:val="en-GB" w:eastAsia="fr-BE"/>
              </w:rPr>
            </w:pPr>
          </w:p>
        </w:tc>
        <w:tc>
          <w:tcPr>
            <w:tcW w:w="1134" w:type="dxa"/>
            <w:vMerge/>
          </w:tcPr>
          <w:p w:rsidR="001E41A2" w:rsidRPr="002F367B" w:rsidRDefault="001E41A2" w:rsidP="00AE7F37">
            <w:pPr>
              <w:jc w:val="left"/>
              <w:rPr>
                <w:sz w:val="20"/>
                <w:szCs w:val="20"/>
              </w:rPr>
            </w:pPr>
          </w:p>
        </w:tc>
        <w:tc>
          <w:tcPr>
            <w:tcW w:w="2977" w:type="dxa"/>
            <w:vMerge/>
            <w:shd w:val="clear" w:color="auto" w:fill="auto"/>
          </w:tcPr>
          <w:p w:rsidR="001E41A2" w:rsidRPr="002F367B" w:rsidRDefault="001E41A2" w:rsidP="00AE7F37">
            <w:pPr>
              <w:jc w:val="left"/>
              <w:rPr>
                <w:sz w:val="20"/>
                <w:szCs w:val="20"/>
              </w:rPr>
            </w:pPr>
          </w:p>
        </w:tc>
        <w:tc>
          <w:tcPr>
            <w:tcW w:w="3260" w:type="dxa"/>
            <w:shd w:val="clear" w:color="auto" w:fill="auto"/>
          </w:tcPr>
          <w:p w:rsidR="001E41A2" w:rsidRPr="002F367B" w:rsidRDefault="0033290F" w:rsidP="00AE7F37">
            <w:pPr>
              <w:jc w:val="left"/>
              <w:rPr>
                <w:sz w:val="20"/>
                <w:szCs w:val="20"/>
              </w:rPr>
            </w:pPr>
            <w:r w:rsidRPr="0033290F">
              <w:rPr>
                <w:rFonts w:cs="Calibri"/>
                <w:bCs/>
                <w:sz w:val="20"/>
                <w:szCs w:val="20"/>
              </w:rPr>
              <w:t>2.2 Snížit emise stacionárních zdrojů podílející se na expozici obyvatelstva nadlimitním koncentracím znečišťujících látek</w:t>
            </w:r>
          </w:p>
        </w:tc>
        <w:tc>
          <w:tcPr>
            <w:tcW w:w="1842" w:type="dxa"/>
          </w:tcPr>
          <w:p w:rsidR="001E41A2" w:rsidRPr="002F367B" w:rsidRDefault="0033290F" w:rsidP="00AE7F37">
            <w:pPr>
              <w:jc w:val="left"/>
              <w:rPr>
                <w:sz w:val="20"/>
                <w:szCs w:val="20"/>
              </w:rPr>
            </w:pPr>
            <w:r w:rsidRPr="0033290F">
              <w:rPr>
                <w:sz w:val="20"/>
                <w:szCs w:val="20"/>
              </w:rPr>
              <w:t>Viz kapitola 2.2 PO 2</w:t>
            </w:r>
          </w:p>
        </w:tc>
      </w:tr>
      <w:tr w:rsidR="001E41A2" w:rsidRPr="00284FFC" w:rsidTr="00AE7F37">
        <w:trPr>
          <w:trHeight w:val="289"/>
        </w:trPr>
        <w:tc>
          <w:tcPr>
            <w:tcW w:w="959" w:type="dxa"/>
            <w:vMerge/>
            <w:shd w:val="clear" w:color="548DD4" w:fill="FFFFFF"/>
          </w:tcPr>
          <w:p w:rsidR="001E41A2" w:rsidRPr="002F367B" w:rsidRDefault="001E41A2" w:rsidP="00AE7F37">
            <w:pPr>
              <w:jc w:val="left"/>
              <w:rPr>
                <w:sz w:val="20"/>
                <w:szCs w:val="20"/>
              </w:rPr>
            </w:pPr>
          </w:p>
        </w:tc>
        <w:tc>
          <w:tcPr>
            <w:tcW w:w="1417" w:type="dxa"/>
            <w:vMerge/>
            <w:shd w:val="clear" w:color="auto" w:fill="auto"/>
          </w:tcPr>
          <w:p w:rsidR="001E41A2" w:rsidRPr="002F367B" w:rsidRDefault="001E41A2" w:rsidP="00AE7F37">
            <w:pPr>
              <w:jc w:val="left"/>
              <w:rPr>
                <w:rFonts w:cstheme="minorHAnsi"/>
                <w:bCs/>
                <w:sz w:val="20"/>
                <w:szCs w:val="20"/>
              </w:rPr>
            </w:pPr>
          </w:p>
        </w:tc>
        <w:tc>
          <w:tcPr>
            <w:tcW w:w="1418" w:type="dxa"/>
            <w:vMerge/>
            <w:shd w:val="clear" w:color="auto" w:fill="auto"/>
          </w:tcPr>
          <w:p w:rsidR="001E41A2" w:rsidRPr="002F367B" w:rsidRDefault="001E41A2" w:rsidP="00AE7F37">
            <w:pPr>
              <w:jc w:val="left"/>
              <w:rPr>
                <w:sz w:val="20"/>
                <w:szCs w:val="20"/>
              </w:rPr>
            </w:pPr>
          </w:p>
        </w:tc>
        <w:tc>
          <w:tcPr>
            <w:tcW w:w="1134" w:type="dxa"/>
            <w:vMerge/>
            <w:shd w:val="clear" w:color="auto" w:fill="auto"/>
          </w:tcPr>
          <w:p w:rsidR="001E41A2" w:rsidRPr="002F367B" w:rsidRDefault="001E41A2" w:rsidP="00AE7F37">
            <w:pPr>
              <w:jc w:val="left"/>
              <w:rPr>
                <w:rFonts w:eastAsia="Times New Roman" w:cs="Calibri"/>
                <w:bCs/>
                <w:sz w:val="20"/>
                <w:szCs w:val="20"/>
                <w:lang w:val="en-GB" w:eastAsia="fr-BE"/>
              </w:rPr>
            </w:pPr>
          </w:p>
        </w:tc>
        <w:tc>
          <w:tcPr>
            <w:tcW w:w="1134" w:type="dxa"/>
            <w:vMerge/>
          </w:tcPr>
          <w:p w:rsidR="001E41A2" w:rsidRPr="002F367B" w:rsidRDefault="001E41A2" w:rsidP="00AE7F37">
            <w:pPr>
              <w:jc w:val="left"/>
              <w:rPr>
                <w:sz w:val="20"/>
                <w:szCs w:val="20"/>
              </w:rPr>
            </w:pPr>
          </w:p>
        </w:tc>
        <w:tc>
          <w:tcPr>
            <w:tcW w:w="2977" w:type="dxa"/>
            <w:vMerge/>
            <w:shd w:val="clear" w:color="auto" w:fill="auto"/>
          </w:tcPr>
          <w:p w:rsidR="001E41A2" w:rsidRPr="002F367B" w:rsidRDefault="001E41A2" w:rsidP="00AE7F37">
            <w:pPr>
              <w:jc w:val="left"/>
              <w:rPr>
                <w:sz w:val="20"/>
                <w:szCs w:val="20"/>
              </w:rPr>
            </w:pPr>
          </w:p>
        </w:tc>
        <w:tc>
          <w:tcPr>
            <w:tcW w:w="3260" w:type="dxa"/>
            <w:shd w:val="clear" w:color="auto" w:fill="auto"/>
          </w:tcPr>
          <w:p w:rsidR="001E41A2" w:rsidRPr="002F367B" w:rsidRDefault="0033290F" w:rsidP="00AE7F37">
            <w:pPr>
              <w:jc w:val="left"/>
              <w:rPr>
                <w:sz w:val="20"/>
                <w:szCs w:val="20"/>
              </w:rPr>
            </w:pPr>
            <w:r w:rsidRPr="0033290F">
              <w:rPr>
                <w:rFonts w:cs="Calibri"/>
                <w:bCs/>
                <w:sz w:val="20"/>
                <w:szCs w:val="20"/>
              </w:rPr>
              <w:t xml:space="preserve">2.3 </w:t>
            </w:r>
            <w:r w:rsidRPr="0033290F">
              <w:rPr>
                <w:sz w:val="20"/>
                <w:szCs w:val="20"/>
              </w:rPr>
              <w:t>Zlepšit systém</w:t>
            </w:r>
            <w:r w:rsidRPr="0033290F">
              <w:rPr>
                <w:rFonts w:cs="Calibri"/>
                <w:sz w:val="20"/>
                <w:szCs w:val="20"/>
              </w:rPr>
              <w:t xml:space="preserve"> </w:t>
            </w:r>
            <w:r w:rsidRPr="0033290F">
              <w:rPr>
                <w:sz w:val="20"/>
                <w:szCs w:val="20"/>
              </w:rPr>
              <w:t>sledování, hodnocení a předpovídání vývoje kvality ovzduší, počasí a klimatu a ozonové vrstvy Země</w:t>
            </w:r>
          </w:p>
        </w:tc>
        <w:tc>
          <w:tcPr>
            <w:tcW w:w="1842" w:type="dxa"/>
          </w:tcPr>
          <w:p w:rsidR="001E41A2" w:rsidRPr="002F367B" w:rsidRDefault="0033290F" w:rsidP="00AE7F37">
            <w:pPr>
              <w:jc w:val="left"/>
              <w:rPr>
                <w:sz w:val="20"/>
                <w:szCs w:val="20"/>
              </w:rPr>
            </w:pPr>
            <w:r w:rsidRPr="0033290F">
              <w:rPr>
                <w:sz w:val="20"/>
                <w:szCs w:val="20"/>
              </w:rPr>
              <w:t>Viz kapitola 2.2 PO 2</w:t>
            </w:r>
          </w:p>
        </w:tc>
      </w:tr>
      <w:tr w:rsidR="001E41A2" w:rsidRPr="00284FFC" w:rsidTr="00AE7F37">
        <w:trPr>
          <w:trHeight w:val="1068"/>
        </w:trPr>
        <w:tc>
          <w:tcPr>
            <w:tcW w:w="959" w:type="dxa"/>
            <w:vMerge w:val="restart"/>
            <w:shd w:val="clear" w:color="548DD4" w:fill="FFFFFF"/>
          </w:tcPr>
          <w:p w:rsidR="001E41A2" w:rsidRPr="002F367B" w:rsidRDefault="001E41A2" w:rsidP="00AE7F37">
            <w:pPr>
              <w:jc w:val="left"/>
              <w:rPr>
                <w:sz w:val="20"/>
                <w:szCs w:val="20"/>
              </w:rPr>
            </w:pPr>
            <w:r w:rsidRPr="002F367B">
              <w:rPr>
                <w:sz w:val="20"/>
                <w:szCs w:val="20"/>
              </w:rPr>
              <w:t>Prioritní osa 3</w:t>
            </w:r>
          </w:p>
          <w:p w:rsidR="001E41A2" w:rsidRPr="002F367B" w:rsidRDefault="001E41A2" w:rsidP="00AE7F37">
            <w:pPr>
              <w:jc w:val="left"/>
              <w:rPr>
                <w:sz w:val="20"/>
                <w:szCs w:val="20"/>
              </w:rPr>
            </w:pPr>
          </w:p>
        </w:tc>
        <w:tc>
          <w:tcPr>
            <w:tcW w:w="1417" w:type="dxa"/>
            <w:vMerge w:val="restart"/>
            <w:shd w:val="clear" w:color="548DD4" w:fill="FFFFFF"/>
          </w:tcPr>
          <w:p w:rsidR="001E41A2" w:rsidRPr="002F367B" w:rsidRDefault="0033290F" w:rsidP="00AE7F37">
            <w:pPr>
              <w:jc w:val="left"/>
              <w:rPr>
                <w:sz w:val="20"/>
                <w:szCs w:val="20"/>
              </w:rPr>
            </w:pPr>
            <w:r w:rsidRPr="0033290F">
              <w:rPr>
                <w:sz w:val="20"/>
                <w:szCs w:val="20"/>
              </w:rPr>
              <w:lastRenderedPageBreak/>
              <w:t>FS</w:t>
            </w:r>
          </w:p>
        </w:tc>
        <w:tc>
          <w:tcPr>
            <w:tcW w:w="1418" w:type="dxa"/>
            <w:vMerge w:val="restart"/>
            <w:shd w:val="clear" w:color="548DD4" w:fill="FFFFFF"/>
          </w:tcPr>
          <w:p w:rsidR="001E41A2" w:rsidRPr="002F367B" w:rsidRDefault="0033290F" w:rsidP="00AE7F37">
            <w:pPr>
              <w:jc w:val="left"/>
              <w:rPr>
                <w:rFonts w:cstheme="minorHAnsi"/>
                <w:sz w:val="20"/>
                <w:szCs w:val="20"/>
              </w:rPr>
            </w:pPr>
            <w:r w:rsidRPr="0033290F">
              <w:rPr>
                <w:rFonts w:cstheme="minorHAnsi"/>
                <w:sz w:val="20"/>
                <w:szCs w:val="20"/>
              </w:rPr>
              <w:t>320 262 317</w:t>
            </w:r>
          </w:p>
        </w:tc>
        <w:tc>
          <w:tcPr>
            <w:tcW w:w="1134" w:type="dxa"/>
            <w:vMerge w:val="restart"/>
            <w:shd w:val="clear" w:color="548DD4" w:fill="FFFFFF"/>
          </w:tcPr>
          <w:p w:rsidR="001E41A2" w:rsidRPr="002F367B" w:rsidRDefault="0033290F" w:rsidP="00AE7F37">
            <w:pPr>
              <w:jc w:val="left"/>
              <w:rPr>
                <w:sz w:val="20"/>
                <w:szCs w:val="20"/>
              </w:rPr>
            </w:pPr>
            <w:r w:rsidRPr="0033290F">
              <w:rPr>
                <w:sz w:val="20"/>
                <w:szCs w:val="20"/>
              </w:rPr>
              <w:t>12,48 %</w:t>
            </w:r>
          </w:p>
        </w:tc>
        <w:tc>
          <w:tcPr>
            <w:tcW w:w="1134" w:type="dxa"/>
            <w:vMerge w:val="restart"/>
          </w:tcPr>
          <w:p w:rsidR="001E41A2" w:rsidRPr="002F367B" w:rsidRDefault="0033290F" w:rsidP="00AE7F37">
            <w:pPr>
              <w:jc w:val="left"/>
              <w:rPr>
                <w:sz w:val="20"/>
                <w:szCs w:val="20"/>
              </w:rPr>
            </w:pPr>
            <w:r w:rsidRPr="0033290F">
              <w:rPr>
                <w:rFonts w:cstheme="minorHAnsi"/>
                <w:bCs/>
                <w:sz w:val="20"/>
                <w:szCs w:val="20"/>
              </w:rPr>
              <w:t xml:space="preserve">Tematický cíl 6: Ochrana </w:t>
            </w:r>
            <w:r w:rsidRPr="0033290F">
              <w:rPr>
                <w:rFonts w:cstheme="minorHAnsi"/>
                <w:bCs/>
                <w:sz w:val="20"/>
                <w:szCs w:val="20"/>
              </w:rPr>
              <w:lastRenderedPageBreak/>
              <w:t>životního prostředí a podpora účinného využívání zdrojů</w:t>
            </w:r>
          </w:p>
        </w:tc>
        <w:tc>
          <w:tcPr>
            <w:tcW w:w="2977" w:type="dxa"/>
            <w:vMerge w:val="restart"/>
            <w:shd w:val="clear" w:color="auto" w:fill="auto"/>
          </w:tcPr>
          <w:p w:rsidR="001E41A2" w:rsidRPr="002F367B" w:rsidRDefault="0033290F" w:rsidP="00AE7F37">
            <w:pPr>
              <w:jc w:val="left"/>
              <w:rPr>
                <w:sz w:val="20"/>
                <w:szCs w:val="20"/>
              </w:rPr>
            </w:pPr>
            <w:r w:rsidRPr="0033290F">
              <w:rPr>
                <w:rFonts w:cs="EUAlbertina"/>
                <w:color w:val="000000"/>
                <w:sz w:val="20"/>
                <w:szCs w:val="20"/>
              </w:rPr>
              <w:lastRenderedPageBreak/>
              <w:t xml:space="preserve">Zachování a ochrana životního prostředí a podporování účinného využívání zdrojů </w:t>
            </w:r>
            <w:r w:rsidRPr="0033290F">
              <w:rPr>
                <w:rFonts w:cs="EUAlbertina"/>
                <w:color w:val="000000"/>
                <w:sz w:val="20"/>
                <w:szCs w:val="20"/>
              </w:rPr>
              <w:lastRenderedPageBreak/>
              <w:t xml:space="preserve">investicemi do odpadového hospodářství s cílem plnit požadavky </w:t>
            </w:r>
            <w:proofErr w:type="spellStart"/>
            <w:r w:rsidRPr="0033290F">
              <w:rPr>
                <w:rFonts w:cs="EUAlbertina"/>
                <w:i/>
                <w:iCs/>
                <w:color w:val="000000"/>
                <w:sz w:val="20"/>
                <w:szCs w:val="20"/>
              </w:rPr>
              <w:t>acquis</w:t>
            </w:r>
            <w:proofErr w:type="spellEnd"/>
            <w:r w:rsidRPr="0033290F">
              <w:rPr>
                <w:rFonts w:cs="EUAlbertina"/>
                <w:i/>
                <w:iCs/>
                <w:color w:val="000000"/>
                <w:sz w:val="20"/>
                <w:szCs w:val="20"/>
              </w:rPr>
              <w:t xml:space="preserve"> </w:t>
            </w:r>
            <w:r w:rsidRPr="0033290F">
              <w:rPr>
                <w:rFonts w:cs="EUAlbertina"/>
                <w:color w:val="000000"/>
                <w:sz w:val="20"/>
                <w:szCs w:val="20"/>
              </w:rPr>
              <w:t>Unie v oblasti životního prostředí a řešením potřeb investic, které podle zjištění členských států přesahují rámec těchto požadavků (Dle Nařízení Evropského parlamentu a Rady (EU) č. 1301/2013, čl. 5 odst. 6 písm. a))</w:t>
            </w:r>
          </w:p>
        </w:tc>
        <w:tc>
          <w:tcPr>
            <w:tcW w:w="3260" w:type="dxa"/>
            <w:shd w:val="clear" w:color="auto" w:fill="auto"/>
          </w:tcPr>
          <w:p w:rsidR="001E41A2" w:rsidRPr="002F367B" w:rsidRDefault="0033290F" w:rsidP="00AE7F37">
            <w:pPr>
              <w:jc w:val="left"/>
              <w:rPr>
                <w:sz w:val="20"/>
                <w:szCs w:val="20"/>
              </w:rPr>
            </w:pPr>
            <w:r w:rsidRPr="0033290F">
              <w:rPr>
                <w:sz w:val="20"/>
                <w:szCs w:val="20"/>
              </w:rPr>
              <w:lastRenderedPageBreak/>
              <w:t xml:space="preserve">3.1 </w:t>
            </w:r>
            <w:r w:rsidRPr="0033290F">
              <w:rPr>
                <w:rFonts w:cs="Calibri"/>
                <w:bCs/>
                <w:sz w:val="20"/>
                <w:szCs w:val="20"/>
              </w:rPr>
              <w:t>Předcházet vzniku odpadů a snížit vliv nebezpečných vlastností odpadů</w:t>
            </w:r>
          </w:p>
        </w:tc>
        <w:tc>
          <w:tcPr>
            <w:tcW w:w="1842" w:type="dxa"/>
          </w:tcPr>
          <w:p w:rsidR="001E41A2" w:rsidRPr="002F367B" w:rsidRDefault="0033290F" w:rsidP="00AE7F37">
            <w:pPr>
              <w:jc w:val="left"/>
              <w:rPr>
                <w:sz w:val="20"/>
                <w:szCs w:val="20"/>
              </w:rPr>
            </w:pPr>
            <w:r w:rsidRPr="0033290F">
              <w:rPr>
                <w:sz w:val="20"/>
                <w:szCs w:val="20"/>
              </w:rPr>
              <w:t>Viz kapitola 2.3 PO 3</w:t>
            </w:r>
          </w:p>
        </w:tc>
      </w:tr>
      <w:tr w:rsidR="001E41A2" w:rsidRPr="00284FFC" w:rsidTr="00AE7F37">
        <w:trPr>
          <w:trHeight w:val="1227"/>
        </w:trPr>
        <w:tc>
          <w:tcPr>
            <w:tcW w:w="959" w:type="dxa"/>
            <w:vMerge/>
            <w:shd w:val="clear" w:color="548DD4" w:fill="FFFFFF"/>
          </w:tcPr>
          <w:p w:rsidR="001E41A2" w:rsidRPr="002F367B" w:rsidRDefault="001E41A2" w:rsidP="00AE7F37">
            <w:pPr>
              <w:jc w:val="left"/>
              <w:rPr>
                <w:sz w:val="20"/>
                <w:szCs w:val="20"/>
              </w:rPr>
            </w:pPr>
          </w:p>
        </w:tc>
        <w:tc>
          <w:tcPr>
            <w:tcW w:w="1417" w:type="dxa"/>
            <w:vMerge/>
            <w:shd w:val="clear" w:color="548DD4" w:fill="FFFFFF"/>
          </w:tcPr>
          <w:p w:rsidR="001E41A2" w:rsidRPr="002F367B" w:rsidRDefault="001E41A2" w:rsidP="00AE7F37">
            <w:pPr>
              <w:jc w:val="left"/>
              <w:rPr>
                <w:sz w:val="20"/>
                <w:szCs w:val="20"/>
              </w:rPr>
            </w:pPr>
          </w:p>
        </w:tc>
        <w:tc>
          <w:tcPr>
            <w:tcW w:w="1418" w:type="dxa"/>
            <w:vMerge/>
            <w:shd w:val="clear" w:color="548DD4" w:fill="FFFFFF"/>
          </w:tcPr>
          <w:p w:rsidR="001E41A2" w:rsidRPr="002F367B" w:rsidRDefault="001E41A2" w:rsidP="00AE7F37">
            <w:pPr>
              <w:jc w:val="left"/>
              <w:rPr>
                <w:sz w:val="20"/>
                <w:szCs w:val="20"/>
              </w:rPr>
            </w:pPr>
          </w:p>
        </w:tc>
        <w:tc>
          <w:tcPr>
            <w:tcW w:w="1134" w:type="dxa"/>
            <w:vMerge/>
            <w:shd w:val="clear" w:color="548DD4" w:fill="FFFFFF"/>
          </w:tcPr>
          <w:p w:rsidR="001E41A2" w:rsidRPr="002F367B" w:rsidRDefault="001E41A2" w:rsidP="00AE7F37">
            <w:pPr>
              <w:jc w:val="left"/>
              <w:rPr>
                <w:sz w:val="20"/>
                <w:szCs w:val="20"/>
              </w:rPr>
            </w:pPr>
          </w:p>
        </w:tc>
        <w:tc>
          <w:tcPr>
            <w:tcW w:w="1134" w:type="dxa"/>
            <w:vMerge/>
          </w:tcPr>
          <w:p w:rsidR="001E41A2" w:rsidRPr="002F367B" w:rsidRDefault="001E41A2" w:rsidP="00AE7F37">
            <w:pPr>
              <w:jc w:val="left"/>
              <w:rPr>
                <w:sz w:val="20"/>
                <w:szCs w:val="20"/>
              </w:rPr>
            </w:pPr>
          </w:p>
        </w:tc>
        <w:tc>
          <w:tcPr>
            <w:tcW w:w="2977" w:type="dxa"/>
            <w:vMerge/>
            <w:shd w:val="clear" w:color="auto" w:fill="auto"/>
          </w:tcPr>
          <w:p w:rsidR="001E41A2" w:rsidRPr="002F367B" w:rsidRDefault="001E41A2" w:rsidP="00AE7F37">
            <w:pPr>
              <w:jc w:val="left"/>
              <w:rPr>
                <w:sz w:val="20"/>
                <w:szCs w:val="20"/>
              </w:rPr>
            </w:pPr>
          </w:p>
        </w:tc>
        <w:tc>
          <w:tcPr>
            <w:tcW w:w="3260" w:type="dxa"/>
            <w:shd w:val="clear" w:color="auto" w:fill="auto"/>
          </w:tcPr>
          <w:p w:rsidR="001E41A2" w:rsidRPr="002F367B" w:rsidRDefault="0033290F" w:rsidP="00AE7F37">
            <w:pPr>
              <w:jc w:val="left"/>
              <w:rPr>
                <w:sz w:val="20"/>
                <w:szCs w:val="20"/>
              </w:rPr>
            </w:pPr>
            <w:r w:rsidRPr="0033290F">
              <w:rPr>
                <w:sz w:val="20"/>
                <w:szCs w:val="20"/>
              </w:rPr>
              <w:t xml:space="preserve">3.2 </w:t>
            </w:r>
            <w:r w:rsidRPr="0033290F">
              <w:rPr>
                <w:rFonts w:cs="Calibri"/>
                <w:bCs/>
                <w:sz w:val="20"/>
                <w:szCs w:val="20"/>
              </w:rPr>
              <w:t xml:space="preserve">Zvýšit podíl materiálového </w:t>
            </w:r>
            <w:r w:rsidRPr="0033290F">
              <w:rPr>
                <w:sz w:val="20"/>
                <w:szCs w:val="20"/>
              </w:rPr>
              <w:t xml:space="preserve">a energetického </w:t>
            </w:r>
            <w:r w:rsidRPr="0033290F">
              <w:rPr>
                <w:rFonts w:cs="Calibri"/>
                <w:bCs/>
                <w:sz w:val="20"/>
                <w:szCs w:val="20"/>
              </w:rPr>
              <w:t>využití odpadů</w:t>
            </w:r>
          </w:p>
        </w:tc>
        <w:tc>
          <w:tcPr>
            <w:tcW w:w="1842" w:type="dxa"/>
          </w:tcPr>
          <w:p w:rsidR="001E41A2" w:rsidRPr="002F367B" w:rsidRDefault="0033290F" w:rsidP="00AE7F37">
            <w:pPr>
              <w:jc w:val="left"/>
              <w:rPr>
                <w:sz w:val="20"/>
                <w:szCs w:val="20"/>
              </w:rPr>
            </w:pPr>
            <w:r w:rsidRPr="0033290F">
              <w:rPr>
                <w:sz w:val="20"/>
                <w:szCs w:val="20"/>
              </w:rPr>
              <w:t>Viz kapitola 2.3 PO 3</w:t>
            </w:r>
          </w:p>
        </w:tc>
      </w:tr>
      <w:tr w:rsidR="001E41A2" w:rsidRPr="00284FFC" w:rsidTr="00AE7F37">
        <w:trPr>
          <w:trHeight w:val="489"/>
        </w:trPr>
        <w:tc>
          <w:tcPr>
            <w:tcW w:w="959" w:type="dxa"/>
            <w:vMerge/>
            <w:shd w:val="clear" w:color="548DD4" w:fill="FFFFFF"/>
          </w:tcPr>
          <w:p w:rsidR="001E41A2" w:rsidRPr="002F367B" w:rsidRDefault="001E41A2" w:rsidP="00AE7F37">
            <w:pPr>
              <w:jc w:val="left"/>
              <w:rPr>
                <w:rFonts w:eastAsia="Times New Roman" w:cs="Times New Roman"/>
                <w:sz w:val="20"/>
                <w:szCs w:val="20"/>
                <w:lang w:val="en-GB" w:eastAsia="fr-BE"/>
              </w:rPr>
            </w:pPr>
          </w:p>
        </w:tc>
        <w:tc>
          <w:tcPr>
            <w:tcW w:w="1417" w:type="dxa"/>
            <w:vMerge/>
            <w:shd w:val="clear" w:color="548DD4" w:fill="FFFFFF"/>
          </w:tcPr>
          <w:p w:rsidR="001E41A2" w:rsidRPr="002F367B" w:rsidRDefault="001E41A2" w:rsidP="00AE7F37">
            <w:pPr>
              <w:jc w:val="left"/>
              <w:rPr>
                <w:rFonts w:eastAsia="Times New Roman" w:cs="Times New Roman"/>
                <w:sz w:val="20"/>
                <w:szCs w:val="20"/>
                <w:lang w:val="en-GB" w:eastAsia="fr-BE"/>
              </w:rPr>
            </w:pPr>
          </w:p>
        </w:tc>
        <w:tc>
          <w:tcPr>
            <w:tcW w:w="1418" w:type="dxa"/>
            <w:vMerge/>
            <w:shd w:val="clear" w:color="548DD4" w:fill="FFFFFF"/>
          </w:tcPr>
          <w:p w:rsidR="001E41A2" w:rsidRPr="002F367B" w:rsidRDefault="001E41A2" w:rsidP="00AE7F37">
            <w:pPr>
              <w:jc w:val="left"/>
              <w:rPr>
                <w:rFonts w:eastAsia="Times New Roman" w:cs="Times New Roman"/>
                <w:sz w:val="20"/>
                <w:szCs w:val="20"/>
                <w:lang w:val="en-GB" w:eastAsia="fr-BE"/>
              </w:rPr>
            </w:pPr>
          </w:p>
        </w:tc>
        <w:tc>
          <w:tcPr>
            <w:tcW w:w="1134" w:type="dxa"/>
            <w:vMerge/>
            <w:shd w:val="clear" w:color="548DD4" w:fill="FFFFFF"/>
          </w:tcPr>
          <w:p w:rsidR="001E41A2" w:rsidRPr="002F367B" w:rsidRDefault="001E41A2" w:rsidP="00AE7F37">
            <w:pPr>
              <w:jc w:val="left"/>
              <w:rPr>
                <w:rFonts w:eastAsia="Times New Roman" w:cs="Times New Roman"/>
                <w:sz w:val="20"/>
                <w:szCs w:val="20"/>
                <w:lang w:val="en-GB" w:eastAsia="fr-BE"/>
              </w:rPr>
            </w:pPr>
          </w:p>
        </w:tc>
        <w:tc>
          <w:tcPr>
            <w:tcW w:w="1134" w:type="dxa"/>
            <w:vMerge/>
          </w:tcPr>
          <w:p w:rsidR="001E41A2" w:rsidRPr="002F367B" w:rsidRDefault="001E41A2" w:rsidP="00AE7F37">
            <w:pPr>
              <w:jc w:val="left"/>
              <w:rPr>
                <w:sz w:val="20"/>
                <w:szCs w:val="20"/>
              </w:rPr>
            </w:pPr>
          </w:p>
        </w:tc>
        <w:tc>
          <w:tcPr>
            <w:tcW w:w="2977" w:type="dxa"/>
            <w:vMerge/>
            <w:shd w:val="clear" w:color="auto" w:fill="auto"/>
          </w:tcPr>
          <w:p w:rsidR="001E41A2" w:rsidRPr="002F367B" w:rsidRDefault="001E41A2" w:rsidP="00AE7F37">
            <w:pPr>
              <w:jc w:val="left"/>
              <w:rPr>
                <w:sz w:val="20"/>
                <w:szCs w:val="20"/>
              </w:rPr>
            </w:pPr>
          </w:p>
        </w:tc>
        <w:tc>
          <w:tcPr>
            <w:tcW w:w="3260" w:type="dxa"/>
            <w:shd w:val="clear" w:color="auto" w:fill="auto"/>
          </w:tcPr>
          <w:p w:rsidR="001E41A2" w:rsidRPr="002F367B" w:rsidRDefault="0033290F" w:rsidP="00AE7F37">
            <w:pPr>
              <w:jc w:val="left"/>
              <w:rPr>
                <w:sz w:val="20"/>
                <w:szCs w:val="20"/>
              </w:rPr>
            </w:pPr>
            <w:r w:rsidRPr="0033290F">
              <w:rPr>
                <w:rFonts w:cstheme="minorHAnsi"/>
                <w:sz w:val="20"/>
                <w:szCs w:val="20"/>
              </w:rPr>
              <w:t>3.3 Odstranit nepovolené skládky a rekultivovat staré skládky</w:t>
            </w:r>
          </w:p>
        </w:tc>
        <w:tc>
          <w:tcPr>
            <w:tcW w:w="1842" w:type="dxa"/>
          </w:tcPr>
          <w:p w:rsidR="001E41A2" w:rsidRPr="002F367B" w:rsidRDefault="0033290F" w:rsidP="00AE7F37">
            <w:pPr>
              <w:jc w:val="left"/>
              <w:rPr>
                <w:sz w:val="20"/>
                <w:szCs w:val="20"/>
              </w:rPr>
            </w:pPr>
            <w:r w:rsidRPr="0033290F">
              <w:rPr>
                <w:sz w:val="20"/>
                <w:szCs w:val="20"/>
              </w:rPr>
              <w:t>Viz kapitola 2.3 PO 3</w:t>
            </w:r>
          </w:p>
        </w:tc>
      </w:tr>
      <w:tr w:rsidR="001E41A2" w:rsidRPr="00284FFC" w:rsidTr="00AE7F37">
        <w:trPr>
          <w:trHeight w:val="1632"/>
        </w:trPr>
        <w:tc>
          <w:tcPr>
            <w:tcW w:w="959" w:type="dxa"/>
            <w:vMerge/>
            <w:shd w:val="clear" w:color="548DD4" w:fill="FFFFFF"/>
          </w:tcPr>
          <w:p w:rsidR="001E41A2" w:rsidRPr="002F367B" w:rsidRDefault="001E41A2" w:rsidP="00AE7F37">
            <w:pPr>
              <w:jc w:val="left"/>
              <w:rPr>
                <w:rFonts w:eastAsia="Times New Roman" w:cs="Times New Roman"/>
                <w:sz w:val="20"/>
                <w:szCs w:val="20"/>
                <w:lang w:val="en-GB" w:eastAsia="fr-BE"/>
              </w:rPr>
            </w:pPr>
          </w:p>
        </w:tc>
        <w:tc>
          <w:tcPr>
            <w:tcW w:w="1417" w:type="dxa"/>
            <w:shd w:val="clear" w:color="548DD4" w:fill="FFFFFF"/>
          </w:tcPr>
          <w:p w:rsidR="001E41A2" w:rsidRPr="002F367B" w:rsidRDefault="0033290F" w:rsidP="00AE7F37">
            <w:pPr>
              <w:jc w:val="left"/>
              <w:rPr>
                <w:rFonts w:eastAsia="Times New Roman" w:cs="Times New Roman"/>
                <w:sz w:val="20"/>
                <w:szCs w:val="20"/>
                <w:lang w:val="en-GB" w:eastAsia="fr-BE"/>
              </w:rPr>
            </w:pPr>
            <w:r w:rsidRPr="0033290F">
              <w:rPr>
                <w:rFonts w:eastAsia="Times New Roman" w:cs="Times New Roman"/>
                <w:sz w:val="20"/>
                <w:szCs w:val="20"/>
                <w:lang w:val="en-GB" w:eastAsia="fr-BE"/>
              </w:rPr>
              <w:t>FS</w:t>
            </w:r>
          </w:p>
        </w:tc>
        <w:tc>
          <w:tcPr>
            <w:tcW w:w="1418" w:type="dxa"/>
            <w:shd w:val="clear" w:color="548DD4" w:fill="FFFFFF"/>
          </w:tcPr>
          <w:p w:rsidR="001E41A2" w:rsidRPr="002F367B" w:rsidRDefault="0033290F" w:rsidP="00AE7F37">
            <w:pPr>
              <w:jc w:val="left"/>
              <w:rPr>
                <w:rFonts w:eastAsia="Times New Roman" w:cs="Times New Roman"/>
                <w:sz w:val="20"/>
                <w:szCs w:val="20"/>
                <w:lang w:val="en-GB" w:eastAsia="fr-BE"/>
              </w:rPr>
            </w:pPr>
            <w:r w:rsidRPr="0033290F">
              <w:rPr>
                <w:rFonts w:eastAsia="Times New Roman" w:cs="Times New Roman"/>
                <w:sz w:val="20"/>
                <w:szCs w:val="20"/>
                <w:lang w:val="en-GB" w:eastAsia="fr-BE"/>
              </w:rPr>
              <w:t>115 468 727</w:t>
            </w:r>
          </w:p>
        </w:tc>
        <w:tc>
          <w:tcPr>
            <w:tcW w:w="1134" w:type="dxa"/>
            <w:shd w:val="clear" w:color="548DD4" w:fill="FFFFFF"/>
          </w:tcPr>
          <w:p w:rsidR="001E41A2" w:rsidRPr="002F367B" w:rsidRDefault="0033290F" w:rsidP="00AE7F37">
            <w:pPr>
              <w:jc w:val="left"/>
              <w:rPr>
                <w:rFonts w:eastAsia="Times New Roman" w:cs="Times New Roman"/>
                <w:sz w:val="20"/>
                <w:szCs w:val="20"/>
                <w:lang w:val="en-GB" w:eastAsia="fr-BE"/>
              </w:rPr>
            </w:pPr>
            <w:r w:rsidRPr="0033290F">
              <w:rPr>
                <w:rFonts w:eastAsia="Times New Roman" w:cs="Times New Roman"/>
                <w:sz w:val="20"/>
                <w:szCs w:val="20"/>
                <w:lang w:val="en-GB" w:eastAsia="fr-BE"/>
              </w:rPr>
              <w:t>4,50 %</w:t>
            </w:r>
          </w:p>
        </w:tc>
        <w:tc>
          <w:tcPr>
            <w:tcW w:w="1134" w:type="dxa"/>
            <w:tcBorders>
              <w:bottom w:val="single" w:sz="4" w:space="0" w:color="auto"/>
            </w:tcBorders>
          </w:tcPr>
          <w:p w:rsidR="001E41A2" w:rsidRPr="002F367B" w:rsidRDefault="0033290F" w:rsidP="00AE7F37">
            <w:pPr>
              <w:jc w:val="left"/>
              <w:rPr>
                <w:rFonts w:cstheme="minorHAnsi"/>
                <w:sz w:val="20"/>
                <w:szCs w:val="20"/>
              </w:rPr>
            </w:pPr>
            <w:r w:rsidRPr="0033290F">
              <w:rPr>
                <w:rFonts w:cstheme="minorHAnsi"/>
                <w:sz w:val="20"/>
                <w:szCs w:val="20"/>
              </w:rPr>
              <w:t>Tematický cíl 5: Podpora přizpůsobení se změně klimatu, předcházení rizikům a řízení rizik</w:t>
            </w:r>
          </w:p>
        </w:tc>
        <w:tc>
          <w:tcPr>
            <w:tcW w:w="2977" w:type="dxa"/>
            <w:tcBorders>
              <w:bottom w:val="single" w:sz="4" w:space="0" w:color="auto"/>
            </w:tcBorders>
            <w:shd w:val="clear" w:color="auto" w:fill="auto"/>
          </w:tcPr>
          <w:p w:rsidR="001E41A2" w:rsidRPr="002F367B" w:rsidRDefault="0033290F" w:rsidP="00AE7F37">
            <w:pPr>
              <w:jc w:val="left"/>
              <w:rPr>
                <w:rFonts w:cs="EUAlbertina"/>
                <w:color w:val="000000"/>
                <w:sz w:val="20"/>
                <w:szCs w:val="20"/>
              </w:rPr>
            </w:pPr>
            <w:r w:rsidRPr="0033290F">
              <w:rPr>
                <w:rFonts w:cs="EUAlbertina"/>
                <w:color w:val="000000"/>
                <w:sz w:val="20"/>
                <w:szCs w:val="20"/>
              </w:rPr>
              <w:t xml:space="preserve">Podporování přizpůsobení se změně klimatu, předcházení rizikům a řízení rizik podporou investic zaměřených na řešení konkrétních rizik, zajištěním odolnosti vůči katastrofám a vývojem systémů pro zvládání katastrof (Dle nařízení Evropského parlamentu a Rady (EU) č. 1300/2013 čl. 4 odst. b) písm. </w:t>
            </w:r>
            <w:proofErr w:type="spellStart"/>
            <w:r w:rsidRPr="0033290F">
              <w:rPr>
                <w:rFonts w:cs="EUAlbertina"/>
                <w:color w:val="000000"/>
                <w:sz w:val="20"/>
                <w:szCs w:val="20"/>
              </w:rPr>
              <w:t>ii</w:t>
            </w:r>
            <w:proofErr w:type="spellEnd"/>
            <w:r w:rsidRPr="0033290F">
              <w:rPr>
                <w:rFonts w:cs="EUAlbertina"/>
                <w:color w:val="000000"/>
                <w:sz w:val="20"/>
                <w:szCs w:val="20"/>
              </w:rPr>
              <w:t>))</w:t>
            </w:r>
          </w:p>
        </w:tc>
        <w:tc>
          <w:tcPr>
            <w:tcW w:w="3260" w:type="dxa"/>
            <w:tcBorders>
              <w:bottom w:val="single" w:sz="4" w:space="0" w:color="auto"/>
            </w:tcBorders>
            <w:shd w:val="clear" w:color="auto" w:fill="auto"/>
          </w:tcPr>
          <w:p w:rsidR="001E41A2" w:rsidRPr="002F367B" w:rsidRDefault="0033290F" w:rsidP="00AE7F37">
            <w:pPr>
              <w:jc w:val="left"/>
              <w:rPr>
                <w:sz w:val="20"/>
                <w:szCs w:val="20"/>
              </w:rPr>
            </w:pPr>
            <w:r w:rsidRPr="0033290F">
              <w:rPr>
                <w:sz w:val="20"/>
                <w:szCs w:val="20"/>
              </w:rPr>
              <w:t>3.4Odstranit a inventarizovat ekologické zátěže</w:t>
            </w:r>
          </w:p>
        </w:tc>
        <w:tc>
          <w:tcPr>
            <w:tcW w:w="1842" w:type="dxa"/>
            <w:tcBorders>
              <w:bottom w:val="single" w:sz="4" w:space="0" w:color="auto"/>
            </w:tcBorders>
          </w:tcPr>
          <w:p w:rsidR="001E41A2" w:rsidRPr="002F367B" w:rsidRDefault="0033290F" w:rsidP="00AE7F37">
            <w:pPr>
              <w:jc w:val="left"/>
              <w:rPr>
                <w:sz w:val="20"/>
                <w:szCs w:val="20"/>
              </w:rPr>
            </w:pPr>
            <w:r w:rsidRPr="0033290F">
              <w:rPr>
                <w:sz w:val="20"/>
                <w:szCs w:val="20"/>
              </w:rPr>
              <w:t>Viz kapitola 2.3 PO 3</w:t>
            </w:r>
          </w:p>
        </w:tc>
      </w:tr>
      <w:tr w:rsidR="001E41A2" w:rsidRPr="00284FFC" w:rsidTr="00AE7F37">
        <w:trPr>
          <w:trHeight w:val="838"/>
        </w:trPr>
        <w:tc>
          <w:tcPr>
            <w:tcW w:w="959" w:type="dxa"/>
            <w:vMerge/>
            <w:shd w:val="clear" w:color="548DD4" w:fill="FFFFFF"/>
          </w:tcPr>
          <w:p w:rsidR="001E41A2" w:rsidRPr="002F367B" w:rsidRDefault="001E41A2" w:rsidP="00AE7F37">
            <w:pPr>
              <w:jc w:val="left"/>
              <w:rPr>
                <w:rFonts w:eastAsia="Times New Roman" w:cs="Times New Roman"/>
                <w:sz w:val="20"/>
                <w:szCs w:val="20"/>
                <w:lang w:val="en-GB" w:eastAsia="fr-BE"/>
              </w:rPr>
            </w:pPr>
          </w:p>
        </w:tc>
        <w:tc>
          <w:tcPr>
            <w:tcW w:w="1417" w:type="dxa"/>
            <w:shd w:val="clear" w:color="548DD4" w:fill="FFFFFF"/>
          </w:tcPr>
          <w:p w:rsidR="001E41A2" w:rsidRPr="002F367B" w:rsidRDefault="0033290F" w:rsidP="00AE7F37">
            <w:pPr>
              <w:jc w:val="left"/>
              <w:rPr>
                <w:rFonts w:eastAsia="Times New Roman" w:cs="Times New Roman"/>
                <w:sz w:val="20"/>
                <w:szCs w:val="20"/>
                <w:lang w:val="en-GB" w:eastAsia="fr-BE"/>
              </w:rPr>
            </w:pPr>
            <w:r w:rsidRPr="0033290F">
              <w:rPr>
                <w:rFonts w:eastAsia="Times New Roman" w:cs="Times New Roman"/>
                <w:sz w:val="20"/>
                <w:szCs w:val="20"/>
                <w:lang w:val="en-GB" w:eastAsia="fr-BE"/>
              </w:rPr>
              <w:t>EFRR</w:t>
            </w:r>
          </w:p>
        </w:tc>
        <w:tc>
          <w:tcPr>
            <w:tcW w:w="1418" w:type="dxa"/>
            <w:shd w:val="clear" w:color="548DD4" w:fill="FFFFFF"/>
          </w:tcPr>
          <w:p w:rsidR="001E41A2" w:rsidRPr="002F367B" w:rsidRDefault="0033290F" w:rsidP="00AE7F37">
            <w:pPr>
              <w:jc w:val="left"/>
              <w:rPr>
                <w:rFonts w:eastAsia="Times New Roman" w:cs="Times New Roman"/>
                <w:sz w:val="20"/>
                <w:szCs w:val="20"/>
                <w:lang w:val="en-GB" w:eastAsia="fr-BE"/>
              </w:rPr>
            </w:pPr>
            <w:r w:rsidRPr="0033290F">
              <w:rPr>
                <w:rFonts w:eastAsia="Times New Roman" w:cs="Times New Roman"/>
                <w:sz w:val="20"/>
                <w:szCs w:val="20"/>
                <w:lang w:val="en-GB" w:eastAsia="fr-BE"/>
              </w:rPr>
              <w:t>23 088 951</w:t>
            </w:r>
          </w:p>
        </w:tc>
        <w:tc>
          <w:tcPr>
            <w:tcW w:w="1134" w:type="dxa"/>
            <w:shd w:val="clear" w:color="548DD4" w:fill="FFFFFF"/>
          </w:tcPr>
          <w:p w:rsidR="001E41A2" w:rsidRPr="002F367B" w:rsidRDefault="0033290F" w:rsidP="00AE7F37">
            <w:pPr>
              <w:jc w:val="left"/>
              <w:rPr>
                <w:rFonts w:eastAsia="Times New Roman" w:cs="Times New Roman"/>
                <w:sz w:val="20"/>
                <w:szCs w:val="20"/>
                <w:lang w:val="en-GB" w:eastAsia="fr-BE"/>
              </w:rPr>
            </w:pPr>
            <w:r w:rsidRPr="0033290F">
              <w:rPr>
                <w:rFonts w:eastAsia="Times New Roman" w:cs="Times New Roman"/>
                <w:sz w:val="20"/>
                <w:szCs w:val="20"/>
                <w:lang w:val="en-GB" w:eastAsia="fr-BE"/>
              </w:rPr>
              <w:t>0,9 %</w:t>
            </w:r>
          </w:p>
        </w:tc>
        <w:tc>
          <w:tcPr>
            <w:tcW w:w="1134" w:type="dxa"/>
            <w:tcBorders>
              <w:bottom w:val="single" w:sz="4" w:space="0" w:color="auto"/>
            </w:tcBorders>
          </w:tcPr>
          <w:p w:rsidR="001E41A2" w:rsidRPr="002F367B" w:rsidRDefault="0033290F" w:rsidP="00AE7F37">
            <w:pPr>
              <w:jc w:val="left"/>
              <w:rPr>
                <w:rFonts w:cstheme="minorHAnsi"/>
                <w:sz w:val="20"/>
                <w:szCs w:val="20"/>
              </w:rPr>
            </w:pPr>
            <w:r w:rsidRPr="0033290F">
              <w:rPr>
                <w:rFonts w:cstheme="minorHAnsi"/>
                <w:sz w:val="20"/>
                <w:szCs w:val="20"/>
              </w:rPr>
              <w:t>Tematický cíl 5: Podpora přizpůsobení se změně klimatu, předcházení rizikům a řízení rizik</w:t>
            </w:r>
          </w:p>
        </w:tc>
        <w:tc>
          <w:tcPr>
            <w:tcW w:w="2977" w:type="dxa"/>
            <w:tcBorders>
              <w:bottom w:val="single" w:sz="4" w:space="0" w:color="auto"/>
            </w:tcBorders>
            <w:shd w:val="clear" w:color="auto" w:fill="auto"/>
          </w:tcPr>
          <w:p w:rsidR="001E41A2" w:rsidRPr="002F367B" w:rsidRDefault="0033290F" w:rsidP="00AE7F37">
            <w:pPr>
              <w:jc w:val="left"/>
              <w:rPr>
                <w:rFonts w:cs="EUAlbertina"/>
                <w:color w:val="000000"/>
                <w:sz w:val="20"/>
                <w:szCs w:val="20"/>
              </w:rPr>
            </w:pPr>
            <w:r w:rsidRPr="0033290F">
              <w:rPr>
                <w:rFonts w:cs="EUAlbertina"/>
                <w:color w:val="000000"/>
                <w:sz w:val="20"/>
                <w:szCs w:val="20"/>
              </w:rPr>
              <w:t>Podporování přizpůsobení se změně klimatu, předcházení rizikům a jejich řízení podporou investic zaměřených na řešení konkrétních rizik, zajištěním odolnosti vůči katastrofám a vývojem systémů krizového řízení (Dle Nařízení Evropského parlamentu a Rady (EU) č. 1301/2013 čl. 5 odst. 5 písm. b))</w:t>
            </w:r>
          </w:p>
        </w:tc>
        <w:tc>
          <w:tcPr>
            <w:tcW w:w="3260" w:type="dxa"/>
            <w:tcBorders>
              <w:bottom w:val="single" w:sz="4" w:space="0" w:color="auto"/>
            </w:tcBorders>
            <w:shd w:val="clear" w:color="auto" w:fill="auto"/>
          </w:tcPr>
          <w:p w:rsidR="001E41A2" w:rsidRPr="002F367B" w:rsidRDefault="0033290F" w:rsidP="00AE7F37">
            <w:pPr>
              <w:jc w:val="left"/>
              <w:rPr>
                <w:sz w:val="20"/>
                <w:szCs w:val="20"/>
              </w:rPr>
            </w:pPr>
            <w:r w:rsidRPr="0033290F">
              <w:rPr>
                <w:sz w:val="20"/>
                <w:szCs w:val="20"/>
              </w:rPr>
              <w:t>3.5 Snížit environmentální rizika a rozvíjet systémy jejich řízení</w:t>
            </w:r>
          </w:p>
        </w:tc>
        <w:tc>
          <w:tcPr>
            <w:tcW w:w="1842" w:type="dxa"/>
            <w:tcBorders>
              <w:bottom w:val="single" w:sz="4" w:space="0" w:color="auto"/>
            </w:tcBorders>
          </w:tcPr>
          <w:p w:rsidR="001E41A2" w:rsidRPr="002F367B" w:rsidRDefault="0033290F" w:rsidP="00AE7F37">
            <w:pPr>
              <w:jc w:val="left"/>
              <w:rPr>
                <w:sz w:val="20"/>
                <w:szCs w:val="20"/>
              </w:rPr>
            </w:pPr>
            <w:r w:rsidRPr="0033290F">
              <w:rPr>
                <w:sz w:val="20"/>
                <w:szCs w:val="20"/>
              </w:rPr>
              <w:t>Viz kapitola 2.3 PO 3</w:t>
            </w:r>
          </w:p>
        </w:tc>
      </w:tr>
      <w:tr w:rsidR="001E41A2" w:rsidRPr="00F56E54" w:rsidTr="00AE7F37">
        <w:trPr>
          <w:trHeight w:val="1032"/>
        </w:trPr>
        <w:tc>
          <w:tcPr>
            <w:tcW w:w="959" w:type="dxa"/>
            <w:vMerge w:val="restart"/>
            <w:shd w:val="clear" w:color="548DD4" w:fill="FFFFFF"/>
          </w:tcPr>
          <w:p w:rsidR="001E41A2" w:rsidRPr="002F367B" w:rsidRDefault="001E41A2" w:rsidP="00AE7F37">
            <w:pPr>
              <w:jc w:val="left"/>
              <w:rPr>
                <w:sz w:val="20"/>
                <w:szCs w:val="20"/>
              </w:rPr>
            </w:pPr>
            <w:r w:rsidRPr="002F367B">
              <w:rPr>
                <w:sz w:val="20"/>
                <w:szCs w:val="20"/>
              </w:rPr>
              <w:t>Prioritní osa 4</w:t>
            </w:r>
          </w:p>
        </w:tc>
        <w:tc>
          <w:tcPr>
            <w:tcW w:w="1417" w:type="dxa"/>
            <w:vMerge w:val="restart"/>
            <w:tcBorders>
              <w:bottom w:val="single" w:sz="4" w:space="0" w:color="auto"/>
            </w:tcBorders>
            <w:shd w:val="clear" w:color="auto" w:fill="auto"/>
          </w:tcPr>
          <w:p w:rsidR="001E41A2" w:rsidRPr="002F367B" w:rsidRDefault="001E41A2" w:rsidP="00AE7F37">
            <w:pPr>
              <w:jc w:val="left"/>
              <w:rPr>
                <w:sz w:val="20"/>
                <w:szCs w:val="20"/>
              </w:rPr>
            </w:pPr>
            <w:r w:rsidRPr="002F367B">
              <w:rPr>
                <w:sz w:val="20"/>
                <w:szCs w:val="20"/>
              </w:rPr>
              <w:t>EFRR</w:t>
            </w:r>
          </w:p>
        </w:tc>
        <w:tc>
          <w:tcPr>
            <w:tcW w:w="1418" w:type="dxa"/>
            <w:vMerge w:val="restart"/>
            <w:tcBorders>
              <w:bottom w:val="single" w:sz="4" w:space="0" w:color="auto"/>
            </w:tcBorders>
            <w:shd w:val="clear" w:color="auto" w:fill="auto"/>
          </w:tcPr>
          <w:p w:rsidR="001E41A2" w:rsidRPr="002F367B" w:rsidRDefault="0033290F" w:rsidP="00AE7F37">
            <w:pPr>
              <w:jc w:val="left"/>
              <w:rPr>
                <w:rFonts w:cstheme="minorHAnsi"/>
                <w:sz w:val="20"/>
                <w:szCs w:val="20"/>
              </w:rPr>
            </w:pPr>
            <w:r w:rsidRPr="0033290F">
              <w:rPr>
                <w:rFonts w:cstheme="minorHAnsi"/>
                <w:sz w:val="20"/>
                <w:szCs w:val="20"/>
              </w:rPr>
              <w:t>351 735 069</w:t>
            </w:r>
          </w:p>
        </w:tc>
        <w:tc>
          <w:tcPr>
            <w:tcW w:w="1134" w:type="dxa"/>
            <w:vMerge w:val="restart"/>
            <w:shd w:val="clear" w:color="auto" w:fill="auto"/>
          </w:tcPr>
          <w:p w:rsidR="001E41A2" w:rsidRPr="002F367B" w:rsidRDefault="0033290F" w:rsidP="00AE7F37">
            <w:pPr>
              <w:jc w:val="left"/>
              <w:rPr>
                <w:sz w:val="20"/>
                <w:szCs w:val="20"/>
              </w:rPr>
            </w:pPr>
            <w:r w:rsidRPr="0033290F">
              <w:rPr>
                <w:sz w:val="20"/>
                <w:szCs w:val="20"/>
              </w:rPr>
              <w:t>13,71 %</w:t>
            </w:r>
          </w:p>
          <w:p w:rsidR="001E41A2" w:rsidRPr="002F367B" w:rsidRDefault="001E41A2" w:rsidP="00AE7F37">
            <w:pPr>
              <w:jc w:val="left"/>
              <w:rPr>
                <w:sz w:val="20"/>
                <w:szCs w:val="20"/>
              </w:rPr>
            </w:pPr>
          </w:p>
        </w:tc>
        <w:tc>
          <w:tcPr>
            <w:tcW w:w="1134" w:type="dxa"/>
            <w:vMerge w:val="restart"/>
            <w:tcBorders>
              <w:bottom w:val="single" w:sz="4" w:space="0" w:color="auto"/>
            </w:tcBorders>
          </w:tcPr>
          <w:p w:rsidR="001E41A2" w:rsidRPr="002F367B" w:rsidRDefault="0033290F" w:rsidP="00AE7F37">
            <w:pPr>
              <w:jc w:val="left"/>
              <w:rPr>
                <w:sz w:val="20"/>
                <w:szCs w:val="20"/>
              </w:rPr>
            </w:pPr>
            <w:r w:rsidRPr="0033290F">
              <w:rPr>
                <w:rFonts w:cstheme="minorHAnsi"/>
                <w:bCs/>
                <w:sz w:val="20"/>
                <w:szCs w:val="20"/>
              </w:rPr>
              <w:t>Tematický cíl 6: Ochrana životního prostředí a podpora účinného využívání zdrojů</w:t>
            </w:r>
          </w:p>
        </w:tc>
        <w:tc>
          <w:tcPr>
            <w:tcW w:w="2977" w:type="dxa"/>
            <w:vMerge w:val="restart"/>
            <w:tcBorders>
              <w:bottom w:val="single" w:sz="4" w:space="0" w:color="auto"/>
            </w:tcBorders>
            <w:shd w:val="clear" w:color="auto" w:fill="auto"/>
          </w:tcPr>
          <w:p w:rsidR="001E41A2" w:rsidRPr="002F367B" w:rsidRDefault="0033290F" w:rsidP="00AE7F37">
            <w:pPr>
              <w:jc w:val="left"/>
              <w:rPr>
                <w:sz w:val="20"/>
                <w:szCs w:val="20"/>
              </w:rPr>
            </w:pPr>
            <w:r w:rsidRPr="0033290F">
              <w:rPr>
                <w:rFonts w:cs="EUAlbertina"/>
                <w:color w:val="000000"/>
                <w:sz w:val="20"/>
                <w:szCs w:val="20"/>
              </w:rPr>
              <w:t>Zachování a ochrana životního prostředí a podporování účinného využívání zdrojů ochranou a obnovou biologické rozmanitosti a půdy a podporou ekosystémových služeb, včetně prostřednictvím sítě Natura 2000 a ekologických infrastruktur (Dle Nařízení Evropského parlamentu a Rady (EU) č. 1301/2013 čl. 5 odst. 6 písm. d))</w:t>
            </w:r>
          </w:p>
        </w:tc>
        <w:tc>
          <w:tcPr>
            <w:tcW w:w="3260" w:type="dxa"/>
            <w:tcBorders>
              <w:bottom w:val="single" w:sz="4" w:space="0" w:color="auto"/>
            </w:tcBorders>
            <w:shd w:val="clear" w:color="auto" w:fill="auto"/>
          </w:tcPr>
          <w:p w:rsidR="001E41A2" w:rsidRPr="002F367B" w:rsidRDefault="001E41A2" w:rsidP="00AE7F37">
            <w:pPr>
              <w:jc w:val="left"/>
              <w:rPr>
                <w:sz w:val="20"/>
                <w:szCs w:val="20"/>
              </w:rPr>
            </w:pPr>
            <w:r w:rsidRPr="002F367B">
              <w:rPr>
                <w:sz w:val="20"/>
                <w:szCs w:val="20"/>
              </w:rPr>
              <w:t xml:space="preserve">4.1 Posílit biodiverzitu na majetku </w:t>
            </w:r>
            <w:r w:rsidR="00551554">
              <w:rPr>
                <w:sz w:val="20"/>
                <w:szCs w:val="20"/>
              </w:rPr>
              <w:t>ČR, ve správě rezortních organizací MŽP</w:t>
            </w:r>
          </w:p>
        </w:tc>
        <w:tc>
          <w:tcPr>
            <w:tcW w:w="1842" w:type="dxa"/>
            <w:tcBorders>
              <w:bottom w:val="single" w:sz="4" w:space="0" w:color="auto"/>
            </w:tcBorders>
          </w:tcPr>
          <w:p w:rsidR="001E41A2" w:rsidRPr="002F367B" w:rsidRDefault="0033290F" w:rsidP="00AE7F37">
            <w:pPr>
              <w:jc w:val="left"/>
              <w:rPr>
                <w:sz w:val="20"/>
                <w:szCs w:val="20"/>
              </w:rPr>
            </w:pPr>
            <w:r w:rsidRPr="0033290F">
              <w:rPr>
                <w:sz w:val="20"/>
                <w:szCs w:val="20"/>
              </w:rPr>
              <w:t>Viz kapitola 2.4 PO 4</w:t>
            </w:r>
          </w:p>
        </w:tc>
      </w:tr>
      <w:tr w:rsidR="001E41A2" w:rsidRPr="00284FFC" w:rsidTr="00AE7F37">
        <w:trPr>
          <w:trHeight w:val="704"/>
        </w:trPr>
        <w:tc>
          <w:tcPr>
            <w:tcW w:w="959" w:type="dxa"/>
            <w:vMerge/>
            <w:shd w:val="clear" w:color="548DD4" w:fill="FFFFFF"/>
          </w:tcPr>
          <w:p w:rsidR="001E41A2" w:rsidRPr="002F367B" w:rsidRDefault="001E41A2" w:rsidP="00AE7F37">
            <w:pPr>
              <w:jc w:val="left"/>
              <w:rPr>
                <w:sz w:val="20"/>
                <w:szCs w:val="20"/>
              </w:rPr>
            </w:pPr>
          </w:p>
        </w:tc>
        <w:tc>
          <w:tcPr>
            <w:tcW w:w="1417" w:type="dxa"/>
            <w:vMerge/>
            <w:tcBorders>
              <w:top w:val="single" w:sz="4" w:space="0" w:color="auto"/>
            </w:tcBorders>
            <w:shd w:val="clear" w:color="auto" w:fill="auto"/>
          </w:tcPr>
          <w:p w:rsidR="001E41A2" w:rsidRPr="002F367B" w:rsidRDefault="001E41A2" w:rsidP="00AE7F37">
            <w:pPr>
              <w:jc w:val="left"/>
              <w:rPr>
                <w:rFonts w:cstheme="minorHAnsi"/>
                <w:bCs/>
                <w:sz w:val="20"/>
                <w:szCs w:val="20"/>
              </w:rPr>
            </w:pPr>
          </w:p>
        </w:tc>
        <w:tc>
          <w:tcPr>
            <w:tcW w:w="1418" w:type="dxa"/>
            <w:vMerge/>
            <w:tcBorders>
              <w:top w:val="single" w:sz="4" w:space="0" w:color="auto"/>
            </w:tcBorders>
            <w:shd w:val="clear" w:color="auto" w:fill="auto"/>
          </w:tcPr>
          <w:p w:rsidR="001E41A2" w:rsidRPr="002F367B" w:rsidRDefault="001E41A2" w:rsidP="00AE7F37">
            <w:pPr>
              <w:jc w:val="left"/>
              <w:rPr>
                <w:sz w:val="20"/>
                <w:szCs w:val="20"/>
                <w:lang w:eastAsia="en-US"/>
              </w:rPr>
            </w:pPr>
          </w:p>
        </w:tc>
        <w:tc>
          <w:tcPr>
            <w:tcW w:w="1134" w:type="dxa"/>
            <w:vMerge/>
            <w:shd w:val="clear" w:color="auto" w:fill="auto"/>
          </w:tcPr>
          <w:p w:rsidR="001E41A2" w:rsidRPr="002F367B" w:rsidRDefault="001E41A2" w:rsidP="00AE7F37">
            <w:pPr>
              <w:jc w:val="left"/>
              <w:rPr>
                <w:sz w:val="20"/>
                <w:szCs w:val="20"/>
              </w:rPr>
            </w:pPr>
          </w:p>
        </w:tc>
        <w:tc>
          <w:tcPr>
            <w:tcW w:w="1134" w:type="dxa"/>
            <w:vMerge/>
            <w:tcBorders>
              <w:top w:val="single" w:sz="4" w:space="0" w:color="auto"/>
            </w:tcBorders>
          </w:tcPr>
          <w:p w:rsidR="001E41A2" w:rsidRPr="002F367B" w:rsidRDefault="001E41A2" w:rsidP="00AE7F37">
            <w:pPr>
              <w:jc w:val="left"/>
              <w:rPr>
                <w:sz w:val="20"/>
                <w:szCs w:val="20"/>
              </w:rPr>
            </w:pPr>
          </w:p>
        </w:tc>
        <w:tc>
          <w:tcPr>
            <w:tcW w:w="2977" w:type="dxa"/>
            <w:vMerge/>
            <w:tcBorders>
              <w:top w:val="single" w:sz="4" w:space="0" w:color="auto"/>
            </w:tcBorders>
            <w:shd w:val="clear" w:color="auto" w:fill="auto"/>
          </w:tcPr>
          <w:p w:rsidR="001E41A2" w:rsidRPr="002F367B" w:rsidRDefault="001E41A2" w:rsidP="00AE7F37">
            <w:pPr>
              <w:jc w:val="left"/>
              <w:rPr>
                <w:sz w:val="20"/>
                <w:szCs w:val="20"/>
              </w:rPr>
            </w:pPr>
          </w:p>
        </w:tc>
        <w:tc>
          <w:tcPr>
            <w:tcW w:w="3260" w:type="dxa"/>
            <w:tcBorders>
              <w:top w:val="single" w:sz="4" w:space="0" w:color="auto"/>
            </w:tcBorders>
            <w:shd w:val="clear" w:color="auto" w:fill="auto"/>
          </w:tcPr>
          <w:p w:rsidR="001E41A2" w:rsidRPr="002F367B" w:rsidRDefault="0033290F" w:rsidP="00AE7F37">
            <w:pPr>
              <w:jc w:val="left"/>
              <w:rPr>
                <w:sz w:val="20"/>
                <w:szCs w:val="20"/>
              </w:rPr>
            </w:pPr>
            <w:r w:rsidRPr="0033290F">
              <w:rPr>
                <w:sz w:val="20"/>
                <w:szCs w:val="20"/>
              </w:rPr>
              <w:t>4.2 Posílit biodiverzitu</w:t>
            </w:r>
          </w:p>
        </w:tc>
        <w:tc>
          <w:tcPr>
            <w:tcW w:w="1842" w:type="dxa"/>
            <w:tcBorders>
              <w:top w:val="single" w:sz="4" w:space="0" w:color="auto"/>
            </w:tcBorders>
          </w:tcPr>
          <w:p w:rsidR="001E41A2" w:rsidRPr="002F367B" w:rsidRDefault="0033290F" w:rsidP="00AE7F37">
            <w:pPr>
              <w:jc w:val="left"/>
              <w:rPr>
                <w:sz w:val="20"/>
                <w:szCs w:val="20"/>
              </w:rPr>
            </w:pPr>
            <w:r w:rsidRPr="0033290F">
              <w:rPr>
                <w:sz w:val="20"/>
                <w:szCs w:val="20"/>
              </w:rPr>
              <w:t>Viz kapitola 2.4 PO 4</w:t>
            </w:r>
          </w:p>
        </w:tc>
      </w:tr>
      <w:tr w:rsidR="001E41A2" w:rsidRPr="00284FFC" w:rsidTr="00AE7F37">
        <w:trPr>
          <w:trHeight w:val="762"/>
        </w:trPr>
        <w:tc>
          <w:tcPr>
            <w:tcW w:w="959" w:type="dxa"/>
            <w:vMerge/>
            <w:shd w:val="clear" w:color="548DD4" w:fill="FFFFFF"/>
          </w:tcPr>
          <w:p w:rsidR="001E41A2" w:rsidRPr="002F367B" w:rsidRDefault="001E41A2" w:rsidP="00AE7F37">
            <w:pPr>
              <w:jc w:val="left"/>
              <w:rPr>
                <w:sz w:val="20"/>
                <w:szCs w:val="20"/>
              </w:rPr>
            </w:pPr>
          </w:p>
        </w:tc>
        <w:tc>
          <w:tcPr>
            <w:tcW w:w="1417" w:type="dxa"/>
            <w:vMerge/>
            <w:shd w:val="clear" w:color="auto" w:fill="auto"/>
          </w:tcPr>
          <w:p w:rsidR="001E41A2" w:rsidRPr="002F367B" w:rsidRDefault="001E41A2" w:rsidP="00AE7F37">
            <w:pPr>
              <w:jc w:val="left"/>
              <w:rPr>
                <w:rFonts w:cstheme="minorHAnsi"/>
                <w:bCs/>
                <w:sz w:val="20"/>
                <w:szCs w:val="20"/>
              </w:rPr>
            </w:pPr>
          </w:p>
        </w:tc>
        <w:tc>
          <w:tcPr>
            <w:tcW w:w="1418" w:type="dxa"/>
            <w:vMerge/>
            <w:shd w:val="clear" w:color="auto" w:fill="auto"/>
          </w:tcPr>
          <w:p w:rsidR="001E41A2" w:rsidRPr="002F367B" w:rsidRDefault="001E41A2" w:rsidP="00AE7F37">
            <w:pPr>
              <w:jc w:val="left"/>
              <w:rPr>
                <w:rFonts w:cstheme="minorHAnsi"/>
                <w:bCs/>
                <w:iCs/>
                <w:sz w:val="20"/>
                <w:szCs w:val="20"/>
              </w:rPr>
            </w:pPr>
          </w:p>
        </w:tc>
        <w:tc>
          <w:tcPr>
            <w:tcW w:w="1134" w:type="dxa"/>
            <w:vMerge/>
            <w:shd w:val="clear" w:color="auto" w:fill="auto"/>
          </w:tcPr>
          <w:p w:rsidR="001E41A2" w:rsidRPr="002F367B" w:rsidRDefault="001E41A2" w:rsidP="00AE7F37">
            <w:pPr>
              <w:jc w:val="left"/>
              <w:rPr>
                <w:sz w:val="20"/>
                <w:szCs w:val="20"/>
              </w:rPr>
            </w:pPr>
          </w:p>
        </w:tc>
        <w:tc>
          <w:tcPr>
            <w:tcW w:w="1134" w:type="dxa"/>
            <w:vMerge/>
          </w:tcPr>
          <w:p w:rsidR="001E41A2" w:rsidRPr="002F367B" w:rsidRDefault="001E41A2" w:rsidP="00AE7F37">
            <w:pPr>
              <w:jc w:val="left"/>
              <w:rPr>
                <w:sz w:val="20"/>
                <w:szCs w:val="20"/>
              </w:rPr>
            </w:pPr>
          </w:p>
        </w:tc>
        <w:tc>
          <w:tcPr>
            <w:tcW w:w="2977" w:type="dxa"/>
            <w:vMerge/>
            <w:shd w:val="clear" w:color="auto" w:fill="auto"/>
          </w:tcPr>
          <w:p w:rsidR="001E41A2" w:rsidRPr="002F367B" w:rsidRDefault="001E41A2" w:rsidP="00AE7F37">
            <w:pPr>
              <w:jc w:val="left"/>
              <w:rPr>
                <w:sz w:val="20"/>
                <w:szCs w:val="20"/>
              </w:rPr>
            </w:pPr>
          </w:p>
        </w:tc>
        <w:tc>
          <w:tcPr>
            <w:tcW w:w="3260" w:type="dxa"/>
            <w:shd w:val="clear" w:color="auto" w:fill="auto"/>
          </w:tcPr>
          <w:p w:rsidR="001E41A2" w:rsidRPr="002F367B" w:rsidRDefault="0033290F" w:rsidP="00AE7F37">
            <w:pPr>
              <w:jc w:val="left"/>
              <w:rPr>
                <w:sz w:val="20"/>
                <w:szCs w:val="20"/>
              </w:rPr>
            </w:pPr>
            <w:r w:rsidRPr="0033290F">
              <w:rPr>
                <w:sz w:val="20"/>
                <w:szCs w:val="20"/>
              </w:rPr>
              <w:t>4.3 Posílit přirozené funkce krajiny</w:t>
            </w:r>
          </w:p>
        </w:tc>
        <w:tc>
          <w:tcPr>
            <w:tcW w:w="1842" w:type="dxa"/>
          </w:tcPr>
          <w:p w:rsidR="001E41A2" w:rsidRPr="002F367B" w:rsidRDefault="0033290F" w:rsidP="00AE7F37">
            <w:pPr>
              <w:jc w:val="left"/>
              <w:rPr>
                <w:sz w:val="20"/>
                <w:szCs w:val="20"/>
              </w:rPr>
            </w:pPr>
            <w:r w:rsidRPr="0033290F">
              <w:rPr>
                <w:sz w:val="20"/>
                <w:szCs w:val="20"/>
              </w:rPr>
              <w:t>Viz kapitola 2.4 PO 4</w:t>
            </w:r>
          </w:p>
        </w:tc>
      </w:tr>
      <w:tr w:rsidR="001E41A2" w:rsidRPr="00284FFC" w:rsidTr="00AE7F37">
        <w:trPr>
          <w:trHeight w:val="193"/>
        </w:trPr>
        <w:tc>
          <w:tcPr>
            <w:tcW w:w="959" w:type="dxa"/>
            <w:vMerge/>
            <w:shd w:val="clear" w:color="548DD4" w:fill="FFFFFF"/>
          </w:tcPr>
          <w:p w:rsidR="001E41A2" w:rsidRPr="002F367B" w:rsidRDefault="001E41A2" w:rsidP="00AE7F37">
            <w:pPr>
              <w:jc w:val="left"/>
              <w:rPr>
                <w:sz w:val="20"/>
                <w:szCs w:val="20"/>
              </w:rPr>
            </w:pPr>
          </w:p>
        </w:tc>
        <w:tc>
          <w:tcPr>
            <w:tcW w:w="1417" w:type="dxa"/>
            <w:vMerge/>
            <w:shd w:val="clear" w:color="auto" w:fill="auto"/>
          </w:tcPr>
          <w:p w:rsidR="001E41A2" w:rsidRPr="002F367B" w:rsidRDefault="001E41A2" w:rsidP="00AE7F37">
            <w:pPr>
              <w:jc w:val="left"/>
              <w:rPr>
                <w:rFonts w:cstheme="minorHAnsi"/>
                <w:bCs/>
                <w:sz w:val="20"/>
                <w:szCs w:val="20"/>
              </w:rPr>
            </w:pPr>
          </w:p>
        </w:tc>
        <w:tc>
          <w:tcPr>
            <w:tcW w:w="1418" w:type="dxa"/>
            <w:vMerge/>
            <w:shd w:val="clear" w:color="auto" w:fill="auto"/>
          </w:tcPr>
          <w:p w:rsidR="001E41A2" w:rsidRPr="002F367B" w:rsidRDefault="001E41A2" w:rsidP="00AE7F37">
            <w:pPr>
              <w:jc w:val="left"/>
              <w:rPr>
                <w:rFonts w:cstheme="minorHAnsi"/>
                <w:bCs/>
                <w:iCs/>
                <w:sz w:val="20"/>
                <w:szCs w:val="20"/>
              </w:rPr>
            </w:pPr>
          </w:p>
        </w:tc>
        <w:tc>
          <w:tcPr>
            <w:tcW w:w="1134" w:type="dxa"/>
            <w:vMerge/>
            <w:shd w:val="clear" w:color="auto" w:fill="auto"/>
          </w:tcPr>
          <w:p w:rsidR="001E41A2" w:rsidRPr="002F367B" w:rsidRDefault="001E41A2" w:rsidP="00AE7F37">
            <w:pPr>
              <w:jc w:val="left"/>
              <w:rPr>
                <w:sz w:val="20"/>
                <w:szCs w:val="20"/>
              </w:rPr>
            </w:pPr>
          </w:p>
        </w:tc>
        <w:tc>
          <w:tcPr>
            <w:tcW w:w="1134" w:type="dxa"/>
            <w:vMerge/>
          </w:tcPr>
          <w:p w:rsidR="001E41A2" w:rsidRPr="002F367B" w:rsidRDefault="001E41A2" w:rsidP="00AE7F37">
            <w:pPr>
              <w:jc w:val="left"/>
              <w:rPr>
                <w:sz w:val="20"/>
                <w:szCs w:val="20"/>
              </w:rPr>
            </w:pPr>
          </w:p>
        </w:tc>
        <w:tc>
          <w:tcPr>
            <w:tcW w:w="2977" w:type="dxa"/>
            <w:vMerge/>
            <w:shd w:val="clear" w:color="auto" w:fill="auto"/>
          </w:tcPr>
          <w:p w:rsidR="001E41A2" w:rsidRPr="002F367B" w:rsidRDefault="001E41A2" w:rsidP="00AE7F37">
            <w:pPr>
              <w:jc w:val="left"/>
              <w:rPr>
                <w:sz w:val="20"/>
                <w:szCs w:val="20"/>
              </w:rPr>
            </w:pPr>
          </w:p>
        </w:tc>
        <w:tc>
          <w:tcPr>
            <w:tcW w:w="3260" w:type="dxa"/>
            <w:shd w:val="clear" w:color="auto" w:fill="auto"/>
          </w:tcPr>
          <w:p w:rsidR="001E41A2" w:rsidRPr="002F367B" w:rsidRDefault="0033290F" w:rsidP="00AE7F37">
            <w:pPr>
              <w:jc w:val="left"/>
              <w:rPr>
                <w:sz w:val="20"/>
                <w:szCs w:val="20"/>
              </w:rPr>
            </w:pPr>
            <w:r w:rsidRPr="0033290F">
              <w:rPr>
                <w:sz w:val="20"/>
                <w:szCs w:val="20"/>
              </w:rPr>
              <w:t>4.4 Zlepšit kvalitu prostředí v sídlech</w:t>
            </w:r>
          </w:p>
        </w:tc>
        <w:tc>
          <w:tcPr>
            <w:tcW w:w="1842" w:type="dxa"/>
          </w:tcPr>
          <w:p w:rsidR="001E41A2" w:rsidRPr="002F367B" w:rsidRDefault="0033290F" w:rsidP="00AE7F37">
            <w:pPr>
              <w:jc w:val="left"/>
              <w:rPr>
                <w:sz w:val="20"/>
                <w:szCs w:val="20"/>
              </w:rPr>
            </w:pPr>
            <w:r w:rsidRPr="0033290F">
              <w:rPr>
                <w:sz w:val="20"/>
                <w:szCs w:val="20"/>
              </w:rPr>
              <w:t>Viz kapitola 2.4 PO 4</w:t>
            </w:r>
          </w:p>
        </w:tc>
      </w:tr>
      <w:tr w:rsidR="001E41A2" w:rsidRPr="00284FFC" w:rsidTr="00AE7F37">
        <w:trPr>
          <w:trHeight w:val="3957"/>
        </w:trPr>
        <w:tc>
          <w:tcPr>
            <w:tcW w:w="959" w:type="dxa"/>
            <w:shd w:val="clear" w:color="548DD4" w:fill="FFFFFF"/>
          </w:tcPr>
          <w:p w:rsidR="001E41A2" w:rsidRPr="002F367B" w:rsidRDefault="001E41A2" w:rsidP="00AE7F37">
            <w:pPr>
              <w:jc w:val="left"/>
              <w:rPr>
                <w:sz w:val="20"/>
                <w:szCs w:val="20"/>
              </w:rPr>
            </w:pPr>
            <w:r w:rsidRPr="002F367B">
              <w:rPr>
                <w:sz w:val="20"/>
                <w:szCs w:val="20"/>
              </w:rPr>
              <w:lastRenderedPageBreak/>
              <w:t>Prioritní osa 5</w:t>
            </w:r>
          </w:p>
        </w:tc>
        <w:tc>
          <w:tcPr>
            <w:tcW w:w="1417" w:type="dxa"/>
            <w:shd w:val="clear" w:color="auto" w:fill="auto"/>
          </w:tcPr>
          <w:p w:rsidR="001E41A2" w:rsidRPr="002F367B" w:rsidRDefault="001E41A2" w:rsidP="00AE7F37">
            <w:pPr>
              <w:jc w:val="left"/>
              <w:rPr>
                <w:sz w:val="20"/>
                <w:szCs w:val="20"/>
              </w:rPr>
            </w:pPr>
            <w:r w:rsidRPr="002F367B">
              <w:rPr>
                <w:sz w:val="20"/>
                <w:szCs w:val="20"/>
              </w:rPr>
              <w:t>FS</w:t>
            </w:r>
          </w:p>
        </w:tc>
        <w:tc>
          <w:tcPr>
            <w:tcW w:w="1418" w:type="dxa"/>
            <w:shd w:val="clear" w:color="auto" w:fill="auto"/>
          </w:tcPr>
          <w:p w:rsidR="001E41A2" w:rsidRPr="002F367B" w:rsidRDefault="0033290F" w:rsidP="00AE7F37">
            <w:pPr>
              <w:jc w:val="left"/>
              <w:rPr>
                <w:sz w:val="20"/>
                <w:szCs w:val="20"/>
              </w:rPr>
            </w:pPr>
            <w:r w:rsidRPr="0033290F">
              <w:rPr>
                <w:sz w:val="20"/>
                <w:szCs w:val="20"/>
              </w:rPr>
              <w:t>509 626 952</w:t>
            </w:r>
          </w:p>
        </w:tc>
        <w:tc>
          <w:tcPr>
            <w:tcW w:w="1134" w:type="dxa"/>
            <w:shd w:val="clear" w:color="auto" w:fill="auto"/>
          </w:tcPr>
          <w:p w:rsidR="001E41A2" w:rsidRPr="002F367B" w:rsidRDefault="0033290F" w:rsidP="00AE7F37">
            <w:pPr>
              <w:jc w:val="left"/>
              <w:rPr>
                <w:sz w:val="20"/>
                <w:szCs w:val="20"/>
              </w:rPr>
            </w:pPr>
            <w:r w:rsidRPr="0033290F">
              <w:rPr>
                <w:sz w:val="20"/>
                <w:szCs w:val="20"/>
              </w:rPr>
              <w:t>19,87 %</w:t>
            </w:r>
          </w:p>
        </w:tc>
        <w:tc>
          <w:tcPr>
            <w:tcW w:w="1134" w:type="dxa"/>
          </w:tcPr>
          <w:p w:rsidR="001E41A2" w:rsidRPr="002F367B" w:rsidRDefault="0033290F" w:rsidP="00AE7F37">
            <w:pPr>
              <w:jc w:val="left"/>
              <w:rPr>
                <w:sz w:val="20"/>
                <w:szCs w:val="20"/>
              </w:rPr>
            </w:pPr>
            <w:r w:rsidRPr="0033290F">
              <w:rPr>
                <w:rFonts w:cstheme="minorHAnsi"/>
                <w:bCs/>
                <w:sz w:val="20"/>
                <w:szCs w:val="20"/>
              </w:rPr>
              <w:t>Tematický cíl 4: Podpora přechodu na nízkouhlíkové hospodářství ve všech odvětvích</w:t>
            </w:r>
          </w:p>
        </w:tc>
        <w:tc>
          <w:tcPr>
            <w:tcW w:w="2977" w:type="dxa"/>
            <w:shd w:val="clear" w:color="auto" w:fill="auto"/>
          </w:tcPr>
          <w:p w:rsidR="001E41A2" w:rsidRPr="002F367B" w:rsidRDefault="0033290F" w:rsidP="00AE7F37">
            <w:pPr>
              <w:jc w:val="left"/>
              <w:rPr>
                <w:sz w:val="20"/>
                <w:szCs w:val="20"/>
              </w:rPr>
            </w:pPr>
            <w:r w:rsidRPr="0033290F">
              <w:rPr>
                <w:rFonts w:cs="EUAlbertina"/>
                <w:color w:val="000000"/>
                <w:sz w:val="20"/>
                <w:szCs w:val="20"/>
              </w:rPr>
              <w:t xml:space="preserve">Podporování přechodu na nízkouhlíkové hospodářství ve všech odvětvích podporou energetické účinnosti, inteligentních systémů hospodaření s energií a využívání energie z obnovitelných zdrojů ve veřejných infrastrukturách, mimo jiné ve veřejných budovách a v oblasti bydlení (Dle Nařízení Evropského parlamentu a Rady (EU) č. 1300/2013 čl. 4 odst. a) písm. </w:t>
            </w:r>
            <w:proofErr w:type="spellStart"/>
            <w:r w:rsidRPr="0033290F">
              <w:rPr>
                <w:rFonts w:cs="EUAlbertina"/>
                <w:color w:val="000000"/>
                <w:sz w:val="20"/>
                <w:szCs w:val="20"/>
              </w:rPr>
              <w:t>iii</w:t>
            </w:r>
            <w:proofErr w:type="spellEnd"/>
            <w:r w:rsidRPr="0033290F">
              <w:rPr>
                <w:rFonts w:cs="EUAlbertina"/>
                <w:color w:val="000000"/>
                <w:sz w:val="20"/>
                <w:szCs w:val="20"/>
              </w:rPr>
              <w:t>))</w:t>
            </w:r>
          </w:p>
        </w:tc>
        <w:tc>
          <w:tcPr>
            <w:tcW w:w="3260" w:type="dxa"/>
            <w:shd w:val="clear" w:color="auto" w:fill="auto"/>
          </w:tcPr>
          <w:p w:rsidR="001E41A2" w:rsidRPr="002F367B" w:rsidRDefault="0033290F" w:rsidP="00AE7F37">
            <w:pPr>
              <w:jc w:val="left"/>
              <w:rPr>
                <w:sz w:val="20"/>
                <w:szCs w:val="20"/>
              </w:rPr>
            </w:pPr>
            <w:r w:rsidRPr="0033290F">
              <w:rPr>
                <w:rFonts w:cstheme="minorHAnsi"/>
                <w:sz w:val="20"/>
                <w:szCs w:val="20"/>
              </w:rPr>
              <w:t>5.1 Snížit energetickou náročnost veřejných budov a zvýšit využití obnovitelných zdrojů energie</w:t>
            </w:r>
          </w:p>
        </w:tc>
        <w:tc>
          <w:tcPr>
            <w:tcW w:w="1842" w:type="dxa"/>
          </w:tcPr>
          <w:p w:rsidR="001E41A2" w:rsidRPr="002F367B" w:rsidRDefault="0033290F" w:rsidP="00AE7F37">
            <w:pPr>
              <w:jc w:val="left"/>
              <w:rPr>
                <w:sz w:val="20"/>
                <w:szCs w:val="20"/>
              </w:rPr>
            </w:pPr>
            <w:r w:rsidRPr="0033290F">
              <w:rPr>
                <w:sz w:val="20"/>
                <w:szCs w:val="20"/>
              </w:rPr>
              <w:t>Viz kapitola 2.5 PO 5</w:t>
            </w:r>
          </w:p>
        </w:tc>
      </w:tr>
      <w:tr w:rsidR="001E41A2" w:rsidRPr="005F580A" w:rsidTr="00AE7F37">
        <w:trPr>
          <w:trHeight w:val="1291"/>
        </w:trPr>
        <w:tc>
          <w:tcPr>
            <w:tcW w:w="959" w:type="dxa"/>
            <w:shd w:val="clear" w:color="548DD4" w:fill="FFFFFF"/>
          </w:tcPr>
          <w:p w:rsidR="001E41A2" w:rsidRPr="002F367B" w:rsidRDefault="001E41A2" w:rsidP="00AE7F37">
            <w:pPr>
              <w:jc w:val="left"/>
              <w:rPr>
                <w:sz w:val="20"/>
                <w:szCs w:val="20"/>
              </w:rPr>
            </w:pPr>
            <w:r w:rsidRPr="002F367B">
              <w:rPr>
                <w:sz w:val="20"/>
                <w:szCs w:val="20"/>
              </w:rPr>
              <w:t>Technická pomoc</w:t>
            </w:r>
          </w:p>
        </w:tc>
        <w:tc>
          <w:tcPr>
            <w:tcW w:w="1417" w:type="dxa"/>
            <w:shd w:val="clear" w:color="auto" w:fill="auto"/>
          </w:tcPr>
          <w:p w:rsidR="001E41A2" w:rsidRPr="002F367B" w:rsidRDefault="001E41A2" w:rsidP="00AE7F37">
            <w:pPr>
              <w:jc w:val="left"/>
              <w:rPr>
                <w:sz w:val="20"/>
                <w:szCs w:val="20"/>
              </w:rPr>
            </w:pPr>
            <w:r w:rsidRPr="002F367B">
              <w:rPr>
                <w:sz w:val="20"/>
                <w:szCs w:val="20"/>
              </w:rPr>
              <w:t>FS</w:t>
            </w:r>
          </w:p>
        </w:tc>
        <w:tc>
          <w:tcPr>
            <w:tcW w:w="1418" w:type="dxa"/>
            <w:shd w:val="clear" w:color="auto" w:fill="auto"/>
          </w:tcPr>
          <w:p w:rsidR="001E41A2" w:rsidRPr="002F367B" w:rsidRDefault="0033290F" w:rsidP="00AE7F37">
            <w:pPr>
              <w:jc w:val="left"/>
              <w:rPr>
                <w:sz w:val="20"/>
                <w:szCs w:val="20"/>
              </w:rPr>
            </w:pPr>
            <w:r w:rsidRPr="0033290F">
              <w:rPr>
                <w:sz w:val="20"/>
                <w:szCs w:val="20"/>
              </w:rPr>
              <w:t>73 115 012</w:t>
            </w:r>
          </w:p>
        </w:tc>
        <w:tc>
          <w:tcPr>
            <w:tcW w:w="1134" w:type="dxa"/>
            <w:shd w:val="clear" w:color="auto" w:fill="auto"/>
          </w:tcPr>
          <w:p w:rsidR="001E41A2" w:rsidRPr="002F367B" w:rsidRDefault="0033290F" w:rsidP="00AE7F37">
            <w:pPr>
              <w:jc w:val="left"/>
              <w:rPr>
                <w:sz w:val="20"/>
                <w:szCs w:val="20"/>
              </w:rPr>
            </w:pPr>
            <w:r w:rsidRPr="0033290F">
              <w:rPr>
                <w:sz w:val="20"/>
                <w:szCs w:val="20"/>
              </w:rPr>
              <w:t>2,85 %</w:t>
            </w:r>
          </w:p>
        </w:tc>
        <w:tc>
          <w:tcPr>
            <w:tcW w:w="1134" w:type="dxa"/>
          </w:tcPr>
          <w:p w:rsidR="001E41A2" w:rsidRPr="002F367B" w:rsidRDefault="0033290F" w:rsidP="00AE7F37">
            <w:pPr>
              <w:jc w:val="left"/>
              <w:rPr>
                <w:sz w:val="20"/>
                <w:szCs w:val="20"/>
              </w:rPr>
            </w:pPr>
            <w:proofErr w:type="gramStart"/>
            <w:r w:rsidRPr="0033290F">
              <w:rPr>
                <w:sz w:val="20"/>
                <w:szCs w:val="20"/>
              </w:rPr>
              <w:t>NA</w:t>
            </w:r>
            <w:proofErr w:type="gramEnd"/>
          </w:p>
        </w:tc>
        <w:tc>
          <w:tcPr>
            <w:tcW w:w="2977" w:type="dxa"/>
            <w:shd w:val="clear" w:color="auto" w:fill="auto"/>
          </w:tcPr>
          <w:p w:rsidR="001E41A2" w:rsidRPr="002F367B" w:rsidRDefault="0033290F" w:rsidP="00AE7F37">
            <w:pPr>
              <w:jc w:val="left"/>
              <w:rPr>
                <w:sz w:val="20"/>
                <w:szCs w:val="20"/>
              </w:rPr>
            </w:pPr>
            <w:proofErr w:type="gramStart"/>
            <w:r w:rsidRPr="0033290F">
              <w:rPr>
                <w:sz w:val="20"/>
                <w:szCs w:val="20"/>
              </w:rPr>
              <w:t>NA</w:t>
            </w:r>
            <w:proofErr w:type="gramEnd"/>
          </w:p>
        </w:tc>
        <w:tc>
          <w:tcPr>
            <w:tcW w:w="3260" w:type="dxa"/>
            <w:shd w:val="clear" w:color="auto" w:fill="auto"/>
          </w:tcPr>
          <w:p w:rsidR="001E41A2" w:rsidRDefault="0033290F" w:rsidP="00AE7F37">
            <w:pPr>
              <w:jc w:val="left"/>
              <w:rPr>
                <w:sz w:val="20"/>
                <w:szCs w:val="20"/>
              </w:rPr>
            </w:pPr>
            <w:r w:rsidRPr="0033290F">
              <w:rPr>
                <w:rFonts w:cstheme="minorHAnsi"/>
                <w:sz w:val="20"/>
                <w:szCs w:val="20"/>
              </w:rPr>
              <w:t xml:space="preserve">6.1 </w:t>
            </w:r>
            <w:r w:rsidRPr="0033290F">
              <w:rPr>
                <w:sz w:val="20"/>
                <w:szCs w:val="20"/>
              </w:rPr>
              <w:t>Zajistit řádn</w:t>
            </w:r>
            <w:r w:rsidR="006A446A">
              <w:rPr>
                <w:sz w:val="20"/>
                <w:szCs w:val="20"/>
              </w:rPr>
              <w:t>é a efektivní řízení a administraci</w:t>
            </w:r>
          </w:p>
          <w:p w:rsidR="006A446A" w:rsidRPr="002F367B" w:rsidRDefault="006A446A" w:rsidP="00AE7F37">
            <w:pPr>
              <w:jc w:val="left"/>
              <w:rPr>
                <w:sz w:val="20"/>
                <w:szCs w:val="20"/>
              </w:rPr>
            </w:pPr>
            <w:r>
              <w:rPr>
                <w:sz w:val="20"/>
                <w:szCs w:val="20"/>
              </w:rPr>
              <w:t>6.2 Zajistit informovanost, publicitu a absorpční kapacitu</w:t>
            </w:r>
          </w:p>
        </w:tc>
        <w:tc>
          <w:tcPr>
            <w:tcW w:w="1842" w:type="dxa"/>
          </w:tcPr>
          <w:p w:rsidR="001E41A2" w:rsidRPr="002F367B" w:rsidRDefault="0033290F" w:rsidP="00AE7F37">
            <w:pPr>
              <w:jc w:val="left"/>
              <w:rPr>
                <w:sz w:val="20"/>
                <w:szCs w:val="20"/>
              </w:rPr>
            </w:pPr>
            <w:r w:rsidRPr="0033290F">
              <w:rPr>
                <w:sz w:val="20"/>
                <w:szCs w:val="20"/>
              </w:rPr>
              <w:t>Viz kapitola 2.6 PO 6</w:t>
            </w:r>
          </w:p>
        </w:tc>
      </w:tr>
    </w:tbl>
    <w:p w:rsidR="001E41A2" w:rsidRPr="004314F4" w:rsidRDefault="001E41A2" w:rsidP="00B66FDE">
      <w:pPr>
        <w:sectPr w:rsidR="001E41A2" w:rsidRPr="004314F4" w:rsidSect="00FE4C0F">
          <w:pgSz w:w="16838" w:h="11906" w:orient="landscape" w:code="9"/>
          <w:pgMar w:top="1418" w:right="1418" w:bottom="1418" w:left="1418" w:header="709" w:footer="709" w:gutter="0"/>
          <w:cols w:space="708"/>
          <w:docGrid w:linePitch="360"/>
        </w:sectPr>
      </w:pPr>
    </w:p>
    <w:p w:rsidR="00FB77AC" w:rsidRPr="004314F4" w:rsidRDefault="00FB77AC" w:rsidP="00E3720E">
      <w:pPr>
        <w:pStyle w:val="Nadpis1"/>
      </w:pPr>
      <w:bookmarkStart w:id="2214" w:name="_Toc392150974"/>
      <w:r w:rsidRPr="004314F4">
        <w:lastRenderedPageBreak/>
        <w:t>POPIS PRIORITNÍCH OS OPERAČNÍHO PROGRAMU ŽIVOTNÍ PROSTŘEDÍ 2014–2020</w:t>
      </w:r>
      <w:bookmarkEnd w:id="2214"/>
    </w:p>
    <w:p w:rsidR="00A46E28" w:rsidRPr="004314F4" w:rsidRDefault="00A46E28" w:rsidP="00F5487C">
      <w:pPr>
        <w:pStyle w:val="Titulek"/>
        <w:numPr>
          <w:ilvl w:val="0"/>
          <w:numId w:val="0"/>
        </w:numPr>
      </w:pPr>
    </w:p>
    <w:p w:rsidR="00FB77AC" w:rsidRDefault="00FB77AC" w:rsidP="00165854">
      <w:pPr>
        <w:pStyle w:val="Nadpis2"/>
        <w:rPr>
          <w:rStyle w:val="st"/>
        </w:rPr>
      </w:pPr>
      <w:bookmarkStart w:id="2215" w:name="_Toc391014674"/>
      <w:bookmarkStart w:id="2216" w:name="_Toc391015825"/>
      <w:bookmarkStart w:id="2217" w:name="_Toc391016798"/>
      <w:bookmarkStart w:id="2218" w:name="_Toc391017911"/>
      <w:bookmarkStart w:id="2219" w:name="_Toc391019023"/>
      <w:bookmarkStart w:id="2220" w:name="_Toc391014677"/>
      <w:bookmarkStart w:id="2221" w:name="_Toc391015828"/>
      <w:bookmarkStart w:id="2222" w:name="_Toc391016801"/>
      <w:bookmarkStart w:id="2223" w:name="_Toc391017914"/>
      <w:bookmarkStart w:id="2224" w:name="_Toc391019026"/>
      <w:bookmarkStart w:id="2225" w:name="_Toc391014680"/>
      <w:bookmarkStart w:id="2226" w:name="_Toc391015831"/>
      <w:bookmarkStart w:id="2227" w:name="_Toc391016804"/>
      <w:bookmarkStart w:id="2228" w:name="_Toc391017917"/>
      <w:bookmarkStart w:id="2229" w:name="_Toc391019029"/>
      <w:bookmarkStart w:id="2230" w:name="_Toc391014686"/>
      <w:bookmarkStart w:id="2231" w:name="_Toc391015837"/>
      <w:bookmarkStart w:id="2232" w:name="_Toc391016810"/>
      <w:bookmarkStart w:id="2233" w:name="_Toc391017923"/>
      <w:bookmarkStart w:id="2234" w:name="_Toc391019035"/>
      <w:bookmarkStart w:id="2235" w:name="_Toc391014689"/>
      <w:bookmarkStart w:id="2236" w:name="_Toc391015840"/>
      <w:bookmarkStart w:id="2237" w:name="_Toc391016813"/>
      <w:bookmarkStart w:id="2238" w:name="_Toc391017926"/>
      <w:bookmarkStart w:id="2239" w:name="_Toc391019038"/>
      <w:bookmarkStart w:id="2240" w:name="_Toc391014695"/>
      <w:bookmarkStart w:id="2241" w:name="_Toc391015846"/>
      <w:bookmarkStart w:id="2242" w:name="_Toc391016819"/>
      <w:bookmarkStart w:id="2243" w:name="_Toc391017932"/>
      <w:bookmarkStart w:id="2244" w:name="_Toc391019044"/>
      <w:bookmarkStart w:id="2245" w:name="_Toc391014698"/>
      <w:bookmarkStart w:id="2246" w:name="_Toc391015849"/>
      <w:bookmarkStart w:id="2247" w:name="_Toc391016822"/>
      <w:bookmarkStart w:id="2248" w:name="_Toc391017935"/>
      <w:bookmarkStart w:id="2249" w:name="_Toc391019047"/>
      <w:bookmarkStart w:id="2250" w:name="_Toc391014701"/>
      <w:bookmarkStart w:id="2251" w:name="_Toc391015852"/>
      <w:bookmarkStart w:id="2252" w:name="_Toc391016825"/>
      <w:bookmarkStart w:id="2253" w:name="_Toc391017938"/>
      <w:bookmarkStart w:id="2254" w:name="_Toc391019050"/>
      <w:bookmarkStart w:id="2255" w:name="_Toc391014704"/>
      <w:bookmarkStart w:id="2256" w:name="_Toc391015855"/>
      <w:bookmarkStart w:id="2257" w:name="_Toc391016828"/>
      <w:bookmarkStart w:id="2258" w:name="_Toc391017941"/>
      <w:bookmarkStart w:id="2259" w:name="_Toc391019053"/>
      <w:bookmarkStart w:id="2260" w:name="_Toc391014710"/>
      <w:bookmarkStart w:id="2261" w:name="_Toc391015861"/>
      <w:bookmarkStart w:id="2262" w:name="_Toc391016834"/>
      <w:bookmarkStart w:id="2263" w:name="_Toc391017947"/>
      <w:bookmarkStart w:id="2264" w:name="_Toc391019059"/>
      <w:bookmarkStart w:id="2265" w:name="_Toc391014713"/>
      <w:bookmarkStart w:id="2266" w:name="_Toc391015864"/>
      <w:bookmarkStart w:id="2267" w:name="_Toc391016837"/>
      <w:bookmarkStart w:id="2268" w:name="_Toc391017950"/>
      <w:bookmarkStart w:id="2269" w:name="_Toc391019062"/>
      <w:bookmarkStart w:id="2270" w:name="_Toc391014716"/>
      <w:bookmarkStart w:id="2271" w:name="_Toc391015867"/>
      <w:bookmarkStart w:id="2272" w:name="_Toc391016840"/>
      <w:bookmarkStart w:id="2273" w:name="_Toc391017953"/>
      <w:bookmarkStart w:id="2274" w:name="_Toc391019065"/>
      <w:bookmarkStart w:id="2275" w:name="_Toc391014725"/>
      <w:bookmarkStart w:id="2276" w:name="_Toc391015876"/>
      <w:bookmarkStart w:id="2277" w:name="_Toc391016849"/>
      <w:bookmarkStart w:id="2278" w:name="_Toc391017962"/>
      <w:bookmarkStart w:id="2279" w:name="_Toc391019074"/>
      <w:bookmarkStart w:id="2280" w:name="_Toc392150975"/>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r w:rsidRPr="0004304C">
        <w:rPr>
          <w:rStyle w:val="st"/>
        </w:rPr>
        <w:t>PRIORITNÍ O</w:t>
      </w:r>
      <w:r w:rsidR="008A3C71" w:rsidRPr="0004304C">
        <w:rPr>
          <w:rStyle w:val="st"/>
        </w:rPr>
        <w:t>SA 1: Zlepšování kvality vody a </w:t>
      </w:r>
      <w:r w:rsidRPr="0004304C">
        <w:rPr>
          <w:rStyle w:val="st"/>
        </w:rPr>
        <w:t>snižování rizika povodní</w:t>
      </w:r>
      <w:bookmarkEnd w:id="22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6"/>
        <w:gridCol w:w="490"/>
      </w:tblGrid>
      <w:tr w:rsidR="00E63B56" w:rsidRPr="00E63B56" w:rsidTr="00E63B56">
        <w:tc>
          <w:tcPr>
            <w:tcW w:w="4736" w:type="pct"/>
            <w:shd w:val="clear" w:color="auto" w:fill="auto"/>
            <w:vAlign w:val="center"/>
          </w:tcPr>
          <w:p w:rsidR="00E63B56" w:rsidRPr="00E63B56" w:rsidRDefault="0033290F" w:rsidP="00E63B56">
            <w:pPr>
              <w:pStyle w:val="Tabulka"/>
              <w:jc w:val="left"/>
              <w:rPr>
                <w:rFonts w:asciiTheme="majorHAnsi" w:hAnsiTheme="majorHAnsi" w:cs="Times New Roman"/>
              </w:rPr>
            </w:pPr>
            <w:r w:rsidRPr="0033290F">
              <w:rPr>
                <w:rFonts w:asciiTheme="majorHAnsi" w:hAnsiTheme="majorHAnsi" w:cs="Times New Roman"/>
              </w:rPr>
              <w:t>Celá prioritní osa bude realizována výhradně prostřednictvím finančních nástrojů</w:t>
            </w:r>
          </w:p>
        </w:tc>
        <w:tc>
          <w:tcPr>
            <w:tcW w:w="264" w:type="pct"/>
            <w:shd w:val="clear" w:color="auto" w:fill="auto"/>
            <w:vAlign w:val="center"/>
          </w:tcPr>
          <w:p w:rsidR="00E63B56" w:rsidRPr="00E63B56" w:rsidRDefault="000E07F9" w:rsidP="00E63B56">
            <w:pPr>
              <w:pStyle w:val="Tabulka"/>
              <w:rPr>
                <w:rFonts w:asciiTheme="majorHAnsi" w:hAnsiTheme="majorHAnsi"/>
              </w:rPr>
            </w:pPr>
            <w:r w:rsidRPr="00CA1839">
              <w:rPr>
                <w:rFonts w:asciiTheme="majorHAnsi" w:hAnsiTheme="majorHAnsi"/>
              </w:rPr>
              <w:fldChar w:fldCharType="begin">
                <w:ffData>
                  <w:name w:val="Check1"/>
                  <w:enabled/>
                  <w:calcOnExit w:val="0"/>
                  <w:checkBox>
                    <w:sizeAuto/>
                    <w:default w:val="0"/>
                  </w:checkBox>
                </w:ffData>
              </w:fldChar>
            </w:r>
            <w:bookmarkStart w:id="2281" w:name="Check1"/>
            <w:r w:rsidR="0033290F" w:rsidRPr="0033290F">
              <w:rPr>
                <w:rFonts w:asciiTheme="majorHAnsi" w:hAnsiTheme="majorHAnsi"/>
              </w:rPr>
              <w:instrText xml:space="preserve"> FORMCHECKBOX </w:instrText>
            </w:r>
            <w:r w:rsidR="00332B77">
              <w:rPr>
                <w:rFonts w:asciiTheme="majorHAnsi" w:hAnsiTheme="majorHAnsi"/>
              </w:rPr>
            </w:r>
            <w:r w:rsidR="00332B77">
              <w:rPr>
                <w:rFonts w:asciiTheme="majorHAnsi" w:hAnsiTheme="majorHAnsi"/>
              </w:rPr>
              <w:fldChar w:fldCharType="separate"/>
            </w:r>
            <w:r w:rsidRPr="00CA1839">
              <w:rPr>
                <w:rFonts w:asciiTheme="majorHAnsi" w:hAnsiTheme="majorHAnsi"/>
              </w:rPr>
              <w:fldChar w:fldCharType="end"/>
            </w:r>
            <w:bookmarkEnd w:id="2281"/>
          </w:p>
        </w:tc>
      </w:tr>
      <w:tr w:rsidR="00E63B56" w:rsidRPr="00E63B56" w:rsidTr="00E63B56">
        <w:tc>
          <w:tcPr>
            <w:tcW w:w="4736" w:type="pct"/>
            <w:shd w:val="clear" w:color="auto" w:fill="auto"/>
            <w:vAlign w:val="center"/>
          </w:tcPr>
          <w:p w:rsidR="00E63B56" w:rsidRPr="00E63B56" w:rsidRDefault="0033290F" w:rsidP="00E63B56">
            <w:pPr>
              <w:pStyle w:val="Tabulka"/>
              <w:jc w:val="left"/>
              <w:rPr>
                <w:rFonts w:asciiTheme="majorHAnsi" w:hAnsiTheme="majorHAnsi" w:cs="Times New Roman"/>
              </w:rPr>
            </w:pPr>
            <w:r w:rsidRPr="0033290F">
              <w:rPr>
                <w:rFonts w:asciiTheme="majorHAnsi" w:hAnsiTheme="majorHAnsi" w:cs="Times New Roman"/>
              </w:rPr>
              <w:t>Celá prioritní osa bude realizována výhradně prostřednictvím finančních nástrojů zřízených na úrovni Unie</w:t>
            </w:r>
          </w:p>
        </w:tc>
        <w:tc>
          <w:tcPr>
            <w:tcW w:w="264" w:type="pct"/>
            <w:shd w:val="clear" w:color="auto" w:fill="auto"/>
            <w:vAlign w:val="center"/>
          </w:tcPr>
          <w:p w:rsidR="00E63B56" w:rsidRPr="00E63B56" w:rsidRDefault="000E07F9" w:rsidP="00E63B56">
            <w:pPr>
              <w:pStyle w:val="Tabulka"/>
              <w:rPr>
                <w:rFonts w:asciiTheme="majorHAnsi" w:hAnsiTheme="majorHAnsi"/>
              </w:rPr>
            </w:pPr>
            <w:r w:rsidRPr="00CA1839">
              <w:rPr>
                <w:rFonts w:asciiTheme="majorHAnsi" w:hAnsiTheme="majorHAnsi"/>
              </w:rPr>
              <w:fldChar w:fldCharType="begin">
                <w:ffData>
                  <w:name w:val="Check1"/>
                  <w:enabled/>
                  <w:calcOnExit w:val="0"/>
                  <w:checkBox>
                    <w:sizeAuto/>
                    <w:default w:val="0"/>
                  </w:checkBox>
                </w:ffData>
              </w:fldChar>
            </w:r>
            <w:r w:rsidR="0033290F" w:rsidRPr="0033290F">
              <w:rPr>
                <w:rFonts w:asciiTheme="majorHAnsi" w:hAnsiTheme="majorHAnsi"/>
              </w:rPr>
              <w:instrText xml:space="preserve"> FORMCHECKBOX </w:instrText>
            </w:r>
            <w:r w:rsidR="00332B77">
              <w:rPr>
                <w:rFonts w:asciiTheme="majorHAnsi" w:hAnsiTheme="majorHAnsi"/>
              </w:rPr>
            </w:r>
            <w:r w:rsidR="00332B77">
              <w:rPr>
                <w:rFonts w:asciiTheme="majorHAnsi" w:hAnsiTheme="majorHAnsi"/>
              </w:rPr>
              <w:fldChar w:fldCharType="separate"/>
            </w:r>
            <w:r w:rsidRPr="00CA1839">
              <w:rPr>
                <w:rFonts w:asciiTheme="majorHAnsi" w:hAnsiTheme="majorHAnsi"/>
              </w:rPr>
              <w:fldChar w:fldCharType="end"/>
            </w:r>
          </w:p>
        </w:tc>
      </w:tr>
      <w:tr w:rsidR="00E63B56" w:rsidRPr="00E63B56" w:rsidTr="00E63B56">
        <w:tc>
          <w:tcPr>
            <w:tcW w:w="4736" w:type="pct"/>
            <w:shd w:val="clear" w:color="auto" w:fill="auto"/>
            <w:vAlign w:val="center"/>
          </w:tcPr>
          <w:p w:rsidR="00E63B56" w:rsidRPr="00E63B56" w:rsidRDefault="0033290F" w:rsidP="00E63B56">
            <w:pPr>
              <w:pStyle w:val="Tabulka"/>
              <w:jc w:val="left"/>
              <w:rPr>
                <w:rFonts w:asciiTheme="majorHAnsi" w:hAnsiTheme="majorHAnsi" w:cs="Times New Roman"/>
              </w:rPr>
            </w:pPr>
            <w:r w:rsidRPr="0033290F">
              <w:rPr>
                <w:rFonts w:asciiTheme="majorHAnsi" w:hAnsiTheme="majorHAnsi" w:cs="Times New Roman"/>
              </w:rPr>
              <w:t>Celá prioritní osa bude realizována výhradně prostřednictvím komunitně vedeného místního rozvoje</w:t>
            </w:r>
          </w:p>
        </w:tc>
        <w:tc>
          <w:tcPr>
            <w:tcW w:w="264" w:type="pct"/>
            <w:shd w:val="clear" w:color="auto" w:fill="auto"/>
            <w:vAlign w:val="center"/>
          </w:tcPr>
          <w:p w:rsidR="00E63B56" w:rsidRPr="00E63B56" w:rsidRDefault="000E07F9" w:rsidP="00E63B56">
            <w:pPr>
              <w:pStyle w:val="Tabulka"/>
              <w:rPr>
                <w:rFonts w:asciiTheme="majorHAnsi" w:hAnsiTheme="majorHAnsi"/>
              </w:rPr>
            </w:pPr>
            <w:r w:rsidRPr="00CA1839">
              <w:rPr>
                <w:rFonts w:asciiTheme="majorHAnsi" w:hAnsiTheme="majorHAnsi"/>
              </w:rPr>
              <w:fldChar w:fldCharType="begin">
                <w:ffData>
                  <w:name w:val="Check1"/>
                  <w:enabled/>
                  <w:calcOnExit w:val="0"/>
                  <w:checkBox>
                    <w:sizeAuto/>
                    <w:default w:val="0"/>
                  </w:checkBox>
                </w:ffData>
              </w:fldChar>
            </w:r>
            <w:r w:rsidR="0033290F" w:rsidRPr="0033290F">
              <w:rPr>
                <w:rFonts w:asciiTheme="majorHAnsi" w:hAnsiTheme="majorHAnsi"/>
              </w:rPr>
              <w:instrText xml:space="preserve"> FORMCHECKBOX </w:instrText>
            </w:r>
            <w:r w:rsidR="00332B77">
              <w:rPr>
                <w:rFonts w:asciiTheme="majorHAnsi" w:hAnsiTheme="majorHAnsi"/>
              </w:rPr>
            </w:r>
            <w:r w:rsidR="00332B77">
              <w:rPr>
                <w:rFonts w:asciiTheme="majorHAnsi" w:hAnsiTheme="majorHAnsi"/>
              </w:rPr>
              <w:fldChar w:fldCharType="separate"/>
            </w:r>
            <w:r w:rsidRPr="00CA1839">
              <w:rPr>
                <w:rFonts w:asciiTheme="majorHAnsi" w:hAnsiTheme="majorHAnsi"/>
              </w:rPr>
              <w:fldChar w:fldCharType="end"/>
            </w:r>
          </w:p>
        </w:tc>
      </w:tr>
    </w:tbl>
    <w:p w:rsidR="00E63B56" w:rsidRDefault="00E63B56" w:rsidP="00E63B56"/>
    <w:p w:rsidR="00674BC9" w:rsidRDefault="00E63B56">
      <w:pPr>
        <w:pStyle w:val="Nadpis3"/>
      </w:pPr>
      <w:bookmarkStart w:id="2282" w:name="_Toc392150976"/>
      <w:r>
        <w:t>Odůvodnění pro vytvoření prioritní osy, která zahrnuje více než jednu kategorii regionů nebo více než jeden tematický cíl či fond</w:t>
      </w:r>
      <w:bookmarkEnd w:id="2282"/>
    </w:p>
    <w:p w:rsidR="00C60B38" w:rsidRPr="003F1EB0" w:rsidRDefault="00C60B38" w:rsidP="00C60B38">
      <w:r w:rsidRPr="003F1EB0">
        <w:t>V souladu s čl. 96 odst. 1 písm. c) kombinuje tato prioritní os</w:t>
      </w:r>
      <w:r>
        <w:t xml:space="preserve">a investiční priority z různých </w:t>
      </w:r>
      <w:r w:rsidRPr="003F1EB0">
        <w:t xml:space="preserve">tematických cílů. </w:t>
      </w:r>
      <w:r>
        <w:t>Jedná se o</w:t>
      </w:r>
      <w:r w:rsidRPr="003F1EB0">
        <w:t xml:space="preserve"> tematický cíl </w:t>
      </w:r>
      <w:r>
        <w:t>6 vážící se k ochraně životního prostředí a podpoře účinného využívání zdrojů a tematický cíl 5 podporující přizpůsobení se změně klimatu, předcházení rizikům a řízení rizik</w:t>
      </w:r>
      <w:r w:rsidRPr="003F1EB0">
        <w:t>.</w:t>
      </w:r>
    </w:p>
    <w:p w:rsidR="00C60B38" w:rsidRDefault="00C60B38" w:rsidP="00C60B38">
      <w:pPr>
        <w:pStyle w:val="Standardntext"/>
        <w:spacing w:line="276" w:lineRule="auto"/>
      </w:pPr>
      <w:r>
        <w:rPr>
          <w:rFonts w:ascii="Cambria" w:hAnsi="Cambria"/>
          <w:sz w:val="22"/>
        </w:rPr>
        <w:t>K</w:t>
      </w:r>
      <w:r w:rsidRPr="003F1EB0">
        <w:rPr>
          <w:rFonts w:ascii="Cambria" w:hAnsi="Cambria"/>
          <w:sz w:val="22"/>
        </w:rPr>
        <w:t xml:space="preserve">e kombinaci tematických cílů </w:t>
      </w:r>
      <w:r>
        <w:rPr>
          <w:rFonts w:ascii="Cambria" w:hAnsi="Cambria"/>
          <w:sz w:val="22"/>
        </w:rPr>
        <w:t>5 a 6</w:t>
      </w:r>
      <w:r w:rsidRPr="003F1EB0">
        <w:rPr>
          <w:rFonts w:ascii="Cambria" w:hAnsi="Cambria"/>
          <w:sz w:val="22"/>
        </w:rPr>
        <w:t xml:space="preserve"> </w:t>
      </w:r>
      <w:r>
        <w:rPr>
          <w:rFonts w:ascii="Cambria" w:hAnsi="Cambria"/>
          <w:sz w:val="22"/>
        </w:rPr>
        <w:t xml:space="preserve">bylo přistoupeno </w:t>
      </w:r>
      <w:r w:rsidRPr="003F1EB0">
        <w:rPr>
          <w:rFonts w:ascii="Cambria" w:hAnsi="Cambria"/>
          <w:sz w:val="22"/>
        </w:rPr>
        <w:t>z důvodu potřeb</w:t>
      </w:r>
      <w:r>
        <w:rPr>
          <w:rFonts w:ascii="Cambria" w:hAnsi="Cambria"/>
          <w:sz w:val="22"/>
        </w:rPr>
        <w:t xml:space="preserve">y komplexních intervencí v rámci celé oblasti ochrany vod a snižování rizika povodní. </w:t>
      </w:r>
      <w:r w:rsidRPr="003F1EB0">
        <w:rPr>
          <w:rFonts w:ascii="Cambria" w:hAnsi="Cambria"/>
          <w:sz w:val="22"/>
        </w:rPr>
        <w:t>Tento komplexní přístup přinese kvalitativně vyšší přínosy pro</w:t>
      </w:r>
      <w:r>
        <w:rPr>
          <w:rFonts w:ascii="Cambria" w:hAnsi="Cambria"/>
          <w:sz w:val="22"/>
        </w:rPr>
        <w:t xml:space="preserve"> celkové řešení intervencí v této souhrnné prioritní ose, </w:t>
      </w:r>
      <w:r w:rsidRPr="003F1EB0">
        <w:rPr>
          <w:rFonts w:ascii="Cambria" w:hAnsi="Cambria"/>
          <w:sz w:val="22"/>
        </w:rPr>
        <w:t>než kdyby byly intervence realizovány</w:t>
      </w:r>
      <w:r>
        <w:rPr>
          <w:rFonts w:ascii="Cambria" w:hAnsi="Cambria"/>
          <w:sz w:val="22"/>
        </w:rPr>
        <w:t xml:space="preserve"> separátně </w:t>
      </w:r>
      <w:r w:rsidRPr="003F1EB0">
        <w:rPr>
          <w:rFonts w:ascii="Cambria" w:hAnsi="Cambria"/>
          <w:sz w:val="22"/>
        </w:rPr>
        <w:t xml:space="preserve">z různých </w:t>
      </w:r>
      <w:r>
        <w:rPr>
          <w:rFonts w:ascii="Cambria" w:hAnsi="Cambria"/>
          <w:sz w:val="22"/>
        </w:rPr>
        <w:t>prioritních os</w:t>
      </w:r>
      <w:r w:rsidRPr="0068667C">
        <w:t>.</w:t>
      </w:r>
    </w:p>
    <w:p w:rsidR="007008D8" w:rsidRDefault="007008D8" w:rsidP="007008D8">
      <w:r>
        <w:t>Opatření realizována s podporou prioritní osy 1 budou vycházet z plánů povodí a plánů</w:t>
      </w:r>
      <w:r w:rsidR="00515514">
        <w:t xml:space="preserve"> pro </w:t>
      </w:r>
      <w:r>
        <w:t>zvládání povodňových rizik, které budou v souladu s Adaptační strategií přizpůsobení se změně klimatu v podmínkách ČR.</w:t>
      </w:r>
    </w:p>
    <w:p w:rsidR="00C60B38" w:rsidRDefault="00C60B38" w:rsidP="00C60B38">
      <w:r w:rsidRPr="00994CF3">
        <w:t xml:space="preserve">V návaznosti na předběžnou podmínku uvedenou v </w:t>
      </w:r>
      <w:r w:rsidRPr="00E3632A">
        <w:rPr>
          <w:i/>
        </w:rPr>
        <w:t>„</w:t>
      </w:r>
      <w:r w:rsidRPr="00E3632A">
        <w:rPr>
          <w:i/>
          <w:lang w:val="en-GB"/>
        </w:rPr>
        <w:t>Position of the Commission Services on the development of Partnership Agreement and programmes in the CZECH REPUBLIC for the period 2014–2020”</w:t>
      </w:r>
      <w:r w:rsidRPr="00994CF3">
        <w:t xml:space="preserve"> a zkušenosti a praxi získan</w:t>
      </w:r>
      <w:r>
        <w:t>é</w:t>
      </w:r>
      <w:r w:rsidRPr="00994CF3">
        <w:t xml:space="preserve"> při implementaci Přílohy č. 7 Operačního programu Životní prostředí v programovém období 2007–2013 se Česká republika zavazuje, že v případě, že nedojde ke zřízení </w:t>
      </w:r>
      <w:r>
        <w:t xml:space="preserve">(případně dojde ke zpoždění při zřizování) </w:t>
      </w:r>
      <w:r w:rsidRPr="00994CF3">
        <w:t xml:space="preserve">nezávislé regulační instituce pro regulaci ve vodohospodářském sektoru, budou v oblasti zajištění provozu </w:t>
      </w:r>
      <w:r>
        <w:t xml:space="preserve">vodohospodářské </w:t>
      </w:r>
      <w:r w:rsidRPr="00994CF3">
        <w:t>infrastruktury</w:t>
      </w:r>
      <w:r>
        <w:t xml:space="preserve"> (VHI)</w:t>
      </w:r>
      <w:r w:rsidRPr="00994CF3">
        <w:t xml:space="preserve"> spolufinancované z Operačního programu Životní prostředí (dále jen OPŽP) 2014–2020 dodrženy podmínky stanovené </w:t>
      </w:r>
      <w:r>
        <w:t xml:space="preserve">¨Přílohou 6 OPŽP </w:t>
      </w:r>
      <w:r w:rsidR="0029003F">
        <w:t>Dohoda mezi Českou republikou a </w:t>
      </w:r>
      <w:r w:rsidRPr="00E062C8">
        <w:t>Evropskou komisí na „Podmínkách přijatelnosti vodohospodářských projektů pro Operační program Životní prostředí v programovacím období 2014–2020</w:t>
      </w:r>
      <w:r>
        <w:t>“.</w:t>
      </w:r>
    </w:p>
    <w:p w:rsidR="00674BC9" w:rsidRDefault="00E63B56">
      <w:pPr>
        <w:pStyle w:val="Nadpis3"/>
      </w:pPr>
      <w:bookmarkStart w:id="2283" w:name="_Toc390414192"/>
      <w:bookmarkStart w:id="2284" w:name="_Toc390414439"/>
      <w:bookmarkStart w:id="2285" w:name="_Toc390414683"/>
      <w:bookmarkStart w:id="2286" w:name="_Toc391014730"/>
      <w:bookmarkStart w:id="2287" w:name="_Toc391015881"/>
      <w:bookmarkStart w:id="2288" w:name="_Toc391016854"/>
      <w:bookmarkStart w:id="2289" w:name="_Toc391017967"/>
      <w:bookmarkStart w:id="2290" w:name="_Toc391019079"/>
      <w:bookmarkStart w:id="2291" w:name="_Toc392150977"/>
      <w:bookmarkEnd w:id="2283"/>
      <w:bookmarkEnd w:id="2284"/>
      <w:bookmarkEnd w:id="2285"/>
      <w:bookmarkEnd w:id="2286"/>
      <w:bookmarkEnd w:id="2287"/>
      <w:bookmarkEnd w:id="2288"/>
      <w:bookmarkEnd w:id="2289"/>
      <w:bookmarkEnd w:id="2290"/>
      <w:r>
        <w:lastRenderedPageBreak/>
        <w:t>Fond, kategorie regionů a základ pro výpočet podpory Unie</w:t>
      </w:r>
      <w:bookmarkEnd w:id="2291"/>
    </w:p>
    <w:tbl>
      <w:tblPr>
        <w:tblStyle w:val="Mkatabulky"/>
        <w:tblW w:w="0" w:type="auto"/>
        <w:tblLook w:val="04A0" w:firstRow="1" w:lastRow="0" w:firstColumn="1" w:lastColumn="0" w:noHBand="0" w:noVBand="1"/>
      </w:tblPr>
      <w:tblGrid>
        <w:gridCol w:w="4605"/>
        <w:gridCol w:w="4605"/>
      </w:tblGrid>
      <w:tr w:rsidR="00E63B56" w:rsidTr="000225A5">
        <w:tc>
          <w:tcPr>
            <w:tcW w:w="4605" w:type="dxa"/>
            <w:shd w:val="clear" w:color="auto" w:fill="A6A6A6" w:themeFill="background1" w:themeFillShade="A6"/>
          </w:tcPr>
          <w:p w:rsidR="00E63B56" w:rsidRPr="000225A5" w:rsidRDefault="0033290F" w:rsidP="00E63B56">
            <w:pPr>
              <w:spacing w:line="276" w:lineRule="auto"/>
              <w:rPr>
                <w:b/>
              </w:rPr>
            </w:pPr>
            <w:r w:rsidRPr="0033290F">
              <w:rPr>
                <w:b/>
              </w:rPr>
              <w:t>Fond</w:t>
            </w:r>
          </w:p>
        </w:tc>
        <w:tc>
          <w:tcPr>
            <w:tcW w:w="4605" w:type="dxa"/>
          </w:tcPr>
          <w:p w:rsidR="00E63B56" w:rsidRDefault="000225A5" w:rsidP="00E63B56">
            <w:r>
              <w:t>Fond soudržnosti</w:t>
            </w:r>
          </w:p>
        </w:tc>
      </w:tr>
      <w:tr w:rsidR="00E63B56" w:rsidTr="000225A5">
        <w:tc>
          <w:tcPr>
            <w:tcW w:w="4605" w:type="dxa"/>
            <w:shd w:val="clear" w:color="auto" w:fill="A6A6A6" w:themeFill="background1" w:themeFillShade="A6"/>
          </w:tcPr>
          <w:p w:rsidR="00E63B56" w:rsidRPr="000225A5" w:rsidRDefault="0033290F" w:rsidP="00E63B56">
            <w:pPr>
              <w:spacing w:line="276" w:lineRule="auto"/>
              <w:rPr>
                <w:b/>
              </w:rPr>
            </w:pPr>
            <w:r w:rsidRPr="0033290F">
              <w:rPr>
                <w:b/>
              </w:rPr>
              <w:t>Kategorie regionů</w:t>
            </w:r>
          </w:p>
        </w:tc>
        <w:tc>
          <w:tcPr>
            <w:tcW w:w="4605" w:type="dxa"/>
          </w:tcPr>
          <w:p w:rsidR="00E63B56" w:rsidRDefault="00D17042" w:rsidP="00E63B56">
            <w:r>
              <w:t xml:space="preserve">Není relevantní pro </w:t>
            </w:r>
            <w:r w:rsidR="00973425">
              <w:t>prioritní osu 1</w:t>
            </w:r>
          </w:p>
        </w:tc>
      </w:tr>
      <w:tr w:rsidR="00E63B56" w:rsidTr="000225A5">
        <w:tc>
          <w:tcPr>
            <w:tcW w:w="4605" w:type="dxa"/>
            <w:shd w:val="clear" w:color="auto" w:fill="A6A6A6" w:themeFill="background1" w:themeFillShade="A6"/>
          </w:tcPr>
          <w:p w:rsidR="00E63B56" w:rsidRPr="000225A5" w:rsidRDefault="0033290F" w:rsidP="00E63B56">
            <w:pPr>
              <w:spacing w:line="276" w:lineRule="auto"/>
              <w:rPr>
                <w:b/>
              </w:rPr>
            </w:pPr>
            <w:r w:rsidRPr="0033290F">
              <w:rPr>
                <w:b/>
              </w:rPr>
              <w:t>Základ pro výpočet (celkové způsobilé výdaje nebo způsobilé veřejné výdaje)</w:t>
            </w:r>
          </w:p>
        </w:tc>
        <w:tc>
          <w:tcPr>
            <w:tcW w:w="4605" w:type="dxa"/>
          </w:tcPr>
          <w:p w:rsidR="00E63B56" w:rsidRDefault="005B6E3F" w:rsidP="00E63B56">
            <w:r>
              <w:t>Celkové způsobilé výdaje</w:t>
            </w:r>
          </w:p>
        </w:tc>
      </w:tr>
    </w:tbl>
    <w:p w:rsidR="00E63B56" w:rsidRPr="00E63B56" w:rsidRDefault="00E63B56" w:rsidP="00E63B56"/>
    <w:p w:rsidR="00BB23A1" w:rsidRPr="00F843CC" w:rsidRDefault="00BB23A1" w:rsidP="00165854">
      <w:pPr>
        <w:pStyle w:val="Nadpis3"/>
      </w:pPr>
      <w:bookmarkStart w:id="2292" w:name="_Toc391014732"/>
      <w:bookmarkStart w:id="2293" w:name="_Toc391015883"/>
      <w:bookmarkStart w:id="2294" w:name="_Toc391016856"/>
      <w:bookmarkStart w:id="2295" w:name="_Toc391017969"/>
      <w:bookmarkStart w:id="2296" w:name="_Toc391019081"/>
      <w:bookmarkStart w:id="2297" w:name="_Toc392150978"/>
      <w:bookmarkEnd w:id="2292"/>
      <w:bookmarkEnd w:id="2293"/>
      <w:bookmarkEnd w:id="2294"/>
      <w:bookmarkEnd w:id="2295"/>
      <w:bookmarkEnd w:id="2296"/>
      <w:r w:rsidRPr="004314F4">
        <w:t xml:space="preserve">INVESTIČNÍ PRIORITA 1 prioritní osy 1: </w:t>
      </w:r>
      <w:r w:rsidR="0083184C">
        <w:t xml:space="preserve">Zachování a ochrana životního prostředí </w:t>
      </w:r>
      <w:r w:rsidR="00923F61">
        <w:t xml:space="preserve">a </w:t>
      </w:r>
      <w:r w:rsidR="0083184C">
        <w:t>podporování účinného využívání zdrojů: i</w:t>
      </w:r>
      <w:r w:rsidR="008A3C71">
        <w:t>nvestice</w:t>
      </w:r>
      <w:r w:rsidR="0083184C">
        <w:t>mi</w:t>
      </w:r>
      <w:r w:rsidR="008A3C71">
        <w:t xml:space="preserve"> do </w:t>
      </w:r>
      <w:r w:rsidR="005B24D8" w:rsidRPr="005B24D8">
        <w:t xml:space="preserve">vodního hospodářství s cílem plnit požadavky </w:t>
      </w:r>
      <w:proofErr w:type="spellStart"/>
      <w:r w:rsidR="0033290F" w:rsidRPr="0033290F">
        <w:rPr>
          <w:i/>
        </w:rPr>
        <w:t>acquis</w:t>
      </w:r>
      <w:proofErr w:type="spellEnd"/>
      <w:r w:rsidR="005B24D8" w:rsidRPr="005B24D8">
        <w:t xml:space="preserve"> Unie v oblasti životního prostředí a řešením potřeb investic, které podle zjištění členských států přesahují rámec těchto požadavků</w:t>
      </w:r>
      <w:r w:rsidR="00C73C53">
        <w:t xml:space="preserve"> (Dle Nařízení Evropskéh</w:t>
      </w:r>
      <w:r w:rsidR="0096405F">
        <w:t>o p</w:t>
      </w:r>
      <w:r w:rsidR="00C73C53">
        <w:t xml:space="preserve">arlamentu a Rady </w:t>
      </w:r>
      <w:r w:rsidR="0096405F">
        <w:t xml:space="preserve">(EU) </w:t>
      </w:r>
      <w:r w:rsidR="00C73C53">
        <w:t xml:space="preserve">č.1300/2013, čl. 4 odst. c) písm. </w:t>
      </w:r>
      <w:proofErr w:type="spellStart"/>
      <w:r w:rsidR="00C73C53">
        <w:t>ii</w:t>
      </w:r>
      <w:proofErr w:type="spellEnd"/>
      <w:r w:rsidR="00C73C53">
        <w:t>))</w:t>
      </w:r>
      <w:bookmarkEnd w:id="2297"/>
    </w:p>
    <w:p w:rsidR="00BB23A1" w:rsidRPr="004314F4" w:rsidRDefault="00BB23A1" w:rsidP="00796FEE">
      <w:pPr>
        <w:pStyle w:val="Nadpis4"/>
      </w:pPr>
      <w:bookmarkStart w:id="2298" w:name="_Toc392150979"/>
      <w:r w:rsidRPr="004314F4">
        <w:t>Specifické cíle odpovída</w:t>
      </w:r>
      <w:r w:rsidR="008A3C71">
        <w:t>jící investiční prioritě a </w:t>
      </w:r>
      <w:r w:rsidR="00D654E7">
        <w:t>očekávané</w:t>
      </w:r>
      <w:r w:rsidR="00D654E7" w:rsidRPr="004314F4">
        <w:t xml:space="preserve"> </w:t>
      </w:r>
      <w:r w:rsidRPr="004314F4">
        <w:t>výsledky</w:t>
      </w:r>
      <w:bookmarkEnd w:id="2298"/>
    </w:p>
    <w:p w:rsidR="00BB23A1" w:rsidRDefault="00BB23A1" w:rsidP="00165854">
      <w:pPr>
        <w:pStyle w:val="Nadpis6"/>
      </w:pPr>
      <w:r w:rsidRPr="004314F4">
        <w:t>Specifický cíl 1: Snížit množ</w:t>
      </w:r>
      <w:r w:rsidR="008A3C71">
        <w:t>ství vypouštěného znečištění do </w:t>
      </w:r>
      <w:r w:rsidR="00796FEE">
        <w:t>povrchových i </w:t>
      </w:r>
      <w:r w:rsidRPr="004314F4">
        <w:t xml:space="preserve">podzemních vod </w:t>
      </w:r>
      <w:r w:rsidR="002A3E90">
        <w:t xml:space="preserve">z komunálních zdrojů </w:t>
      </w:r>
      <w:r w:rsidRPr="004314F4">
        <w:t xml:space="preserve">a </w:t>
      </w:r>
      <w:r w:rsidR="00176128" w:rsidRPr="004314F4">
        <w:t>zaji</w:t>
      </w:r>
      <w:r w:rsidR="00176128">
        <w:t>stit</w:t>
      </w:r>
      <w:r w:rsidR="00176128" w:rsidRPr="004314F4">
        <w:t xml:space="preserve"> </w:t>
      </w:r>
      <w:r w:rsidRPr="004314F4">
        <w:t xml:space="preserve">dodávky pitné vody v odpovídající jakosti a množství </w:t>
      </w:r>
    </w:p>
    <w:p w:rsidR="00D722B9" w:rsidRDefault="00D722B9" w:rsidP="00D722B9">
      <w:r w:rsidRPr="004314F4">
        <w:t xml:space="preserve">Cílem Směrnice </w:t>
      </w:r>
      <w:r>
        <w:t xml:space="preserve">Evropského parlamentu a Rady </w:t>
      </w:r>
      <w:r w:rsidRPr="004314F4">
        <w:t>2000/60/ES je dosažení dobrého stavu vod</w:t>
      </w:r>
      <w:r>
        <w:t xml:space="preserve">, který je popsán </w:t>
      </w:r>
      <w:r w:rsidRPr="004314F4">
        <w:t>chemickým</w:t>
      </w:r>
      <w:r>
        <w:t xml:space="preserve"> a ekologickým stavem či potenciálem, což je i  hlavním cílem České republiky. Náklady na opatření pro splnění této podmínky se odhadují na 400 mld. Kč, k dispozici je v rámci PO 1 15 mld. Kč pro tyto účely.</w:t>
      </w:r>
      <w:r w:rsidRPr="004314F4">
        <w:t xml:space="preserve"> V prvních plánech povodí připravených v souladu s požadavky Rámcov</w:t>
      </w:r>
      <w:r>
        <w:t>é</w:t>
      </w:r>
      <w:r w:rsidRPr="004314F4">
        <w:t xml:space="preserve"> směrnice pro vodní politiku </w:t>
      </w:r>
      <w:r>
        <w:t>č. 2000/60/ES</w:t>
      </w:r>
      <w:r w:rsidRPr="004314F4">
        <w:t xml:space="preserve"> byla identifikována řada významných vodohospodářských problémů, které je třeba vyřešit tak, aby bylo dosaženo dobrého stavu. Některé z těchto vodohospodářských problémů je možné řešit v regionálním měřítku, avšak v některých případech je nutné postupovat na mezinárodně koordinované úrovni. Významné nadregionální problémy nakládání s vodami uvedené v prvních plánech povodí představují významné látkové zatížení (prioritní látky,</w:t>
      </w:r>
      <w:r w:rsidR="0029003F">
        <w:t xml:space="preserve"> živiny a znečišťující látky) a </w:t>
      </w:r>
      <w:r w:rsidRPr="004314F4">
        <w:t>odběry a převody vody.  V prvních plánech povodí byla na základě významných vodohospodářských problémů navržena celá řada konkrétních opatření, která jsou postupně realizována.</w:t>
      </w:r>
    </w:p>
    <w:p w:rsidR="00D722B9" w:rsidRDefault="00D722B9" w:rsidP="00B66FDE">
      <w:r w:rsidRPr="004314F4">
        <w:t xml:space="preserve">Druhý plánovací cyklus má být zaměřen na dořešení vodohospodářských problémů, které nebyly v průběhu prvního plánovacího cyklu vyřešeny. Podpora z Operačního programu </w:t>
      </w:r>
      <w:r>
        <w:t>Ž</w:t>
      </w:r>
      <w:r w:rsidRPr="004314F4">
        <w:t xml:space="preserve">ivotní prostředí musí problémy </w:t>
      </w:r>
      <w:r>
        <w:t xml:space="preserve">identifikované v rámci aktualizace plánů povodí </w:t>
      </w:r>
      <w:r w:rsidRPr="004314F4">
        <w:t xml:space="preserve">respektovat a musí být tedy zacílena především na </w:t>
      </w:r>
      <w:r>
        <w:t>problematické vodní útvary</w:t>
      </w:r>
      <w:r w:rsidRPr="004314F4">
        <w:t>.</w:t>
      </w:r>
      <w:r>
        <w:t xml:space="preserve"> </w:t>
      </w:r>
      <w:proofErr w:type="spellStart"/>
      <w:r>
        <w:t>Prioritizace</w:t>
      </w:r>
      <w:proofErr w:type="spellEnd"/>
      <w:r>
        <w:t xml:space="preserve"> opatření bude zohledňovat plány povodí, které budou zveřejněny v průběhu trvání Operačního programu. </w:t>
      </w:r>
    </w:p>
    <w:p w:rsidR="00563E80" w:rsidRPr="004314F4" w:rsidRDefault="00563E80" w:rsidP="00B66FDE">
      <w:r w:rsidRPr="004314F4">
        <w:t>V rámci realizace opatření v</w:t>
      </w:r>
      <w:r w:rsidR="007969B2" w:rsidRPr="004314F4">
        <w:t> </w:t>
      </w:r>
      <w:r w:rsidRPr="004314F4">
        <w:t>t</w:t>
      </w:r>
      <w:r w:rsidR="007969B2" w:rsidRPr="004314F4">
        <w:t xml:space="preserve">omto specifickém cíli </w:t>
      </w:r>
      <w:r w:rsidRPr="004314F4">
        <w:t xml:space="preserve">budou </w:t>
      </w:r>
      <w:r w:rsidR="008A3C71">
        <w:t>podporovány aktivity vedoucí ke </w:t>
      </w:r>
      <w:r w:rsidRPr="004314F4">
        <w:t xml:space="preserve">snížení znečištění podzemních a povrchových vod </w:t>
      </w:r>
      <w:r w:rsidR="005B24D8">
        <w:t>z komunálních bodových zdrojů znečištění,</w:t>
      </w:r>
      <w:r w:rsidR="005B24D8" w:rsidRPr="004314F4">
        <w:t xml:space="preserve"> které budou směřovat k dosažení cílů Směrnice 2000/60/ES o vodní politice a související platn</w:t>
      </w:r>
      <w:r w:rsidR="005B24D8">
        <w:t>é legislativy v této oblasti</w:t>
      </w:r>
      <w:r w:rsidR="00285B91">
        <w:t xml:space="preserve"> (2008/105/ES, 2013/39/EU a 91/271/EHS)</w:t>
      </w:r>
    </w:p>
    <w:p w:rsidR="00E732DF" w:rsidRDefault="00E732DF" w:rsidP="00B66FDE">
      <w:r w:rsidRPr="004314F4">
        <w:lastRenderedPageBreak/>
        <w:t xml:space="preserve">V některých lokalitách bude smysluplné vybudování standardního systému centrálního sběru odpadních vod s následným čištěním na ČOV, v mnoha případech bude ekonomicky výhodnější použití </w:t>
      </w:r>
      <w:r w:rsidR="00176128" w:rsidRPr="004314F4">
        <w:t>decentr</w:t>
      </w:r>
      <w:r w:rsidR="00176128">
        <w:t>alizovaného</w:t>
      </w:r>
      <w:r w:rsidR="00176128" w:rsidRPr="004314F4">
        <w:t xml:space="preserve"> </w:t>
      </w:r>
      <w:r w:rsidRPr="004314F4">
        <w:t>řešení.</w:t>
      </w:r>
      <w:r w:rsidR="00AB27B5">
        <w:t xml:space="preserve"> </w:t>
      </w:r>
      <w:r w:rsidR="0033290F" w:rsidRPr="0033290F">
        <w:t xml:space="preserve">Budou podporovány především takové projekty, které budou řešit centralizované odvádění a čištění odpadních vod. S ohledem na místní podmínky (např. členitá morfologie terénu, roztroušená zástavba) může být v některých oblastech likvidace odpadních vod pomocí DČOV jako efektivnější způsob řešení. Vyhodnocení bude součástí projektu. Nicméně obě možná řešení povedou ke snížení vnosu znečištění a zlepšení stavu dotčených vodních útvarů. </w:t>
      </w:r>
      <w:r w:rsidR="00AB27B5" w:rsidRPr="00AB27B5">
        <w:t>Jednotlivá opatření budou posuzována podle závěrů techniko-ekonomických analýz tak, aby byly vynaložené prostředky využity efektivně.</w:t>
      </w:r>
    </w:p>
    <w:p w:rsidR="005B24D8" w:rsidRPr="004314F4" w:rsidRDefault="005B24D8" w:rsidP="00B66FDE">
      <w:r>
        <w:t>Zvýšení</w:t>
      </w:r>
      <w:r w:rsidRPr="004314F4">
        <w:t xml:space="preserve"> počtu obyvatel zásobovaných pitnou vodou odpovídající jakosti</w:t>
      </w:r>
      <w:r>
        <w:t xml:space="preserve"> bude podporovanou aktivitou.</w:t>
      </w:r>
      <w:r w:rsidR="00AB27B5">
        <w:t xml:space="preserve"> </w:t>
      </w:r>
      <w:r w:rsidR="002A3E90">
        <w:t>Zároveň je cílem zvýšení zabezpeč</w:t>
      </w:r>
      <w:r w:rsidR="00300282">
        <w:t>ení</w:t>
      </w:r>
      <w:r w:rsidR="002A3E90">
        <w:t xml:space="preserve"> </w:t>
      </w:r>
      <w:r w:rsidR="00F065AA" w:rsidRPr="00B67835">
        <w:t xml:space="preserve">stability </w:t>
      </w:r>
      <w:r w:rsidR="002A3E90" w:rsidRPr="00B67835">
        <w:t>dodávky pitné vody</w:t>
      </w:r>
      <w:r w:rsidR="00711F0D" w:rsidRPr="00B67835">
        <w:t>,</w:t>
      </w:r>
      <w:r w:rsidR="00F2524B" w:rsidRPr="00B67835">
        <w:t xml:space="preserve"> </w:t>
      </w:r>
      <w:r w:rsidR="00711F0D" w:rsidRPr="00B67835">
        <w:t>a to zejména v oblastech, kde n</w:t>
      </w:r>
      <w:r w:rsidR="00D7521A" w:rsidRPr="00B67835">
        <w:t xml:space="preserve">ení vybudován veřejný vodovod </w:t>
      </w:r>
      <w:r w:rsidR="00EA2DB4">
        <w:t xml:space="preserve">a jsou nekvalitní vodní zdroje, </w:t>
      </w:r>
      <w:r w:rsidR="00711F0D" w:rsidRPr="00B67835">
        <w:t>a v oblastech, kde dochází k problémů</w:t>
      </w:r>
      <w:r w:rsidR="00D7521A" w:rsidRPr="00B67835">
        <w:t>m</w:t>
      </w:r>
      <w:r w:rsidR="00711F0D" w:rsidRPr="00B67835">
        <w:t xml:space="preserve"> s dodávkou v době sucha.</w:t>
      </w:r>
    </w:p>
    <w:p w:rsidR="00D31314" w:rsidRDefault="00E732DF" w:rsidP="00B66FDE">
      <w:r w:rsidRPr="004314F4">
        <w:t xml:space="preserve">Strategie zlepšení jakosti pitné vody je dána splněním požadavků na její jakost, která je upravena požadavky </w:t>
      </w:r>
      <w:r w:rsidR="00F00E15">
        <w:t>S</w:t>
      </w:r>
      <w:r w:rsidRPr="004314F4">
        <w:t>měrnice Rady 98/83/EHS o jakosti vod</w:t>
      </w:r>
      <w:r w:rsidR="00CD7707">
        <w:t>y určené pro lidskou spotřebu a </w:t>
      </w:r>
      <w:r w:rsidRPr="004314F4">
        <w:t xml:space="preserve">vyhláškou Ministerstva zdravotnictví č. 252/2004 Sb., kterou se stanoví hygienické požadavky na pitnou a teplou vodu a četnost a rozsah kontroly pitné vody, ve znění pozdějších předpisů. </w:t>
      </w:r>
      <w:r w:rsidR="004752B7">
        <w:t xml:space="preserve"> </w:t>
      </w:r>
    </w:p>
    <w:p w:rsidR="00EA2DB4" w:rsidRPr="00173BA4" w:rsidRDefault="00EA2DB4" w:rsidP="00EA2DB4">
      <w:r>
        <w:t xml:space="preserve">Pro specifický cíl se předpokládá využití 50% alokované částky pro prioritní osu 1, více než polovina alokované částky specifického cíle je určena na </w:t>
      </w:r>
      <w:r w:rsidR="009457BE">
        <w:t>ČOV</w:t>
      </w:r>
      <w:r>
        <w:t xml:space="preserve"> a výstavbu nové kanalizace.</w:t>
      </w:r>
    </w:p>
    <w:p w:rsidR="004479EC" w:rsidRPr="004314F4" w:rsidRDefault="004479EC" w:rsidP="008B688E">
      <w:pPr>
        <w:pStyle w:val="Titulek"/>
        <w:rPr>
          <w:rFonts w:cstheme="minorHAnsi"/>
          <w:sz w:val="24"/>
          <w:szCs w:val="24"/>
        </w:rPr>
      </w:pPr>
      <w:bookmarkStart w:id="2299" w:name="_Toc384907312"/>
      <w:r w:rsidRPr="004314F4">
        <w:t xml:space="preserve">Specifické </w:t>
      </w:r>
      <w:r w:rsidR="005C445D">
        <w:t>programové ukazatele výsledků</w:t>
      </w:r>
      <w:r w:rsidRPr="004314F4">
        <w:t xml:space="preserve"> pro SC 1.1</w:t>
      </w:r>
      <w:bookmarkEnd w:id="2299"/>
    </w:p>
    <w:tbl>
      <w:tblPr>
        <w:tblStyle w:val="Mkatabulky"/>
        <w:tblW w:w="9072" w:type="dxa"/>
        <w:tblInd w:w="108" w:type="dxa"/>
        <w:tblLayout w:type="fixed"/>
        <w:tblLook w:val="04A0" w:firstRow="1" w:lastRow="0" w:firstColumn="1" w:lastColumn="0" w:noHBand="0" w:noVBand="1"/>
      </w:tblPr>
      <w:tblGrid>
        <w:gridCol w:w="426"/>
        <w:gridCol w:w="1134"/>
        <w:gridCol w:w="1134"/>
        <w:gridCol w:w="1134"/>
        <w:gridCol w:w="974"/>
        <w:gridCol w:w="10"/>
        <w:gridCol w:w="717"/>
        <w:gridCol w:w="992"/>
        <w:gridCol w:w="1134"/>
        <w:gridCol w:w="1417"/>
      </w:tblGrid>
      <w:tr w:rsidR="00D51D84" w:rsidRPr="00F619B6" w:rsidTr="00D51D84">
        <w:tc>
          <w:tcPr>
            <w:tcW w:w="426" w:type="dxa"/>
            <w:tcBorders>
              <w:bottom w:val="single" w:sz="12" w:space="0" w:color="auto"/>
            </w:tcBorders>
            <w:shd w:val="clear" w:color="auto" w:fill="BFBFBF" w:themeFill="background1" w:themeFillShade="BF"/>
          </w:tcPr>
          <w:p w:rsidR="00A365F4" w:rsidRPr="002F367B" w:rsidRDefault="0033290F" w:rsidP="00B66FDE">
            <w:pPr>
              <w:spacing w:line="276" w:lineRule="auto"/>
              <w:rPr>
                <w:b/>
                <w:sz w:val="20"/>
                <w:szCs w:val="20"/>
              </w:rPr>
            </w:pPr>
            <w:r w:rsidRPr="0033290F">
              <w:rPr>
                <w:b/>
                <w:sz w:val="20"/>
                <w:szCs w:val="20"/>
              </w:rPr>
              <w:t xml:space="preserve">ID </w:t>
            </w:r>
          </w:p>
        </w:tc>
        <w:tc>
          <w:tcPr>
            <w:tcW w:w="1134" w:type="dxa"/>
            <w:tcBorders>
              <w:bottom w:val="single" w:sz="12" w:space="0" w:color="auto"/>
            </w:tcBorders>
            <w:shd w:val="clear" w:color="auto" w:fill="BFBFBF" w:themeFill="background1" w:themeFillShade="BF"/>
          </w:tcPr>
          <w:p w:rsidR="00A365F4" w:rsidRPr="002F367B" w:rsidRDefault="0033290F" w:rsidP="00B66FDE">
            <w:pPr>
              <w:spacing w:line="276" w:lineRule="auto"/>
              <w:rPr>
                <w:b/>
                <w:sz w:val="20"/>
                <w:szCs w:val="20"/>
              </w:rPr>
            </w:pPr>
            <w:r w:rsidRPr="0033290F">
              <w:rPr>
                <w:b/>
                <w:sz w:val="20"/>
                <w:szCs w:val="20"/>
              </w:rPr>
              <w:t>Ukazatel</w:t>
            </w:r>
          </w:p>
        </w:tc>
        <w:tc>
          <w:tcPr>
            <w:tcW w:w="1134" w:type="dxa"/>
            <w:tcBorders>
              <w:bottom w:val="single" w:sz="12" w:space="0" w:color="auto"/>
            </w:tcBorders>
            <w:shd w:val="clear" w:color="auto" w:fill="BFBFBF" w:themeFill="background1" w:themeFillShade="BF"/>
          </w:tcPr>
          <w:p w:rsidR="00A365F4" w:rsidRPr="002F367B" w:rsidRDefault="0033290F" w:rsidP="00B66FDE">
            <w:pPr>
              <w:spacing w:line="276" w:lineRule="auto"/>
              <w:rPr>
                <w:b/>
                <w:sz w:val="20"/>
                <w:szCs w:val="20"/>
              </w:rPr>
            </w:pPr>
            <w:r w:rsidRPr="0033290F">
              <w:rPr>
                <w:b/>
                <w:sz w:val="20"/>
                <w:szCs w:val="20"/>
              </w:rPr>
              <w:t>Měrná jednotka</w:t>
            </w:r>
          </w:p>
        </w:tc>
        <w:tc>
          <w:tcPr>
            <w:tcW w:w="1134" w:type="dxa"/>
            <w:tcBorders>
              <w:bottom w:val="single" w:sz="12" w:space="0" w:color="auto"/>
            </w:tcBorders>
            <w:shd w:val="clear" w:color="auto" w:fill="BFBFBF" w:themeFill="background1" w:themeFillShade="BF"/>
          </w:tcPr>
          <w:p w:rsidR="00A365F4" w:rsidRPr="002F367B" w:rsidRDefault="0033290F" w:rsidP="00B66FDE">
            <w:pPr>
              <w:spacing w:line="276" w:lineRule="auto"/>
              <w:rPr>
                <w:b/>
                <w:sz w:val="20"/>
                <w:szCs w:val="20"/>
              </w:rPr>
            </w:pPr>
            <w:r w:rsidRPr="0033290F">
              <w:rPr>
                <w:b/>
                <w:sz w:val="20"/>
                <w:szCs w:val="20"/>
              </w:rPr>
              <w:t>Kategorie regionů</w:t>
            </w:r>
          </w:p>
        </w:tc>
        <w:tc>
          <w:tcPr>
            <w:tcW w:w="974" w:type="dxa"/>
            <w:tcBorders>
              <w:bottom w:val="single" w:sz="12" w:space="0" w:color="auto"/>
            </w:tcBorders>
            <w:shd w:val="clear" w:color="auto" w:fill="BFBFBF" w:themeFill="background1" w:themeFillShade="BF"/>
          </w:tcPr>
          <w:p w:rsidR="00A365F4" w:rsidRPr="002F367B" w:rsidRDefault="0033290F" w:rsidP="00B66FDE">
            <w:pPr>
              <w:spacing w:line="276" w:lineRule="auto"/>
              <w:rPr>
                <w:b/>
                <w:sz w:val="20"/>
                <w:szCs w:val="20"/>
              </w:rPr>
            </w:pPr>
            <w:r w:rsidRPr="0033290F">
              <w:rPr>
                <w:b/>
                <w:sz w:val="20"/>
                <w:szCs w:val="20"/>
              </w:rPr>
              <w:t>Výchozí hodnota</w:t>
            </w:r>
          </w:p>
        </w:tc>
        <w:tc>
          <w:tcPr>
            <w:tcW w:w="727" w:type="dxa"/>
            <w:gridSpan w:val="2"/>
            <w:tcBorders>
              <w:bottom w:val="single" w:sz="12" w:space="0" w:color="auto"/>
            </w:tcBorders>
            <w:shd w:val="clear" w:color="auto" w:fill="BFBFBF" w:themeFill="background1" w:themeFillShade="BF"/>
          </w:tcPr>
          <w:p w:rsidR="00A365F4" w:rsidRPr="002F367B" w:rsidRDefault="0033290F" w:rsidP="00B66FDE">
            <w:pPr>
              <w:spacing w:line="276" w:lineRule="auto"/>
              <w:rPr>
                <w:b/>
                <w:sz w:val="20"/>
                <w:szCs w:val="20"/>
              </w:rPr>
            </w:pPr>
            <w:r w:rsidRPr="0033290F">
              <w:rPr>
                <w:b/>
                <w:sz w:val="20"/>
                <w:szCs w:val="20"/>
              </w:rPr>
              <w:t>Výchozí rok</w:t>
            </w:r>
          </w:p>
        </w:tc>
        <w:tc>
          <w:tcPr>
            <w:tcW w:w="992" w:type="dxa"/>
            <w:tcBorders>
              <w:bottom w:val="single" w:sz="12" w:space="0" w:color="auto"/>
            </w:tcBorders>
            <w:shd w:val="clear" w:color="auto" w:fill="BFBFBF" w:themeFill="background1" w:themeFillShade="BF"/>
          </w:tcPr>
          <w:p w:rsidR="00A365F4" w:rsidRPr="002F367B" w:rsidRDefault="0033290F" w:rsidP="00B66FDE">
            <w:pPr>
              <w:spacing w:line="276" w:lineRule="auto"/>
              <w:rPr>
                <w:b/>
                <w:sz w:val="20"/>
                <w:szCs w:val="20"/>
              </w:rPr>
            </w:pPr>
            <w:r w:rsidRPr="0033290F">
              <w:rPr>
                <w:b/>
                <w:sz w:val="20"/>
                <w:szCs w:val="20"/>
              </w:rPr>
              <w:t>Cílová hodnota (2023)</w:t>
            </w:r>
          </w:p>
        </w:tc>
        <w:tc>
          <w:tcPr>
            <w:tcW w:w="1134" w:type="dxa"/>
            <w:tcBorders>
              <w:bottom w:val="single" w:sz="12" w:space="0" w:color="auto"/>
            </w:tcBorders>
            <w:shd w:val="clear" w:color="auto" w:fill="BFBFBF" w:themeFill="background1" w:themeFillShade="BF"/>
          </w:tcPr>
          <w:p w:rsidR="00A365F4" w:rsidRPr="002F367B" w:rsidRDefault="0033290F" w:rsidP="00B66FDE">
            <w:pPr>
              <w:spacing w:line="276" w:lineRule="auto"/>
              <w:rPr>
                <w:b/>
                <w:sz w:val="20"/>
                <w:szCs w:val="20"/>
              </w:rPr>
            </w:pPr>
            <w:r w:rsidRPr="0033290F">
              <w:rPr>
                <w:b/>
                <w:sz w:val="20"/>
                <w:szCs w:val="20"/>
              </w:rPr>
              <w:t>Zdroj údajů</w:t>
            </w:r>
          </w:p>
        </w:tc>
        <w:tc>
          <w:tcPr>
            <w:tcW w:w="1417" w:type="dxa"/>
            <w:tcBorders>
              <w:bottom w:val="single" w:sz="12" w:space="0" w:color="auto"/>
            </w:tcBorders>
            <w:shd w:val="clear" w:color="auto" w:fill="BFBFBF" w:themeFill="background1" w:themeFillShade="BF"/>
          </w:tcPr>
          <w:p w:rsidR="00A365F4" w:rsidRPr="002F367B" w:rsidRDefault="0033290F" w:rsidP="00B66FDE">
            <w:pPr>
              <w:spacing w:line="276" w:lineRule="auto"/>
              <w:rPr>
                <w:b/>
                <w:sz w:val="20"/>
                <w:szCs w:val="20"/>
              </w:rPr>
            </w:pPr>
            <w:r w:rsidRPr="0033290F">
              <w:rPr>
                <w:b/>
                <w:sz w:val="20"/>
                <w:szCs w:val="20"/>
              </w:rPr>
              <w:t>Četnost podávání zpráv</w:t>
            </w:r>
          </w:p>
        </w:tc>
      </w:tr>
      <w:tr w:rsidR="00D51D84" w:rsidRPr="00F619B6" w:rsidTr="00D51D84">
        <w:tc>
          <w:tcPr>
            <w:tcW w:w="426" w:type="dxa"/>
            <w:tcBorders>
              <w:top w:val="single" w:sz="12" w:space="0" w:color="auto"/>
            </w:tcBorders>
          </w:tcPr>
          <w:p w:rsidR="00A365F4" w:rsidRPr="002F367B" w:rsidRDefault="00857768" w:rsidP="00B66FDE">
            <w:pPr>
              <w:spacing w:line="276" w:lineRule="auto"/>
              <w:rPr>
                <w:sz w:val="20"/>
                <w:szCs w:val="20"/>
              </w:rPr>
            </w:pPr>
            <w:r>
              <w:rPr>
                <w:sz w:val="20"/>
                <w:szCs w:val="20"/>
              </w:rPr>
              <w:t>422</w:t>
            </w:r>
            <w:r w:rsidR="008F4F34" w:rsidRPr="008F4F34">
              <w:rPr>
                <w:sz w:val="20"/>
                <w:szCs w:val="20"/>
              </w:rPr>
              <w:t>15</w:t>
            </w:r>
          </w:p>
        </w:tc>
        <w:tc>
          <w:tcPr>
            <w:tcW w:w="1134" w:type="dxa"/>
            <w:tcBorders>
              <w:top w:val="single" w:sz="12" w:space="0" w:color="auto"/>
            </w:tcBorders>
          </w:tcPr>
          <w:p w:rsidR="00A365F4" w:rsidRPr="002F367B" w:rsidRDefault="0033290F" w:rsidP="00B66FDE">
            <w:pPr>
              <w:spacing w:line="276" w:lineRule="auto"/>
              <w:rPr>
                <w:bCs/>
                <w:sz w:val="20"/>
                <w:szCs w:val="20"/>
              </w:rPr>
            </w:pPr>
            <w:r w:rsidRPr="0033290F">
              <w:rPr>
                <w:bCs/>
                <w:sz w:val="20"/>
                <w:szCs w:val="20"/>
              </w:rPr>
              <w:t>Počet obyvatel nově připojených na zlepšené čištění odpadních vod</w:t>
            </w:r>
          </w:p>
          <w:p w:rsidR="00A365F4" w:rsidRPr="002F367B" w:rsidRDefault="00A365F4" w:rsidP="00B66FDE">
            <w:pPr>
              <w:spacing w:line="276" w:lineRule="auto"/>
              <w:rPr>
                <w:bCs/>
                <w:sz w:val="20"/>
                <w:szCs w:val="20"/>
              </w:rPr>
            </w:pPr>
          </w:p>
        </w:tc>
        <w:tc>
          <w:tcPr>
            <w:tcW w:w="1134" w:type="dxa"/>
            <w:tcBorders>
              <w:top w:val="single" w:sz="12" w:space="0" w:color="auto"/>
            </w:tcBorders>
          </w:tcPr>
          <w:p w:rsidR="00A365F4" w:rsidRPr="002F367B" w:rsidRDefault="0033290F" w:rsidP="00B66FDE">
            <w:pPr>
              <w:spacing w:line="276" w:lineRule="auto"/>
              <w:rPr>
                <w:bCs/>
                <w:sz w:val="20"/>
                <w:szCs w:val="20"/>
              </w:rPr>
            </w:pPr>
            <w:r w:rsidRPr="0033290F">
              <w:rPr>
                <w:bCs/>
                <w:sz w:val="20"/>
                <w:szCs w:val="20"/>
              </w:rPr>
              <w:t>Ekvivalentní obyvatelé</w:t>
            </w:r>
          </w:p>
        </w:tc>
        <w:tc>
          <w:tcPr>
            <w:tcW w:w="1134" w:type="dxa"/>
            <w:tcBorders>
              <w:top w:val="single" w:sz="12" w:space="0" w:color="auto"/>
            </w:tcBorders>
          </w:tcPr>
          <w:p w:rsidR="00A365F4" w:rsidRPr="002F367B" w:rsidRDefault="0033290F" w:rsidP="00B66FDE">
            <w:pPr>
              <w:spacing w:line="276" w:lineRule="auto"/>
              <w:rPr>
                <w:bCs/>
                <w:sz w:val="20"/>
                <w:szCs w:val="20"/>
              </w:rPr>
            </w:pPr>
            <w:r w:rsidRPr="0033290F">
              <w:rPr>
                <w:bCs/>
                <w:sz w:val="20"/>
                <w:szCs w:val="20"/>
              </w:rPr>
              <w:t>Není relevantní</w:t>
            </w:r>
          </w:p>
        </w:tc>
        <w:tc>
          <w:tcPr>
            <w:tcW w:w="984" w:type="dxa"/>
            <w:gridSpan w:val="2"/>
            <w:tcBorders>
              <w:top w:val="single" w:sz="12" w:space="0" w:color="auto"/>
            </w:tcBorders>
          </w:tcPr>
          <w:p w:rsidR="00A365F4" w:rsidRPr="002F367B" w:rsidRDefault="0033290F" w:rsidP="00B66FDE">
            <w:pPr>
              <w:spacing w:line="276" w:lineRule="auto"/>
              <w:rPr>
                <w:bCs/>
                <w:sz w:val="20"/>
                <w:szCs w:val="20"/>
              </w:rPr>
            </w:pPr>
            <w:r w:rsidRPr="0033290F">
              <w:rPr>
                <w:bCs/>
                <w:sz w:val="20"/>
                <w:szCs w:val="20"/>
              </w:rPr>
              <w:t>0</w:t>
            </w:r>
          </w:p>
        </w:tc>
        <w:tc>
          <w:tcPr>
            <w:tcW w:w="717" w:type="dxa"/>
            <w:tcBorders>
              <w:top w:val="single" w:sz="12" w:space="0" w:color="auto"/>
            </w:tcBorders>
          </w:tcPr>
          <w:p w:rsidR="00A365F4" w:rsidRPr="002F367B" w:rsidRDefault="0033290F" w:rsidP="00B66FDE">
            <w:pPr>
              <w:spacing w:line="276" w:lineRule="auto"/>
              <w:rPr>
                <w:bCs/>
                <w:sz w:val="20"/>
                <w:szCs w:val="20"/>
              </w:rPr>
            </w:pPr>
            <w:r w:rsidRPr="0033290F">
              <w:rPr>
                <w:bCs/>
                <w:sz w:val="20"/>
                <w:szCs w:val="20"/>
              </w:rPr>
              <w:t>2012</w:t>
            </w:r>
          </w:p>
        </w:tc>
        <w:tc>
          <w:tcPr>
            <w:tcW w:w="992" w:type="dxa"/>
            <w:tcBorders>
              <w:top w:val="single" w:sz="12" w:space="0" w:color="auto"/>
            </w:tcBorders>
          </w:tcPr>
          <w:p w:rsidR="00A365F4" w:rsidRPr="002F367B" w:rsidRDefault="0033290F" w:rsidP="00B66FDE">
            <w:pPr>
              <w:spacing w:line="276" w:lineRule="auto"/>
              <w:rPr>
                <w:bCs/>
                <w:sz w:val="20"/>
                <w:szCs w:val="20"/>
              </w:rPr>
            </w:pPr>
            <w:r w:rsidRPr="0033290F">
              <w:rPr>
                <w:bCs/>
                <w:sz w:val="20"/>
                <w:szCs w:val="20"/>
              </w:rPr>
              <w:t>60 000</w:t>
            </w:r>
          </w:p>
        </w:tc>
        <w:tc>
          <w:tcPr>
            <w:tcW w:w="1134" w:type="dxa"/>
            <w:tcBorders>
              <w:top w:val="single" w:sz="12" w:space="0" w:color="auto"/>
            </w:tcBorders>
          </w:tcPr>
          <w:p w:rsidR="00A365F4" w:rsidRPr="002F367B" w:rsidRDefault="0033290F" w:rsidP="00B66FDE">
            <w:pPr>
              <w:spacing w:line="276" w:lineRule="auto"/>
              <w:rPr>
                <w:bCs/>
                <w:sz w:val="20"/>
                <w:szCs w:val="20"/>
              </w:rPr>
            </w:pPr>
            <w:r w:rsidRPr="0033290F">
              <w:rPr>
                <w:bCs/>
                <w:sz w:val="20"/>
                <w:szCs w:val="20"/>
              </w:rPr>
              <w:t>Žadatel/příjemce</w:t>
            </w:r>
          </w:p>
        </w:tc>
        <w:tc>
          <w:tcPr>
            <w:tcW w:w="1417" w:type="dxa"/>
            <w:tcBorders>
              <w:top w:val="single" w:sz="12" w:space="0" w:color="auto"/>
            </w:tcBorders>
          </w:tcPr>
          <w:p w:rsidR="00A365F4" w:rsidRPr="002F367B" w:rsidRDefault="0033290F" w:rsidP="00B66FDE">
            <w:pPr>
              <w:spacing w:line="276" w:lineRule="auto"/>
              <w:rPr>
                <w:bCs/>
                <w:sz w:val="20"/>
                <w:szCs w:val="20"/>
              </w:rPr>
            </w:pPr>
            <w:r w:rsidRPr="0033290F">
              <w:rPr>
                <w:bCs/>
                <w:sz w:val="20"/>
                <w:szCs w:val="20"/>
              </w:rPr>
              <w:t>Průběžně</w:t>
            </w:r>
          </w:p>
        </w:tc>
      </w:tr>
      <w:tr w:rsidR="00D51D84" w:rsidRPr="00F619B6" w:rsidTr="00D51D84">
        <w:tc>
          <w:tcPr>
            <w:tcW w:w="426" w:type="dxa"/>
          </w:tcPr>
          <w:p w:rsidR="00A365F4" w:rsidRPr="002F367B" w:rsidRDefault="00857768" w:rsidP="00857768">
            <w:pPr>
              <w:spacing w:line="276" w:lineRule="auto"/>
              <w:rPr>
                <w:sz w:val="20"/>
                <w:szCs w:val="20"/>
              </w:rPr>
            </w:pPr>
            <w:r>
              <w:rPr>
                <w:sz w:val="20"/>
                <w:szCs w:val="20"/>
              </w:rPr>
              <w:t>4</w:t>
            </w:r>
            <w:r w:rsidR="008F4F34" w:rsidRPr="008F4F34">
              <w:rPr>
                <w:sz w:val="20"/>
                <w:szCs w:val="20"/>
              </w:rPr>
              <w:t>2001</w:t>
            </w:r>
          </w:p>
        </w:tc>
        <w:tc>
          <w:tcPr>
            <w:tcW w:w="1134" w:type="dxa"/>
          </w:tcPr>
          <w:p w:rsidR="00A365F4" w:rsidRPr="002F367B" w:rsidRDefault="0033290F" w:rsidP="00B66FDE">
            <w:pPr>
              <w:spacing w:line="276" w:lineRule="auto"/>
              <w:rPr>
                <w:bCs/>
                <w:sz w:val="20"/>
                <w:szCs w:val="20"/>
              </w:rPr>
            </w:pPr>
            <w:r w:rsidRPr="0033290F">
              <w:rPr>
                <w:bCs/>
                <w:sz w:val="20"/>
                <w:szCs w:val="20"/>
              </w:rPr>
              <w:t>Počet obyvatel nově připojených na zlepšené zásobování vodou</w:t>
            </w:r>
          </w:p>
        </w:tc>
        <w:tc>
          <w:tcPr>
            <w:tcW w:w="1134" w:type="dxa"/>
          </w:tcPr>
          <w:p w:rsidR="00A365F4" w:rsidRPr="002F367B" w:rsidRDefault="0033290F" w:rsidP="00B66FDE">
            <w:pPr>
              <w:spacing w:line="276" w:lineRule="auto"/>
              <w:rPr>
                <w:bCs/>
                <w:sz w:val="20"/>
                <w:szCs w:val="20"/>
              </w:rPr>
            </w:pPr>
            <w:r w:rsidRPr="0033290F">
              <w:rPr>
                <w:bCs/>
                <w:sz w:val="20"/>
                <w:szCs w:val="20"/>
              </w:rPr>
              <w:t>Osoby</w:t>
            </w:r>
          </w:p>
        </w:tc>
        <w:tc>
          <w:tcPr>
            <w:tcW w:w="1134" w:type="dxa"/>
          </w:tcPr>
          <w:p w:rsidR="00A365F4" w:rsidRPr="002F367B" w:rsidRDefault="0033290F" w:rsidP="00B66FDE">
            <w:pPr>
              <w:spacing w:line="276" w:lineRule="auto"/>
              <w:rPr>
                <w:bCs/>
                <w:sz w:val="20"/>
                <w:szCs w:val="20"/>
              </w:rPr>
            </w:pPr>
            <w:r w:rsidRPr="0033290F">
              <w:rPr>
                <w:bCs/>
                <w:sz w:val="20"/>
                <w:szCs w:val="20"/>
              </w:rPr>
              <w:t>Není relevantní</w:t>
            </w:r>
          </w:p>
        </w:tc>
        <w:tc>
          <w:tcPr>
            <w:tcW w:w="984" w:type="dxa"/>
            <w:gridSpan w:val="2"/>
          </w:tcPr>
          <w:p w:rsidR="00A365F4" w:rsidRPr="002F367B" w:rsidRDefault="0033290F" w:rsidP="00B66FDE">
            <w:pPr>
              <w:spacing w:line="276" w:lineRule="auto"/>
              <w:rPr>
                <w:bCs/>
                <w:sz w:val="20"/>
                <w:szCs w:val="20"/>
              </w:rPr>
            </w:pPr>
            <w:r w:rsidRPr="0033290F">
              <w:rPr>
                <w:bCs/>
                <w:sz w:val="20"/>
                <w:szCs w:val="20"/>
              </w:rPr>
              <w:t>0</w:t>
            </w:r>
          </w:p>
        </w:tc>
        <w:tc>
          <w:tcPr>
            <w:tcW w:w="717" w:type="dxa"/>
          </w:tcPr>
          <w:p w:rsidR="00A365F4" w:rsidRPr="002F367B" w:rsidRDefault="0033290F" w:rsidP="00B66FDE">
            <w:pPr>
              <w:spacing w:line="276" w:lineRule="auto"/>
              <w:rPr>
                <w:bCs/>
                <w:sz w:val="20"/>
                <w:szCs w:val="20"/>
              </w:rPr>
            </w:pPr>
            <w:r w:rsidRPr="0033290F">
              <w:rPr>
                <w:bCs/>
                <w:sz w:val="20"/>
                <w:szCs w:val="20"/>
              </w:rPr>
              <w:t>2012</w:t>
            </w:r>
          </w:p>
        </w:tc>
        <w:tc>
          <w:tcPr>
            <w:tcW w:w="992" w:type="dxa"/>
          </w:tcPr>
          <w:p w:rsidR="00A365F4" w:rsidRPr="002F367B" w:rsidRDefault="0033290F" w:rsidP="00B66FDE">
            <w:pPr>
              <w:spacing w:line="276" w:lineRule="auto"/>
              <w:rPr>
                <w:bCs/>
                <w:sz w:val="20"/>
                <w:szCs w:val="20"/>
              </w:rPr>
            </w:pPr>
            <w:r w:rsidRPr="0033290F">
              <w:rPr>
                <w:bCs/>
                <w:sz w:val="20"/>
                <w:szCs w:val="20"/>
              </w:rPr>
              <w:t>150 000</w:t>
            </w:r>
          </w:p>
        </w:tc>
        <w:tc>
          <w:tcPr>
            <w:tcW w:w="1134" w:type="dxa"/>
          </w:tcPr>
          <w:p w:rsidR="00A365F4" w:rsidRPr="002F367B" w:rsidRDefault="0033290F" w:rsidP="00B66FDE">
            <w:pPr>
              <w:spacing w:line="276" w:lineRule="auto"/>
              <w:rPr>
                <w:bCs/>
                <w:sz w:val="20"/>
                <w:szCs w:val="20"/>
              </w:rPr>
            </w:pPr>
            <w:r w:rsidRPr="0033290F">
              <w:rPr>
                <w:bCs/>
                <w:sz w:val="20"/>
                <w:szCs w:val="20"/>
              </w:rPr>
              <w:t>Žadatel/příjemce</w:t>
            </w:r>
          </w:p>
        </w:tc>
        <w:tc>
          <w:tcPr>
            <w:tcW w:w="1417" w:type="dxa"/>
          </w:tcPr>
          <w:p w:rsidR="00A365F4" w:rsidRPr="002F367B" w:rsidRDefault="0033290F" w:rsidP="00B66FDE">
            <w:pPr>
              <w:spacing w:line="276" w:lineRule="auto"/>
              <w:rPr>
                <w:bCs/>
                <w:sz w:val="20"/>
                <w:szCs w:val="20"/>
              </w:rPr>
            </w:pPr>
            <w:r w:rsidRPr="0033290F">
              <w:rPr>
                <w:bCs/>
                <w:sz w:val="20"/>
                <w:szCs w:val="20"/>
              </w:rPr>
              <w:t>Průběžně</w:t>
            </w:r>
          </w:p>
        </w:tc>
      </w:tr>
    </w:tbl>
    <w:p w:rsidR="00B543F6" w:rsidRDefault="00B543F6" w:rsidP="00B66FDE"/>
    <w:p w:rsidR="00B20CEB" w:rsidRDefault="00BB23A1" w:rsidP="00165854">
      <w:pPr>
        <w:pStyle w:val="Nadpis6"/>
      </w:pPr>
      <w:r w:rsidRPr="004314F4">
        <w:lastRenderedPageBreak/>
        <w:t>Specifický cíl 2: Snížit vnos zn</w:t>
      </w:r>
      <w:r w:rsidR="00CD7707">
        <w:t xml:space="preserve">ečišťujících látek </w:t>
      </w:r>
      <w:r w:rsidRPr="004314F4">
        <w:t>do povrchových a podzemních vod</w:t>
      </w:r>
    </w:p>
    <w:p w:rsidR="00D722B9" w:rsidRPr="00CB78B6" w:rsidRDefault="00D722B9" w:rsidP="00D722B9">
      <w:r w:rsidRPr="00AB27B5">
        <w:t>Opatření financovaná z </w:t>
      </w:r>
      <w:proofErr w:type="gramStart"/>
      <w:r w:rsidRPr="00AB27B5">
        <w:t>OP</w:t>
      </w:r>
      <w:proofErr w:type="gramEnd"/>
      <w:r w:rsidRPr="00AB27B5">
        <w:t xml:space="preserve"> ŽP povedou k plnění směrnic ES v oblasti ochrany vod a zároveň k naplňování Plánu na ochranu vodních zdrojů Evropy (COM(2012)673), zejména v oblastech dosažení dobrého stavu vod</w:t>
      </w:r>
      <w:r w:rsidR="0097231A">
        <w:t xml:space="preserve"> </w:t>
      </w:r>
      <w:r w:rsidRPr="00AB27B5">
        <w:t>a opatření pro přirozené zadržování vody.</w:t>
      </w:r>
    </w:p>
    <w:p w:rsidR="00DD535A" w:rsidRDefault="00B20CEB" w:rsidP="00B66FDE">
      <w:r w:rsidRPr="004314F4">
        <w:t>V rámci realizace opatření v</w:t>
      </w:r>
      <w:r w:rsidR="001258F8" w:rsidRPr="004314F4">
        <w:t> </w:t>
      </w:r>
      <w:r w:rsidRPr="004314F4">
        <w:t>t</w:t>
      </w:r>
      <w:r w:rsidR="001258F8" w:rsidRPr="004314F4">
        <w:t xml:space="preserve">omto specifickém cíli </w:t>
      </w:r>
      <w:r w:rsidRPr="004314F4">
        <w:t xml:space="preserve">budou podporována komplexní a systémová opatření </w:t>
      </w:r>
      <w:r w:rsidR="009E31E7">
        <w:t>(např. realizace záchytných nádrží</w:t>
      </w:r>
      <w:r w:rsidR="009E31E7">
        <w:rPr>
          <w:rFonts w:cs="Calibri"/>
          <w:szCs w:val="24"/>
        </w:rPr>
        <w:t xml:space="preserve">) </w:t>
      </w:r>
      <w:r w:rsidRPr="004314F4">
        <w:t>zajišťující strategickou ochranu vodních zdrojů. Jedná se především o soubory opatření v ploše povodí významných vodních nádrží, které budou směřovat k dosažení cílů Směrnice 2000/60/ES o vodní politice a souvisejících platných strategic</w:t>
      </w:r>
      <w:r w:rsidR="00CD7707">
        <w:t>kých a koncepčních dokumentů na </w:t>
      </w:r>
      <w:r w:rsidRPr="004314F4">
        <w:t xml:space="preserve">národní i evropské úrovni. </w:t>
      </w:r>
      <w:r w:rsidR="003745CE">
        <w:t>V</w:t>
      </w:r>
      <w:r w:rsidRPr="004314F4">
        <w:t>nos znečišťujících látek a jejich dopad v podobě eutrofizace vod představuje významný negativní vliv na vodní</w:t>
      </w:r>
      <w:r w:rsidR="00CD7707">
        <w:t xml:space="preserve"> zdroje, především s ohledem na </w:t>
      </w:r>
      <w:r w:rsidRPr="004314F4">
        <w:t>využití těchto zdrojů pro pitné účely.</w:t>
      </w:r>
      <w:r w:rsidR="00176128">
        <w:t xml:space="preserve"> Se záležitostí ochrany podzemní vody souvisí i likvidace nepotřebných vrtů v chráněných územích, které mohou představovat potenciální riziko pro vnos znečistění</w:t>
      </w:r>
      <w:r w:rsidR="002A3E90">
        <w:t xml:space="preserve"> do podzemní vody</w:t>
      </w:r>
      <w:r w:rsidR="006F55FE">
        <w:t>.</w:t>
      </w:r>
      <w:r w:rsidR="00F065AA">
        <w:t xml:space="preserve"> Nedílnou součástí je i oddělení jednotlivých zvodní, čímž bude eliminována možnost přenosu znečištění mezi </w:t>
      </w:r>
      <w:proofErr w:type="spellStart"/>
      <w:r w:rsidR="00F065AA">
        <w:t>zvodněmi</w:t>
      </w:r>
      <w:proofErr w:type="spellEnd"/>
      <w:r w:rsidR="00F065AA">
        <w:t>.</w:t>
      </w:r>
    </w:p>
    <w:p w:rsidR="003745CE" w:rsidRPr="00E634B8" w:rsidRDefault="003745CE" w:rsidP="003745CE">
      <w:r>
        <w:t>Pro specifický cíl se předpokládá využití 10% alokované částky pro prioritní osu 1, více než polovina alokované částky specifického cíle je určena na odstraňování příčin nadměrného zatížení povrchových vod živinami v ploše povodí.</w:t>
      </w:r>
    </w:p>
    <w:p w:rsidR="003745CE" w:rsidRPr="004314F4" w:rsidRDefault="003745CE" w:rsidP="003745CE">
      <w:r>
        <w:t>Údaje v následující tabulce vychází z dostupných statistických dat za rok 2012. Zásadní pro správné posouzení dosažení cílových hodnot indikátoru ve vazbě na podpořená opatření v programu OPŽP 2014-2020 budou data z roku 2015 a rozdíl mezi výchozí a cílovou hodnotou.</w:t>
      </w:r>
    </w:p>
    <w:p w:rsidR="002B01E9" w:rsidRPr="004314F4" w:rsidRDefault="004479EC" w:rsidP="00CB78B6">
      <w:pPr>
        <w:pStyle w:val="Titulek"/>
      </w:pPr>
      <w:bookmarkStart w:id="2300" w:name="_Toc384907314"/>
      <w:r w:rsidRPr="004314F4">
        <w:t xml:space="preserve">Specifické </w:t>
      </w:r>
      <w:r w:rsidR="005C445D">
        <w:t>programové ukazatele výsledků</w:t>
      </w:r>
      <w:r w:rsidRPr="004314F4">
        <w:t xml:space="preserve"> pro SC 1.2</w:t>
      </w:r>
      <w:bookmarkEnd w:id="2300"/>
    </w:p>
    <w:tbl>
      <w:tblPr>
        <w:tblStyle w:val="Mkatabulky"/>
        <w:tblW w:w="9072" w:type="dxa"/>
        <w:tblInd w:w="108" w:type="dxa"/>
        <w:tblLayout w:type="fixed"/>
        <w:tblLook w:val="04A0" w:firstRow="1" w:lastRow="0" w:firstColumn="1" w:lastColumn="0" w:noHBand="0" w:noVBand="1"/>
      </w:tblPr>
      <w:tblGrid>
        <w:gridCol w:w="709"/>
        <w:gridCol w:w="1418"/>
        <w:gridCol w:w="992"/>
        <w:gridCol w:w="992"/>
        <w:gridCol w:w="851"/>
        <w:gridCol w:w="992"/>
        <w:gridCol w:w="992"/>
        <w:gridCol w:w="1134"/>
        <w:gridCol w:w="992"/>
      </w:tblGrid>
      <w:tr w:rsidR="00D51D84" w:rsidRPr="006802A5" w:rsidTr="00D51D84">
        <w:tc>
          <w:tcPr>
            <w:tcW w:w="709" w:type="dxa"/>
            <w:shd w:val="clear" w:color="auto" w:fill="BFBFBF" w:themeFill="background1" w:themeFillShade="BF"/>
          </w:tcPr>
          <w:p w:rsidR="005C445D" w:rsidRPr="002F367B" w:rsidRDefault="005C445D" w:rsidP="00B66FDE">
            <w:pPr>
              <w:rPr>
                <w:b/>
                <w:sz w:val="20"/>
                <w:szCs w:val="20"/>
              </w:rPr>
            </w:pPr>
            <w:r w:rsidRPr="002F367B">
              <w:rPr>
                <w:b/>
                <w:sz w:val="20"/>
                <w:szCs w:val="20"/>
              </w:rPr>
              <w:t xml:space="preserve">ID </w:t>
            </w:r>
          </w:p>
        </w:tc>
        <w:tc>
          <w:tcPr>
            <w:tcW w:w="1418" w:type="dxa"/>
            <w:shd w:val="clear" w:color="auto" w:fill="BFBFBF" w:themeFill="background1" w:themeFillShade="BF"/>
          </w:tcPr>
          <w:p w:rsidR="005C445D" w:rsidRPr="002F367B" w:rsidRDefault="0033290F" w:rsidP="00B66FDE">
            <w:pPr>
              <w:spacing w:line="276" w:lineRule="auto"/>
              <w:rPr>
                <w:b/>
                <w:sz w:val="20"/>
                <w:szCs w:val="20"/>
              </w:rPr>
            </w:pPr>
            <w:r w:rsidRPr="0033290F">
              <w:rPr>
                <w:b/>
                <w:sz w:val="20"/>
                <w:szCs w:val="20"/>
              </w:rPr>
              <w:t>Ukazatel</w:t>
            </w:r>
          </w:p>
        </w:tc>
        <w:tc>
          <w:tcPr>
            <w:tcW w:w="992" w:type="dxa"/>
            <w:shd w:val="clear" w:color="auto" w:fill="BFBFBF" w:themeFill="background1" w:themeFillShade="BF"/>
          </w:tcPr>
          <w:p w:rsidR="005C445D" w:rsidRPr="002F367B" w:rsidRDefault="0033290F" w:rsidP="00B66FDE">
            <w:pPr>
              <w:spacing w:line="276" w:lineRule="auto"/>
              <w:rPr>
                <w:b/>
                <w:sz w:val="20"/>
                <w:szCs w:val="20"/>
              </w:rPr>
            </w:pPr>
            <w:r w:rsidRPr="0033290F">
              <w:rPr>
                <w:b/>
                <w:sz w:val="20"/>
                <w:szCs w:val="20"/>
              </w:rPr>
              <w:t>Měrná jednotka</w:t>
            </w:r>
          </w:p>
        </w:tc>
        <w:tc>
          <w:tcPr>
            <w:tcW w:w="992" w:type="dxa"/>
            <w:shd w:val="clear" w:color="auto" w:fill="BFBFBF" w:themeFill="background1" w:themeFillShade="BF"/>
          </w:tcPr>
          <w:p w:rsidR="005C445D" w:rsidRPr="002F367B" w:rsidRDefault="0033290F" w:rsidP="00B66FDE">
            <w:pPr>
              <w:spacing w:line="276" w:lineRule="auto"/>
              <w:rPr>
                <w:b/>
                <w:sz w:val="20"/>
                <w:szCs w:val="20"/>
              </w:rPr>
            </w:pPr>
            <w:r w:rsidRPr="0033290F">
              <w:rPr>
                <w:b/>
                <w:sz w:val="20"/>
                <w:szCs w:val="20"/>
              </w:rPr>
              <w:t>Kategorie regionů</w:t>
            </w:r>
          </w:p>
        </w:tc>
        <w:tc>
          <w:tcPr>
            <w:tcW w:w="851" w:type="dxa"/>
            <w:shd w:val="clear" w:color="auto" w:fill="BFBFBF" w:themeFill="background1" w:themeFillShade="BF"/>
          </w:tcPr>
          <w:p w:rsidR="005C445D" w:rsidRPr="002F367B" w:rsidRDefault="0033290F" w:rsidP="00B66FDE">
            <w:pPr>
              <w:spacing w:line="276" w:lineRule="auto"/>
              <w:rPr>
                <w:b/>
                <w:sz w:val="20"/>
                <w:szCs w:val="20"/>
              </w:rPr>
            </w:pPr>
            <w:r w:rsidRPr="0033290F">
              <w:rPr>
                <w:b/>
                <w:sz w:val="20"/>
                <w:szCs w:val="20"/>
              </w:rPr>
              <w:t>Výchozí hodnota</w:t>
            </w:r>
          </w:p>
        </w:tc>
        <w:tc>
          <w:tcPr>
            <w:tcW w:w="992" w:type="dxa"/>
            <w:shd w:val="clear" w:color="auto" w:fill="BFBFBF" w:themeFill="background1" w:themeFillShade="BF"/>
          </w:tcPr>
          <w:p w:rsidR="005C445D" w:rsidRPr="002F367B" w:rsidRDefault="0033290F" w:rsidP="00B66FDE">
            <w:pPr>
              <w:spacing w:line="276" w:lineRule="auto"/>
              <w:rPr>
                <w:b/>
                <w:sz w:val="20"/>
                <w:szCs w:val="20"/>
              </w:rPr>
            </w:pPr>
            <w:r w:rsidRPr="0033290F">
              <w:rPr>
                <w:b/>
                <w:sz w:val="20"/>
                <w:szCs w:val="20"/>
              </w:rPr>
              <w:t>Výchozí rok</w:t>
            </w:r>
          </w:p>
        </w:tc>
        <w:tc>
          <w:tcPr>
            <w:tcW w:w="992" w:type="dxa"/>
            <w:shd w:val="clear" w:color="auto" w:fill="BFBFBF" w:themeFill="background1" w:themeFillShade="BF"/>
          </w:tcPr>
          <w:p w:rsidR="005C445D" w:rsidRPr="002F367B" w:rsidRDefault="0033290F" w:rsidP="00B66FDE">
            <w:pPr>
              <w:spacing w:line="276" w:lineRule="auto"/>
              <w:rPr>
                <w:b/>
                <w:sz w:val="20"/>
                <w:szCs w:val="20"/>
              </w:rPr>
            </w:pPr>
            <w:r w:rsidRPr="0033290F">
              <w:rPr>
                <w:b/>
                <w:sz w:val="20"/>
                <w:szCs w:val="20"/>
              </w:rPr>
              <w:t>Cílová hodnota (2023)</w:t>
            </w:r>
          </w:p>
        </w:tc>
        <w:tc>
          <w:tcPr>
            <w:tcW w:w="1134" w:type="dxa"/>
            <w:shd w:val="clear" w:color="auto" w:fill="BFBFBF" w:themeFill="background1" w:themeFillShade="BF"/>
          </w:tcPr>
          <w:p w:rsidR="005C445D" w:rsidRPr="002F367B" w:rsidRDefault="0033290F" w:rsidP="00B66FDE">
            <w:pPr>
              <w:spacing w:line="276" w:lineRule="auto"/>
              <w:rPr>
                <w:b/>
                <w:sz w:val="20"/>
                <w:szCs w:val="20"/>
              </w:rPr>
            </w:pPr>
            <w:r w:rsidRPr="0033290F">
              <w:rPr>
                <w:b/>
                <w:sz w:val="20"/>
                <w:szCs w:val="20"/>
              </w:rPr>
              <w:t>Zdroj údajů</w:t>
            </w:r>
          </w:p>
        </w:tc>
        <w:tc>
          <w:tcPr>
            <w:tcW w:w="992" w:type="dxa"/>
            <w:shd w:val="clear" w:color="auto" w:fill="BFBFBF" w:themeFill="background1" w:themeFillShade="BF"/>
          </w:tcPr>
          <w:p w:rsidR="005C445D" w:rsidRPr="002F367B" w:rsidRDefault="0033290F" w:rsidP="00B66FDE">
            <w:pPr>
              <w:spacing w:line="276" w:lineRule="auto"/>
              <w:rPr>
                <w:b/>
                <w:sz w:val="20"/>
                <w:szCs w:val="20"/>
              </w:rPr>
            </w:pPr>
            <w:r w:rsidRPr="0033290F">
              <w:rPr>
                <w:b/>
                <w:sz w:val="20"/>
                <w:szCs w:val="20"/>
              </w:rPr>
              <w:t>Četnost podávání zpráv</w:t>
            </w:r>
          </w:p>
        </w:tc>
      </w:tr>
      <w:tr w:rsidR="005C445D" w:rsidRPr="006802A5" w:rsidTr="00D51D84">
        <w:trPr>
          <w:trHeight w:val="1405"/>
        </w:trPr>
        <w:tc>
          <w:tcPr>
            <w:tcW w:w="709" w:type="dxa"/>
          </w:tcPr>
          <w:p w:rsidR="005C445D" w:rsidRPr="002F367B" w:rsidRDefault="008F4F34" w:rsidP="00B66FDE">
            <w:pPr>
              <w:spacing w:line="276" w:lineRule="auto"/>
              <w:rPr>
                <w:sz w:val="20"/>
                <w:szCs w:val="20"/>
              </w:rPr>
            </w:pPr>
            <w:r>
              <w:rPr>
                <w:sz w:val="20"/>
                <w:szCs w:val="20"/>
              </w:rPr>
              <w:t>421</w:t>
            </w:r>
            <w:r w:rsidRPr="008F4F34">
              <w:rPr>
                <w:sz w:val="20"/>
                <w:szCs w:val="20"/>
              </w:rPr>
              <w:t>10</w:t>
            </w:r>
          </w:p>
        </w:tc>
        <w:tc>
          <w:tcPr>
            <w:tcW w:w="1418" w:type="dxa"/>
          </w:tcPr>
          <w:p w:rsidR="005C445D" w:rsidRPr="002F367B" w:rsidRDefault="0033290F" w:rsidP="00B66FDE">
            <w:pPr>
              <w:spacing w:line="276" w:lineRule="auto"/>
              <w:rPr>
                <w:sz w:val="20"/>
                <w:szCs w:val="20"/>
              </w:rPr>
            </w:pPr>
            <w:r w:rsidRPr="0033290F">
              <w:rPr>
                <w:sz w:val="20"/>
                <w:szCs w:val="20"/>
              </w:rPr>
              <w:t xml:space="preserve">Snížení množství vypouštěného znečištění v ukazateli P </w:t>
            </w:r>
            <w:proofErr w:type="spellStart"/>
            <w:r w:rsidRPr="0033290F">
              <w:rPr>
                <w:sz w:val="20"/>
                <w:szCs w:val="20"/>
              </w:rPr>
              <w:t>celk</w:t>
            </w:r>
            <w:proofErr w:type="spellEnd"/>
            <w:r w:rsidRPr="0033290F">
              <w:rPr>
                <w:sz w:val="20"/>
                <w:szCs w:val="20"/>
              </w:rPr>
              <w:t xml:space="preserve">. </w:t>
            </w:r>
          </w:p>
        </w:tc>
        <w:tc>
          <w:tcPr>
            <w:tcW w:w="992" w:type="dxa"/>
          </w:tcPr>
          <w:p w:rsidR="005C445D" w:rsidRPr="002F367B" w:rsidRDefault="0033290F" w:rsidP="00B66FDE">
            <w:pPr>
              <w:spacing w:line="276" w:lineRule="auto"/>
              <w:rPr>
                <w:sz w:val="20"/>
                <w:szCs w:val="20"/>
              </w:rPr>
            </w:pPr>
            <w:r w:rsidRPr="0033290F">
              <w:rPr>
                <w:sz w:val="20"/>
                <w:szCs w:val="20"/>
              </w:rPr>
              <w:t>t/rok</w:t>
            </w:r>
          </w:p>
        </w:tc>
        <w:tc>
          <w:tcPr>
            <w:tcW w:w="992" w:type="dxa"/>
          </w:tcPr>
          <w:p w:rsidR="005C445D" w:rsidRPr="002F367B" w:rsidRDefault="0033290F" w:rsidP="00B66FDE">
            <w:pPr>
              <w:spacing w:line="276" w:lineRule="auto"/>
              <w:rPr>
                <w:sz w:val="20"/>
                <w:szCs w:val="20"/>
              </w:rPr>
            </w:pPr>
            <w:r w:rsidRPr="0033290F">
              <w:rPr>
                <w:rFonts w:asciiTheme="majorHAnsi" w:hAnsiTheme="majorHAnsi"/>
                <w:bCs/>
                <w:sz w:val="20"/>
                <w:szCs w:val="20"/>
              </w:rPr>
              <w:t>Není relevantní</w:t>
            </w:r>
          </w:p>
        </w:tc>
        <w:tc>
          <w:tcPr>
            <w:tcW w:w="851" w:type="dxa"/>
          </w:tcPr>
          <w:p w:rsidR="005C445D" w:rsidRPr="002F367B" w:rsidRDefault="0033290F" w:rsidP="00B66FDE">
            <w:pPr>
              <w:spacing w:line="276" w:lineRule="auto"/>
              <w:rPr>
                <w:sz w:val="20"/>
                <w:szCs w:val="20"/>
              </w:rPr>
            </w:pPr>
            <w:r w:rsidRPr="0033290F">
              <w:rPr>
                <w:sz w:val="20"/>
                <w:szCs w:val="20"/>
              </w:rPr>
              <w:t>1 203</w:t>
            </w:r>
          </w:p>
        </w:tc>
        <w:tc>
          <w:tcPr>
            <w:tcW w:w="992" w:type="dxa"/>
          </w:tcPr>
          <w:p w:rsidR="005C445D" w:rsidRPr="002F367B" w:rsidRDefault="0033290F" w:rsidP="00B66FDE">
            <w:pPr>
              <w:spacing w:line="276" w:lineRule="auto"/>
              <w:rPr>
                <w:sz w:val="20"/>
                <w:szCs w:val="20"/>
              </w:rPr>
            </w:pPr>
            <w:r w:rsidRPr="0033290F">
              <w:rPr>
                <w:sz w:val="20"/>
                <w:szCs w:val="20"/>
              </w:rPr>
              <w:t>2012</w:t>
            </w:r>
          </w:p>
        </w:tc>
        <w:tc>
          <w:tcPr>
            <w:tcW w:w="992" w:type="dxa"/>
          </w:tcPr>
          <w:p w:rsidR="005C445D" w:rsidRPr="002F367B" w:rsidRDefault="0033290F" w:rsidP="00B66FDE">
            <w:pPr>
              <w:spacing w:line="276" w:lineRule="auto"/>
              <w:rPr>
                <w:sz w:val="20"/>
                <w:szCs w:val="20"/>
              </w:rPr>
            </w:pPr>
            <w:r w:rsidRPr="0033290F">
              <w:rPr>
                <w:sz w:val="20"/>
                <w:szCs w:val="20"/>
              </w:rPr>
              <w:t>1 100</w:t>
            </w:r>
          </w:p>
        </w:tc>
        <w:tc>
          <w:tcPr>
            <w:tcW w:w="1134" w:type="dxa"/>
          </w:tcPr>
          <w:p w:rsidR="005C445D" w:rsidRPr="002F367B" w:rsidRDefault="0033290F" w:rsidP="00B66FDE">
            <w:pPr>
              <w:spacing w:line="276" w:lineRule="auto"/>
              <w:rPr>
                <w:sz w:val="20"/>
                <w:szCs w:val="20"/>
              </w:rPr>
            </w:pPr>
            <w:r w:rsidRPr="0033290F">
              <w:rPr>
                <w:sz w:val="20"/>
                <w:szCs w:val="20"/>
              </w:rPr>
              <w:t>Žadatel/příjemce</w:t>
            </w:r>
          </w:p>
        </w:tc>
        <w:tc>
          <w:tcPr>
            <w:tcW w:w="992" w:type="dxa"/>
          </w:tcPr>
          <w:p w:rsidR="005C445D" w:rsidRPr="002F367B" w:rsidRDefault="0033290F" w:rsidP="00B66FDE">
            <w:pPr>
              <w:spacing w:line="276" w:lineRule="auto"/>
              <w:rPr>
                <w:sz w:val="20"/>
                <w:szCs w:val="20"/>
              </w:rPr>
            </w:pPr>
            <w:r w:rsidRPr="0033290F">
              <w:rPr>
                <w:rFonts w:asciiTheme="majorHAnsi" w:hAnsiTheme="majorHAnsi"/>
                <w:bCs/>
                <w:sz w:val="20"/>
                <w:szCs w:val="20"/>
              </w:rPr>
              <w:t>Průběžně</w:t>
            </w:r>
          </w:p>
        </w:tc>
      </w:tr>
      <w:tr w:rsidR="005C445D" w:rsidRPr="006802A5" w:rsidTr="00D51D84">
        <w:tc>
          <w:tcPr>
            <w:tcW w:w="709" w:type="dxa"/>
          </w:tcPr>
          <w:p w:rsidR="005C445D" w:rsidRPr="002F367B" w:rsidRDefault="008F4F34" w:rsidP="00B66FDE">
            <w:pPr>
              <w:rPr>
                <w:sz w:val="20"/>
                <w:szCs w:val="20"/>
              </w:rPr>
            </w:pPr>
            <w:r>
              <w:rPr>
                <w:sz w:val="20"/>
                <w:szCs w:val="20"/>
              </w:rPr>
              <w:t>425</w:t>
            </w:r>
            <w:r w:rsidRPr="008F4F34">
              <w:rPr>
                <w:sz w:val="20"/>
                <w:szCs w:val="20"/>
              </w:rPr>
              <w:t>11</w:t>
            </w:r>
          </w:p>
        </w:tc>
        <w:tc>
          <w:tcPr>
            <w:tcW w:w="1418" w:type="dxa"/>
          </w:tcPr>
          <w:p w:rsidR="005C445D" w:rsidRPr="002F367B" w:rsidRDefault="005C445D" w:rsidP="00B66FDE">
            <w:pPr>
              <w:spacing w:line="276" w:lineRule="auto"/>
              <w:rPr>
                <w:sz w:val="20"/>
                <w:szCs w:val="20"/>
              </w:rPr>
            </w:pPr>
            <w:r w:rsidRPr="002F367B">
              <w:rPr>
                <w:sz w:val="20"/>
                <w:szCs w:val="20"/>
              </w:rPr>
              <w:t>Snížení rizika vn</w:t>
            </w:r>
            <w:r w:rsidR="0033290F" w:rsidRPr="0033290F">
              <w:rPr>
                <w:sz w:val="20"/>
                <w:szCs w:val="20"/>
              </w:rPr>
              <w:t>osu znečišťujících látek do podzemních vod</w:t>
            </w:r>
          </w:p>
        </w:tc>
        <w:tc>
          <w:tcPr>
            <w:tcW w:w="992" w:type="dxa"/>
          </w:tcPr>
          <w:p w:rsidR="005C445D" w:rsidRPr="002F367B" w:rsidRDefault="0033290F" w:rsidP="00B66FDE">
            <w:pPr>
              <w:spacing w:line="276" w:lineRule="auto"/>
              <w:rPr>
                <w:sz w:val="20"/>
                <w:szCs w:val="20"/>
              </w:rPr>
            </w:pPr>
            <w:r w:rsidRPr="0033290F">
              <w:rPr>
                <w:sz w:val="20"/>
                <w:szCs w:val="20"/>
              </w:rPr>
              <w:t>%</w:t>
            </w:r>
          </w:p>
        </w:tc>
        <w:tc>
          <w:tcPr>
            <w:tcW w:w="992" w:type="dxa"/>
          </w:tcPr>
          <w:p w:rsidR="005C445D" w:rsidRPr="002F367B" w:rsidRDefault="0033290F" w:rsidP="00B66FDE">
            <w:pPr>
              <w:spacing w:line="276" w:lineRule="auto"/>
              <w:rPr>
                <w:sz w:val="20"/>
                <w:szCs w:val="20"/>
              </w:rPr>
            </w:pPr>
            <w:r w:rsidRPr="0033290F">
              <w:rPr>
                <w:rFonts w:asciiTheme="majorHAnsi" w:hAnsiTheme="majorHAnsi"/>
                <w:bCs/>
                <w:sz w:val="20"/>
                <w:szCs w:val="20"/>
              </w:rPr>
              <w:t>Není relevantní</w:t>
            </w:r>
          </w:p>
        </w:tc>
        <w:tc>
          <w:tcPr>
            <w:tcW w:w="851" w:type="dxa"/>
          </w:tcPr>
          <w:p w:rsidR="005C445D" w:rsidRPr="002F367B" w:rsidRDefault="0033290F" w:rsidP="00B66FDE">
            <w:pPr>
              <w:spacing w:line="276" w:lineRule="auto"/>
              <w:rPr>
                <w:sz w:val="20"/>
                <w:szCs w:val="20"/>
              </w:rPr>
            </w:pPr>
            <w:r w:rsidRPr="0033290F">
              <w:rPr>
                <w:sz w:val="20"/>
                <w:szCs w:val="20"/>
              </w:rPr>
              <w:t>100</w:t>
            </w:r>
          </w:p>
        </w:tc>
        <w:tc>
          <w:tcPr>
            <w:tcW w:w="992" w:type="dxa"/>
          </w:tcPr>
          <w:p w:rsidR="005C445D" w:rsidRPr="002F367B" w:rsidRDefault="0033290F" w:rsidP="00B66FDE">
            <w:pPr>
              <w:spacing w:line="276" w:lineRule="auto"/>
              <w:rPr>
                <w:sz w:val="20"/>
                <w:szCs w:val="20"/>
              </w:rPr>
            </w:pPr>
            <w:r w:rsidRPr="0033290F">
              <w:rPr>
                <w:sz w:val="20"/>
                <w:szCs w:val="20"/>
              </w:rPr>
              <w:t>2012</w:t>
            </w:r>
          </w:p>
        </w:tc>
        <w:tc>
          <w:tcPr>
            <w:tcW w:w="992" w:type="dxa"/>
          </w:tcPr>
          <w:p w:rsidR="005C445D" w:rsidRPr="002F367B" w:rsidRDefault="0033290F" w:rsidP="00B66FDE">
            <w:pPr>
              <w:spacing w:line="276" w:lineRule="auto"/>
              <w:rPr>
                <w:sz w:val="20"/>
                <w:szCs w:val="20"/>
              </w:rPr>
            </w:pPr>
            <w:r w:rsidRPr="0033290F">
              <w:rPr>
                <w:sz w:val="20"/>
                <w:szCs w:val="20"/>
              </w:rPr>
              <w:t>60</w:t>
            </w:r>
          </w:p>
        </w:tc>
        <w:tc>
          <w:tcPr>
            <w:tcW w:w="1134" w:type="dxa"/>
          </w:tcPr>
          <w:p w:rsidR="005C445D" w:rsidRPr="002F367B" w:rsidRDefault="0033290F" w:rsidP="00B66FDE">
            <w:pPr>
              <w:spacing w:line="276" w:lineRule="auto"/>
              <w:rPr>
                <w:sz w:val="20"/>
                <w:szCs w:val="20"/>
              </w:rPr>
            </w:pPr>
            <w:r w:rsidRPr="0033290F">
              <w:rPr>
                <w:sz w:val="20"/>
                <w:szCs w:val="20"/>
              </w:rPr>
              <w:t>Žadatel/příjemce</w:t>
            </w:r>
          </w:p>
        </w:tc>
        <w:tc>
          <w:tcPr>
            <w:tcW w:w="992" w:type="dxa"/>
          </w:tcPr>
          <w:p w:rsidR="005C445D" w:rsidRPr="002F367B" w:rsidRDefault="0033290F" w:rsidP="00B66FDE">
            <w:pPr>
              <w:spacing w:line="276" w:lineRule="auto"/>
              <w:rPr>
                <w:sz w:val="20"/>
                <w:szCs w:val="20"/>
              </w:rPr>
            </w:pPr>
            <w:r w:rsidRPr="0033290F">
              <w:rPr>
                <w:rFonts w:asciiTheme="majorHAnsi" w:hAnsiTheme="majorHAnsi"/>
                <w:bCs/>
                <w:sz w:val="20"/>
                <w:szCs w:val="20"/>
              </w:rPr>
              <w:t>Průběžně</w:t>
            </w:r>
          </w:p>
        </w:tc>
      </w:tr>
    </w:tbl>
    <w:p w:rsidR="00FE759F" w:rsidRDefault="00FE759F" w:rsidP="00B66FDE">
      <w:pPr>
        <w:pStyle w:val="Nadpis4"/>
      </w:pPr>
      <w:bookmarkStart w:id="2301" w:name="_Toc392150980"/>
      <w:r>
        <w:lastRenderedPageBreak/>
        <w:t>Opatření, jež má být podpořeno v rámci investiční priority</w:t>
      </w:r>
      <w:bookmarkEnd w:id="2301"/>
      <w:r>
        <w:t xml:space="preserve"> </w:t>
      </w:r>
    </w:p>
    <w:p w:rsidR="00674BC9" w:rsidRDefault="00BB23A1">
      <w:pPr>
        <w:pStyle w:val="Nadpis5"/>
      </w:pPr>
      <w:bookmarkStart w:id="2302" w:name="_Toc392150981"/>
      <w:r w:rsidRPr="004314F4">
        <w:t xml:space="preserve">Popis typů </w:t>
      </w:r>
      <w:r w:rsidR="00444366">
        <w:t xml:space="preserve">a </w:t>
      </w:r>
      <w:r w:rsidRPr="004314F4">
        <w:t xml:space="preserve">příkladů </w:t>
      </w:r>
      <w:r w:rsidR="00444366">
        <w:t>opatření</w:t>
      </w:r>
      <w:r w:rsidRPr="004314F4">
        <w:t xml:space="preserve">, které </w:t>
      </w:r>
      <w:r w:rsidR="00444366">
        <w:t>mají být</w:t>
      </w:r>
      <w:r w:rsidR="008E6B35">
        <w:t xml:space="preserve"> </w:t>
      </w:r>
      <w:r w:rsidRPr="004314F4">
        <w:t>podporován</w:t>
      </w:r>
      <w:r w:rsidR="00444366">
        <w:t>a, a jejich očekávaný přínos k plnění specifických cílů, případně včetně určení hlavních cílových skupin, konkrétních cílových území a druhů příjemců</w:t>
      </w:r>
      <w:bookmarkEnd w:id="2302"/>
      <w:r w:rsidRPr="004314F4">
        <w:t xml:space="preserve"> </w:t>
      </w:r>
    </w:p>
    <w:p w:rsidR="00685842" w:rsidRPr="00A510F2" w:rsidRDefault="00805868" w:rsidP="00165854">
      <w:pPr>
        <w:pStyle w:val="Nadpis6"/>
      </w:pPr>
      <w:r w:rsidRPr="004314F4">
        <w:t>Specifický cíl 1: Snížit množ</w:t>
      </w:r>
      <w:r w:rsidR="00A510F2">
        <w:t>ství vypouštěného znečištění do </w:t>
      </w:r>
      <w:r w:rsidRPr="004314F4">
        <w:t>povrchových i podzemních vod z</w:t>
      </w:r>
      <w:r w:rsidR="00A61E98">
        <w:t xml:space="preserve"> komunálních</w:t>
      </w:r>
      <w:r w:rsidRPr="004314F4">
        <w:t xml:space="preserve"> zdrojů a </w:t>
      </w:r>
      <w:r w:rsidR="00176128" w:rsidRPr="004314F4">
        <w:t>zaji</w:t>
      </w:r>
      <w:r w:rsidR="00176128">
        <w:t>stit</w:t>
      </w:r>
      <w:r w:rsidR="00176128" w:rsidRPr="004314F4">
        <w:t xml:space="preserve"> </w:t>
      </w:r>
      <w:r w:rsidRPr="004314F4">
        <w:t xml:space="preserve">dodávky pitné vody v odpovídající jakosti a množství </w:t>
      </w:r>
    </w:p>
    <w:p w:rsidR="000C7EC5" w:rsidRPr="004314F4" w:rsidRDefault="000C7EC5" w:rsidP="004539E4">
      <w:pPr>
        <w:spacing w:after="0" w:afterAutospacing="0"/>
      </w:pPr>
      <w:r w:rsidRPr="004314F4">
        <w:t>Podporované aktivity v rámci specifického cíle 1.1 - budou:</w:t>
      </w:r>
    </w:p>
    <w:p w:rsidR="006F7D80" w:rsidRDefault="00D324A9" w:rsidP="00495FC1">
      <w:pPr>
        <w:pStyle w:val="Odstavecseseznamem"/>
        <w:numPr>
          <w:ilvl w:val="0"/>
          <w:numId w:val="5"/>
        </w:numPr>
        <w:spacing w:after="0" w:afterAutospacing="0"/>
      </w:pPr>
      <w:r>
        <w:t xml:space="preserve">Výstavba </w:t>
      </w:r>
      <w:r w:rsidR="00046765" w:rsidRPr="004314F4">
        <w:t xml:space="preserve">kanalizace za předpokladu </w:t>
      </w:r>
      <w:r w:rsidR="0031185B">
        <w:t xml:space="preserve">existence vyhovující čistírny odpadních vod v aglomeraci, výstavba kanalizace za předpokladu </w:t>
      </w:r>
      <w:r w:rsidR="00046765">
        <w:t>související</w:t>
      </w:r>
      <w:r w:rsidR="00A510F2">
        <w:t xml:space="preserve"> výstavby, modernizace a </w:t>
      </w:r>
      <w:r w:rsidR="00046765" w:rsidRPr="004314F4">
        <w:t>intenzifikace</w:t>
      </w:r>
      <w:r w:rsidR="00046765">
        <w:t xml:space="preserve"> </w:t>
      </w:r>
      <w:r w:rsidR="00046765" w:rsidRPr="004314F4">
        <w:t>čistírn</w:t>
      </w:r>
      <w:r w:rsidR="0031185B">
        <w:t>y</w:t>
      </w:r>
      <w:r w:rsidR="00046765" w:rsidRPr="004314F4">
        <w:t xml:space="preserve"> odpadních vod v</w:t>
      </w:r>
      <w:r w:rsidR="00AB3055">
        <w:t>četně decentralizovaných řešení</w:t>
      </w:r>
      <w:r w:rsidR="0031185B">
        <w:t xml:space="preserve"> likvidace odpadních vod</w:t>
      </w:r>
      <w:r w:rsidR="00A510F2">
        <w:t>.</w:t>
      </w:r>
    </w:p>
    <w:p w:rsidR="006F7D80" w:rsidRDefault="00046765" w:rsidP="00495FC1">
      <w:pPr>
        <w:pStyle w:val="Odstavecseseznamem"/>
        <w:numPr>
          <w:ilvl w:val="0"/>
          <w:numId w:val="5"/>
        </w:numPr>
      </w:pPr>
      <w:r w:rsidRPr="004314F4">
        <w:t xml:space="preserve">Výstavba a </w:t>
      </w:r>
      <w:r w:rsidR="0031185B">
        <w:t>modernizace</w:t>
      </w:r>
      <w:r w:rsidRPr="004314F4">
        <w:t xml:space="preserve"> úpraven vody a </w:t>
      </w:r>
      <w:r w:rsidR="0031185B">
        <w:t>zvyšování kvality</w:t>
      </w:r>
      <w:r w:rsidR="0031185B" w:rsidRPr="004314F4">
        <w:t xml:space="preserve"> </w:t>
      </w:r>
      <w:r w:rsidR="00A510F2">
        <w:t>zdrojů pitné vody, výstavba, a </w:t>
      </w:r>
      <w:r w:rsidRPr="004314F4">
        <w:t>dostavba přivaděčů a rozvodných sítí pitné vody včetně souvisejících objektů sloužících veřejné potřebě</w:t>
      </w:r>
      <w:r w:rsidR="00A510F2">
        <w:t>.</w:t>
      </w:r>
    </w:p>
    <w:p w:rsidR="00046765" w:rsidRDefault="00046765" w:rsidP="00495FC1">
      <w:pPr>
        <w:pStyle w:val="Odstavecseseznamem"/>
        <w:numPr>
          <w:ilvl w:val="0"/>
          <w:numId w:val="5"/>
        </w:numPr>
      </w:pPr>
      <w:r w:rsidRPr="004314F4">
        <w:t>Výstavba, modernizace a intenzifikace čistíren odpadních vod</w:t>
      </w:r>
      <w:r w:rsidR="00AB3055">
        <w:t>.</w:t>
      </w:r>
    </w:p>
    <w:p w:rsidR="00046765" w:rsidRPr="004314F4" w:rsidRDefault="00046765" w:rsidP="00B66FDE">
      <w:bookmarkStart w:id="2303" w:name="_Toc384907318"/>
      <w:r w:rsidRPr="004314F4">
        <w:t xml:space="preserve">Hlavní cílové skupiny: </w:t>
      </w:r>
      <w:r>
        <w:t>Veřejný sektor</w:t>
      </w:r>
      <w:bookmarkEnd w:id="2303"/>
      <w:r w:rsidR="006F3DD0">
        <w:tab/>
      </w:r>
    </w:p>
    <w:p w:rsidR="00046765" w:rsidRDefault="00046765" w:rsidP="00B66FDE">
      <w:bookmarkStart w:id="2304" w:name="_Toc384907319"/>
      <w:r w:rsidRPr="004314F4">
        <w:t xml:space="preserve">Cílová území: území celé </w:t>
      </w:r>
      <w:r w:rsidR="0007549A">
        <w:t>České republiky</w:t>
      </w:r>
      <w:bookmarkEnd w:id="2304"/>
      <w:r w:rsidRPr="004314F4">
        <w:t xml:space="preserve"> </w:t>
      </w:r>
    </w:p>
    <w:p w:rsidR="00656E79" w:rsidRPr="00545448" w:rsidRDefault="0033290F" w:rsidP="00656E79">
      <w:pPr>
        <w:rPr>
          <w:b/>
        </w:rPr>
      </w:pPr>
      <w:r w:rsidRPr="0033290F">
        <w:rPr>
          <w:b/>
        </w:rPr>
        <w:t xml:space="preserve">Typy příjemců: </w:t>
      </w:r>
    </w:p>
    <w:p w:rsidR="00674BC9" w:rsidRDefault="00656E79">
      <w:pPr>
        <w:spacing w:after="0" w:afterAutospacing="0"/>
      </w:pPr>
      <w:r w:rsidRPr="00FF3719">
        <w:t>Právnické osoby</w:t>
      </w:r>
      <w:r w:rsidR="00E83B79">
        <w:t xml:space="preserve"> (pouze indikativní výčet)</w:t>
      </w:r>
      <w:r w:rsidRPr="00FF3719">
        <w:t>:</w:t>
      </w:r>
    </w:p>
    <w:p w:rsidR="00656E79" w:rsidRPr="00FF3719" w:rsidRDefault="004539E4" w:rsidP="00495FC1">
      <w:pPr>
        <w:pStyle w:val="Odstavecseseznamem"/>
        <w:numPr>
          <w:ilvl w:val="0"/>
          <w:numId w:val="97"/>
        </w:numPr>
        <w:spacing w:after="0" w:afterAutospacing="0"/>
        <w:jc w:val="left"/>
      </w:pPr>
      <w:r>
        <w:t>o</w:t>
      </w:r>
      <w:r w:rsidR="00656E79" w:rsidRPr="00FF3719">
        <w:t>bec</w:t>
      </w:r>
      <w:r>
        <w:t>,</w:t>
      </w:r>
    </w:p>
    <w:p w:rsidR="00656E79" w:rsidRPr="00FF3719" w:rsidRDefault="00656E79" w:rsidP="00495FC1">
      <w:pPr>
        <w:pStyle w:val="Odstavecseseznamem"/>
        <w:numPr>
          <w:ilvl w:val="0"/>
          <w:numId w:val="97"/>
        </w:numPr>
        <w:spacing w:after="0" w:afterAutospacing="0"/>
        <w:jc w:val="left"/>
      </w:pPr>
      <w:r w:rsidRPr="00FF3719">
        <w:t>dobrovolné svazky obcí</w:t>
      </w:r>
      <w:r w:rsidR="004539E4">
        <w:t>,</w:t>
      </w:r>
    </w:p>
    <w:p w:rsidR="00674BC9" w:rsidRDefault="00656E79" w:rsidP="00495FC1">
      <w:pPr>
        <w:pStyle w:val="Odstavecseseznamem"/>
        <w:numPr>
          <w:ilvl w:val="0"/>
          <w:numId w:val="97"/>
        </w:numPr>
        <w:jc w:val="left"/>
      </w:pPr>
      <w:r w:rsidRPr="00FF3719">
        <w:t>příspěvkové organizace zřízené územním samosprávným celkem</w:t>
      </w:r>
      <w:r w:rsidR="004539E4">
        <w:t>,</w:t>
      </w:r>
    </w:p>
    <w:p w:rsidR="00674BC9" w:rsidRDefault="00656E79" w:rsidP="00495FC1">
      <w:pPr>
        <w:pStyle w:val="Odstavecseseznamem"/>
        <w:numPr>
          <w:ilvl w:val="0"/>
          <w:numId w:val="97"/>
        </w:numPr>
        <w:jc w:val="left"/>
      </w:pPr>
      <w:r w:rsidRPr="00FF3719">
        <w:t>státní podniky</w:t>
      </w:r>
      <w:r w:rsidR="004539E4">
        <w:t>.</w:t>
      </w:r>
    </w:p>
    <w:p w:rsidR="00674BC9" w:rsidRDefault="00656E79">
      <w:r w:rsidRPr="00FF3719">
        <w:t>Fyzické osoby (nepodnikající)</w:t>
      </w:r>
      <w:r w:rsidR="00E83B79">
        <w:t>.</w:t>
      </w:r>
    </w:p>
    <w:p w:rsidR="00674BC9" w:rsidRDefault="00656E79">
      <w:pPr>
        <w:pStyle w:val="Default"/>
        <w:spacing w:after="100" w:afterAutospacing="1" w:line="276" w:lineRule="auto"/>
      </w:pPr>
      <w:r w:rsidRPr="00FF3719">
        <w:rPr>
          <w:rFonts w:ascii="Cambria" w:hAnsi="Cambria" w:cstheme="minorBidi"/>
          <w:sz w:val="22"/>
          <w:szCs w:val="22"/>
        </w:rPr>
        <w:t>Pozn.: Okruh příjemců bude dále podrobněji definován v návazné řídící dokumentaci.</w:t>
      </w:r>
    </w:p>
    <w:p w:rsidR="00A9422D" w:rsidRPr="004314F4" w:rsidRDefault="00A9422D" w:rsidP="00165854">
      <w:pPr>
        <w:pStyle w:val="Nadpis6"/>
      </w:pPr>
      <w:r w:rsidRPr="004314F4">
        <w:t xml:space="preserve">Specifický cíl 2: </w:t>
      </w:r>
      <w:r w:rsidR="008C7D93" w:rsidRPr="004314F4">
        <w:t>Snížit vnos zn</w:t>
      </w:r>
      <w:r w:rsidR="00A510F2">
        <w:t xml:space="preserve">ečišťujících látek </w:t>
      </w:r>
      <w:r w:rsidR="008C7D93" w:rsidRPr="004314F4">
        <w:t>do povrchových a podzemních vod</w:t>
      </w:r>
    </w:p>
    <w:p w:rsidR="00674BC9" w:rsidRDefault="00A9422D" w:rsidP="00724DAE">
      <w:pPr>
        <w:spacing w:after="0" w:afterAutospacing="0"/>
      </w:pPr>
      <w:r w:rsidRPr="004314F4">
        <w:t>Podporované aktivity v rámci specifického cíle 1.2 - budou:</w:t>
      </w:r>
    </w:p>
    <w:p w:rsidR="006F7D80" w:rsidRDefault="00077152" w:rsidP="00724DAE">
      <w:pPr>
        <w:pStyle w:val="Odstavecseseznamem"/>
        <w:numPr>
          <w:ilvl w:val="0"/>
          <w:numId w:val="6"/>
        </w:numPr>
        <w:spacing w:after="0" w:afterAutospacing="0"/>
      </w:pPr>
      <w:r w:rsidRPr="004314F4">
        <w:t>Odstraňování příčin nadměrného zatížení povrchových v</w:t>
      </w:r>
      <w:r w:rsidR="00A510F2">
        <w:t>od živinami (eutrofizace vod).</w:t>
      </w:r>
    </w:p>
    <w:p w:rsidR="00A9422D" w:rsidRDefault="00077152" w:rsidP="00724DAE">
      <w:pPr>
        <w:pStyle w:val="Odstavecseseznamem"/>
        <w:numPr>
          <w:ilvl w:val="0"/>
          <w:numId w:val="6"/>
        </w:numPr>
        <w:spacing w:after="0" w:afterAutospacing="0"/>
      </w:pPr>
      <w:r w:rsidRPr="004314F4">
        <w:t>Likvidace nepotřebných vrtů v chráněných územích z Registru dle Směrnice 2000/60/ES o vodní politice s cílem zlepšit stav vodních útvarů podzemních vod</w:t>
      </w:r>
      <w:r w:rsidR="00A510F2">
        <w:t>.</w:t>
      </w:r>
    </w:p>
    <w:p w:rsidR="00724DAE" w:rsidRPr="004314F4" w:rsidRDefault="00724DAE" w:rsidP="00724DAE">
      <w:pPr>
        <w:pStyle w:val="Odstavecseseznamem"/>
        <w:spacing w:after="0" w:afterAutospacing="0"/>
      </w:pPr>
    </w:p>
    <w:p w:rsidR="004752B7" w:rsidRPr="004314F4" w:rsidRDefault="00A9422D" w:rsidP="00B66FDE">
      <w:bookmarkStart w:id="2305" w:name="_Toc384907321"/>
      <w:r w:rsidRPr="004314F4">
        <w:t>Hlavní cílové skup</w:t>
      </w:r>
      <w:r w:rsidR="00BB1E44" w:rsidRPr="004314F4">
        <w:t xml:space="preserve">iny: </w:t>
      </w:r>
      <w:r w:rsidR="00CA5006" w:rsidRPr="004314F4">
        <w:t>Veřejný sektor</w:t>
      </w:r>
      <w:bookmarkEnd w:id="2305"/>
    </w:p>
    <w:p w:rsidR="00324149" w:rsidRPr="004314F4" w:rsidRDefault="00A9422D" w:rsidP="00B66FDE">
      <w:bookmarkStart w:id="2306" w:name="_Toc384907322"/>
      <w:r w:rsidRPr="004314F4">
        <w:t xml:space="preserve">Cílová území: území celé </w:t>
      </w:r>
      <w:r w:rsidR="0007549A">
        <w:t>České republiky</w:t>
      </w:r>
      <w:bookmarkEnd w:id="2306"/>
    </w:p>
    <w:p w:rsidR="00835C5B" w:rsidRPr="00545448" w:rsidRDefault="0033290F" w:rsidP="00835C5B">
      <w:pPr>
        <w:rPr>
          <w:b/>
        </w:rPr>
      </w:pPr>
      <w:r w:rsidRPr="0033290F">
        <w:rPr>
          <w:b/>
        </w:rPr>
        <w:lastRenderedPageBreak/>
        <w:t>Typy příjemců:</w:t>
      </w:r>
    </w:p>
    <w:p w:rsidR="00674BC9" w:rsidRDefault="00835C5B">
      <w:pPr>
        <w:spacing w:after="0" w:afterAutospacing="0"/>
      </w:pPr>
      <w:r w:rsidRPr="00FF3719">
        <w:t>Právnické osoby</w:t>
      </w:r>
      <w:r w:rsidR="00545448">
        <w:t xml:space="preserve"> </w:t>
      </w:r>
      <w:r w:rsidR="00AE01BC">
        <w:t>(pouze indikativní výčet):</w:t>
      </w:r>
    </w:p>
    <w:p w:rsidR="00674BC9" w:rsidRDefault="00AE01BC" w:rsidP="00495FC1">
      <w:pPr>
        <w:pStyle w:val="Odstavecseseznamem"/>
        <w:numPr>
          <w:ilvl w:val="0"/>
          <w:numId w:val="98"/>
        </w:numPr>
        <w:spacing w:after="0" w:afterAutospacing="0"/>
        <w:jc w:val="left"/>
      </w:pPr>
      <w:r>
        <w:t>k</w:t>
      </w:r>
      <w:r w:rsidR="00835C5B" w:rsidRPr="00FF3719">
        <w:t>raj</w:t>
      </w:r>
      <w:r>
        <w:t>,</w:t>
      </w:r>
    </w:p>
    <w:p w:rsidR="00674BC9" w:rsidRDefault="00835C5B" w:rsidP="00495FC1">
      <w:pPr>
        <w:pStyle w:val="Odstavecseseznamem"/>
        <w:numPr>
          <w:ilvl w:val="0"/>
          <w:numId w:val="98"/>
        </w:numPr>
        <w:spacing w:after="0" w:afterAutospacing="0"/>
        <w:jc w:val="left"/>
      </w:pPr>
      <w:r w:rsidRPr="00FF3719">
        <w:t>obec</w:t>
      </w:r>
      <w:r w:rsidR="00AE01BC">
        <w:t>,</w:t>
      </w:r>
    </w:p>
    <w:p w:rsidR="00835C5B" w:rsidRPr="00FF3719" w:rsidRDefault="00835C5B" w:rsidP="00495FC1">
      <w:pPr>
        <w:pStyle w:val="Odstavecseseznamem"/>
        <w:numPr>
          <w:ilvl w:val="0"/>
          <w:numId w:val="98"/>
        </w:numPr>
        <w:jc w:val="left"/>
      </w:pPr>
      <w:r w:rsidRPr="00FF3719">
        <w:t>dobrovolné svazky obcí</w:t>
      </w:r>
      <w:r w:rsidR="00AE01BC">
        <w:t>,</w:t>
      </w:r>
    </w:p>
    <w:p w:rsidR="00835C5B" w:rsidRPr="00FF3719" w:rsidRDefault="00835C5B" w:rsidP="00495FC1">
      <w:pPr>
        <w:pStyle w:val="Odstavecseseznamem"/>
        <w:numPr>
          <w:ilvl w:val="0"/>
          <w:numId w:val="98"/>
        </w:numPr>
        <w:jc w:val="left"/>
      </w:pPr>
      <w:r w:rsidRPr="00FF3719">
        <w:t>příspěvkové organizace</w:t>
      </w:r>
      <w:r w:rsidR="00AE01BC">
        <w:t>,</w:t>
      </w:r>
    </w:p>
    <w:p w:rsidR="00835C5B" w:rsidRPr="00FF3719" w:rsidRDefault="00835C5B" w:rsidP="00495FC1">
      <w:pPr>
        <w:pStyle w:val="Odstavecseseznamem"/>
        <w:numPr>
          <w:ilvl w:val="0"/>
          <w:numId w:val="98"/>
        </w:numPr>
        <w:jc w:val="left"/>
      </w:pPr>
      <w:r w:rsidRPr="00FF3719">
        <w:t>státní podniky</w:t>
      </w:r>
      <w:r w:rsidR="00AE01BC">
        <w:t>,</w:t>
      </w:r>
    </w:p>
    <w:p w:rsidR="00835C5B" w:rsidRPr="00FF3719" w:rsidRDefault="00AE01BC" w:rsidP="00495FC1">
      <w:pPr>
        <w:pStyle w:val="Odstavecseseznamem"/>
        <w:numPr>
          <w:ilvl w:val="0"/>
          <w:numId w:val="98"/>
        </w:numPr>
        <w:jc w:val="left"/>
      </w:pPr>
      <w:r>
        <w:t>organizační složky státu</w:t>
      </w:r>
      <w:r w:rsidR="00835C5B" w:rsidRPr="00FF3719">
        <w:t xml:space="preserve">. </w:t>
      </w:r>
    </w:p>
    <w:p w:rsidR="00835C5B" w:rsidRPr="00FF3719" w:rsidRDefault="00835C5B" w:rsidP="00835C5B">
      <w:pPr>
        <w:pStyle w:val="Default"/>
        <w:spacing w:after="100" w:afterAutospacing="1" w:line="276" w:lineRule="auto"/>
        <w:rPr>
          <w:rFonts w:ascii="Cambria" w:hAnsi="Cambria"/>
          <w:sz w:val="22"/>
          <w:szCs w:val="22"/>
        </w:rPr>
      </w:pPr>
      <w:r w:rsidRPr="00FF3719">
        <w:rPr>
          <w:rFonts w:ascii="Cambria" w:hAnsi="Cambria" w:cstheme="minorBidi"/>
          <w:sz w:val="22"/>
          <w:szCs w:val="22"/>
        </w:rPr>
        <w:t>Pozn.: Okruh příjemců bude dále podrobněji definován v návazné řídící dokumentaci.</w:t>
      </w:r>
    </w:p>
    <w:p w:rsidR="00674BC9" w:rsidRDefault="00FE759F" w:rsidP="004B6C19">
      <w:pPr>
        <w:pStyle w:val="Nadpis5"/>
      </w:pPr>
      <w:bookmarkStart w:id="2307" w:name="_Toc391014741"/>
      <w:bookmarkStart w:id="2308" w:name="_Toc391015892"/>
      <w:bookmarkStart w:id="2309" w:name="_Toc391016861"/>
      <w:bookmarkStart w:id="2310" w:name="_Toc391017974"/>
      <w:bookmarkStart w:id="2311" w:name="_Toc391019086"/>
      <w:bookmarkStart w:id="2312" w:name="_Toc392150982"/>
      <w:bookmarkEnd w:id="2307"/>
      <w:bookmarkEnd w:id="2308"/>
      <w:bookmarkEnd w:id="2309"/>
      <w:bookmarkEnd w:id="2310"/>
      <w:bookmarkEnd w:id="2311"/>
      <w:r>
        <w:t>Hlavní zásady</w:t>
      </w:r>
      <w:r w:rsidR="00BB23A1" w:rsidRPr="004314F4">
        <w:t xml:space="preserve"> pro výběr operací</w:t>
      </w:r>
      <w:bookmarkEnd w:id="2312"/>
    </w:p>
    <w:p w:rsidR="00645DED" w:rsidRPr="00712789" w:rsidRDefault="001F0B4D" w:rsidP="00ED5933">
      <w:r w:rsidRPr="00712789">
        <w:t>Výběr projektů bude probíhat v souladu se závazným metodickým pokynem MMR pro</w:t>
      </w:r>
      <w:r w:rsidR="00645DED" w:rsidRPr="00712789">
        <w:t> </w:t>
      </w:r>
      <w:r w:rsidRPr="00712789">
        <w:t xml:space="preserve">řízení výzev, hodnocení a výběr projektů v programovém období 2014-2020. </w:t>
      </w:r>
    </w:p>
    <w:p w:rsidR="00645DED" w:rsidRPr="00712789" w:rsidRDefault="001F0B4D" w:rsidP="00ED5933">
      <w:r w:rsidRPr="00712789">
        <w:t>Projekty budou hodnoceny a vybírány odbornými hodnotiteli podle kritérií pro výběr projektů, která schválí Monitorovací výbor OPŽP.</w:t>
      </w:r>
    </w:p>
    <w:p w:rsidR="00645DED" w:rsidRPr="00712789" w:rsidRDefault="001F0B4D" w:rsidP="00ED5933">
      <w:r w:rsidRPr="00712789">
        <w:t>Při hodnocení a výběru projektů budou posuzována zejména kritéria ekolog</w:t>
      </w:r>
      <w:r w:rsidR="00CF7592">
        <w:t>ická, technická a ekonomická. Vždy</w:t>
      </w:r>
      <w:r w:rsidRPr="00712789">
        <w:t xml:space="preserve"> bude posuzován soul</w:t>
      </w:r>
      <w:r w:rsidR="00E83B79">
        <w:t>ad s příslušnými strategiemi na </w:t>
      </w:r>
      <w:r w:rsidR="000D4BCA">
        <w:t>evropské, národní a </w:t>
      </w:r>
      <w:r w:rsidRPr="00712789">
        <w:t>regionální úrovni.</w:t>
      </w:r>
      <w:r w:rsidR="00914A75">
        <w:t xml:space="preserve"> Zejména budou uplatňovány principy likvidace zdroje znečištění ve vztahu na stav vodních útvarů a ke zdrojům vody pro pitné účely (ochranná pásma).</w:t>
      </w:r>
    </w:p>
    <w:p w:rsidR="00645DED" w:rsidRPr="00712789" w:rsidRDefault="001F0B4D" w:rsidP="00ED5933">
      <w:r w:rsidRPr="00712789">
        <w:t>Při hodnocení a výběru projektů bude posuzována rovněž problematika horizontálních témat (rovné příležitosti a nediskriminace, rovnost žen a mužů a udržitelný rozvoj). Projekt, u kterého bude identifikován negativní dopad na uvedená horizontální témata, nebude moci být podpořen z prostředků OPŽP.</w:t>
      </w:r>
    </w:p>
    <w:p w:rsidR="001F0B4D" w:rsidRDefault="001F0B4D" w:rsidP="00ED5933">
      <w:r w:rsidRPr="00712789">
        <w:t>Podrobné informace o kritériích pro výběr projektů k podpoře budou uvedeny v návazné řídící dokumentaci.</w:t>
      </w:r>
    </w:p>
    <w:p w:rsidR="00ED5933" w:rsidRDefault="00ED5933" w:rsidP="00ED5933">
      <w:pPr>
        <w:rPr>
          <w:rFonts w:asciiTheme="majorHAnsi" w:eastAsia="TimesNewRomanPSMT" w:hAnsiTheme="majorHAnsi" w:cs="TimesNewRomanPSMT"/>
        </w:rPr>
      </w:pPr>
      <w:r>
        <w:rPr>
          <w:rFonts w:asciiTheme="majorHAnsi" w:eastAsia="TimesNewRomanPSMT" w:hAnsiTheme="majorHAnsi" w:cs="TimesNewRomanPSMT"/>
        </w:rPr>
        <w:t>Soulad se státní politikou plánování v oblasti vod, tvořenou zpracovaným Plánem hlavních povodí České republiky a navazujícími plány národní části mezinárodní oblasti povodí a plány oblastí povodí včetně programů opatření (pro období do 22. 12. 2015), po roce 22. 12. 2015 tvořenou zpracovávanými Národními plány povodí včetně programů opatření.</w:t>
      </w:r>
    </w:p>
    <w:p w:rsidR="00ED5933" w:rsidRDefault="00ED5933" w:rsidP="00ED5933">
      <w:r w:rsidRPr="00127754">
        <w:t>Soulad projektu se zpracovaným Plánem rozvoje vodovodů a kanalizací území krajů.</w:t>
      </w:r>
    </w:p>
    <w:p w:rsidR="00ED5933" w:rsidRDefault="00ED5933" w:rsidP="00ED5933">
      <w:r w:rsidRPr="00127754">
        <w:t>Realizací projektů dojde k poklesu vypouštěného znečištění v komunálních odpadních vodách</w:t>
      </w:r>
      <w:r w:rsidRPr="00E634B8">
        <w:t>,</w:t>
      </w:r>
      <w:r w:rsidRPr="00127754">
        <w:t xml:space="preserve"> </w:t>
      </w:r>
      <w:r w:rsidRPr="00E634B8">
        <w:t>z</w:t>
      </w:r>
      <w:r w:rsidRPr="00127754">
        <w:t>a předpokladu pozitivního efektu na snížení vypouštěného znečištění</w:t>
      </w:r>
      <w:r w:rsidRPr="00E634B8">
        <w:t>.</w:t>
      </w:r>
    </w:p>
    <w:p w:rsidR="00ED5933" w:rsidRDefault="00ED5933" w:rsidP="00ED5933">
      <w:r w:rsidRPr="00127754">
        <w:t>Projekty řešící rekonstrukci ČOV jsou přijatelné pouze v souvislosti s intenzifikací nebo změnou kapacity ČOV při současném zvýšení účinnosti ČOV.</w:t>
      </w:r>
    </w:p>
    <w:p w:rsidR="00ED5933" w:rsidRDefault="00ED5933" w:rsidP="00ED5933">
      <w:r w:rsidRPr="00127754">
        <w:lastRenderedPageBreak/>
        <w:t>Projektem dojde k zabezpečení zásobování obyvatel pitnou vodou v dostatečném množství, popř. ve zlepšené kvalitě, nebo bude umožněno zásobování většího počtu obyvatel kvalitní pitnou vodou</w:t>
      </w:r>
      <w:r w:rsidRPr="00E634B8">
        <w:t xml:space="preserve"> v oblastech, kde dochází k</w:t>
      </w:r>
      <w:r w:rsidRPr="00127754">
        <w:t> neplnění požadavků</w:t>
      </w:r>
      <w:r w:rsidRPr="00E634B8">
        <w:t xml:space="preserve"> na jakost surové vody dle směrnice 98/83/ES</w:t>
      </w:r>
      <w:r>
        <w:t>, nebo kde lze předpokládat postupné zhoršování kvantity i kvality vodních zdrojů.</w:t>
      </w:r>
    </w:p>
    <w:p w:rsidR="00ED5933" w:rsidRDefault="00ED5933" w:rsidP="00ED5933">
      <w:r w:rsidRPr="00127754">
        <w:t>Realizací projektů z oblasti podpory 1.2: dojde k</w:t>
      </w:r>
      <w:r w:rsidRPr="00E634B8">
        <w:t>e snížení objemu přímého odtoku</w:t>
      </w:r>
      <w:r w:rsidRPr="00127754">
        <w:t xml:space="preserve"> ředěných</w:t>
      </w:r>
      <w:r w:rsidRPr="00E634B8">
        <w:t xml:space="preserve"> </w:t>
      </w:r>
      <w:r w:rsidRPr="00127754">
        <w:t>splaškových vod srážkovými vodami z jednotné kanalizace přímo do vodních nádrží.</w:t>
      </w:r>
    </w:p>
    <w:p w:rsidR="00ED5933" w:rsidRDefault="00ED5933" w:rsidP="00ED5933">
      <w:r w:rsidRPr="00127754">
        <w:t>Projekt musí mít prokazatelný dlouhodobý efekt na snížení eutrofizace povrchových vod. Jeho nedílnou součástí je přesná specifikace cílového stavu, kterého</w:t>
      </w:r>
      <w:r>
        <w:t xml:space="preserve"> je zamýšleno dosáhnout spolu s </w:t>
      </w:r>
      <w:r w:rsidRPr="00127754">
        <w:t>definicí cílových parametrů.</w:t>
      </w:r>
    </w:p>
    <w:p w:rsidR="00ED5933" w:rsidRDefault="00ED5933" w:rsidP="00ED5933">
      <w:r w:rsidRPr="00127754">
        <w:t xml:space="preserve">Realizací technických opatření u stávajících ČOV a vodních děl k zachycení sedimentů musí dojít k prokazatelnému dlouhodobému snížení vnosu </w:t>
      </w:r>
      <w:proofErr w:type="spellStart"/>
      <w:r w:rsidRPr="00127754">
        <w:t>nutrientů</w:t>
      </w:r>
      <w:proofErr w:type="spellEnd"/>
      <w:r>
        <w:t xml:space="preserve"> do nádrží (především fosfor) a </w:t>
      </w:r>
      <w:r w:rsidRPr="00127754">
        <w:t>přispěje ke zlepšení stavu dotčeného vodního útvaru.</w:t>
      </w:r>
    </w:p>
    <w:p w:rsidR="00ED5933" w:rsidRDefault="00ED5933" w:rsidP="00ED5933">
      <w:r w:rsidRPr="00127754">
        <w:t>Biologická a další technická opatření k dlouhodobému snížení e</w:t>
      </w:r>
      <w:r>
        <w:t>utrofizace povrchových vod ve </w:t>
      </w:r>
      <w:r w:rsidRPr="00127754">
        <w:t>vodních nádržích lze podporovat pouze v případě, že jsou součástí komplexního řešení celého dílčího povodí nad vodní nádrží (jehož součástí by mělo být především omezení smyvu, tj. přísunu živin P, N ze zemědělských pozemků) a v příslušném povodí je zajištěna likvidace odpadních vod z bodových zdrojů znečištění dle požadavků právních předpisů. Těžba sedimentů bude podporována pouze lokálně po prokázání její nezbytnosti.</w:t>
      </w:r>
    </w:p>
    <w:p w:rsidR="00ED5933" w:rsidRPr="00ED5933" w:rsidRDefault="00ED5933" w:rsidP="00ED5933">
      <w:r w:rsidRPr="00127754">
        <w:t>Projekt musí prokázat komplexnost a účinnost navrhovaných o</w:t>
      </w:r>
      <w:r>
        <w:t>patření porovnáním stavu před a </w:t>
      </w:r>
      <w:r w:rsidRPr="00127754">
        <w:t>po aplikaci opatření s minimálním negativním dopadem na vodní a na vodu vázaný ekosystém a bez ohrožení lidského zdraví (sledovat především ovlivnění fyzikálně-chemických podmínek, toxicitu, redukci rybí obsádky, ohrožení vodní fauny a flóry – chráněné druhy, další negativní efekty v ekosystému: zápach, zbarvení vody apod.).</w:t>
      </w:r>
    </w:p>
    <w:p w:rsidR="00BB23A1" w:rsidRDefault="00BB23A1" w:rsidP="00165854">
      <w:pPr>
        <w:pStyle w:val="Nadpis5"/>
      </w:pPr>
      <w:bookmarkStart w:id="2313" w:name="_Toc392150983"/>
      <w:r w:rsidRPr="004314F4">
        <w:t>Plánované využití finančních nástrojů</w:t>
      </w:r>
      <w:bookmarkEnd w:id="2313"/>
    </w:p>
    <w:p w:rsidR="00BB23A1" w:rsidRPr="004314F4" w:rsidRDefault="005727DB" w:rsidP="00B66FDE">
      <w:r>
        <w:t> </w:t>
      </w:r>
      <w:r w:rsidR="0033290F" w:rsidRPr="0033290F">
        <w:rPr>
          <w:rFonts w:cs="Helv"/>
          <w:color w:val="000000"/>
        </w:rPr>
        <w:t>V rámci této prioritní osy se s využitím finančního nástroje uvažuje a bude blíže specifikováno na základě výsledků ex-ante hodnocení.</w:t>
      </w:r>
    </w:p>
    <w:p w:rsidR="00BB23A1" w:rsidRDefault="00FE759F" w:rsidP="00165854">
      <w:pPr>
        <w:pStyle w:val="Nadpis5"/>
      </w:pPr>
      <w:bookmarkStart w:id="2314" w:name="_Toc392150984"/>
      <w:r>
        <w:t>Plánované využití</w:t>
      </w:r>
      <w:r w:rsidRPr="004314F4">
        <w:t xml:space="preserve"> </w:t>
      </w:r>
      <w:r w:rsidR="00BB23A1" w:rsidRPr="004314F4">
        <w:t>velkých projektů</w:t>
      </w:r>
      <w:bookmarkEnd w:id="2314"/>
    </w:p>
    <w:p w:rsidR="00BD4553" w:rsidRDefault="00576C23" w:rsidP="00B66FDE">
      <w:r w:rsidRPr="004314F4">
        <w:t xml:space="preserve">V rámci Prioritní osy 1 se </w:t>
      </w:r>
      <w:r w:rsidR="00E00AA9">
        <w:t>v současné chvíli ne</w:t>
      </w:r>
      <w:r w:rsidRPr="004314F4">
        <w:t>pře</w:t>
      </w:r>
      <w:r w:rsidR="00EF0CBE">
        <w:t>d</w:t>
      </w:r>
      <w:r w:rsidRPr="004314F4">
        <w:t xml:space="preserve">pokládá </w:t>
      </w:r>
      <w:r w:rsidR="00E00AA9">
        <w:t xml:space="preserve">realizace </w:t>
      </w:r>
      <w:r w:rsidRPr="004314F4">
        <w:t xml:space="preserve">velkého projektu. </w:t>
      </w:r>
    </w:p>
    <w:p w:rsidR="004B6C19" w:rsidRDefault="004B6C19" w:rsidP="00B66FDE"/>
    <w:p w:rsidR="00724DAE" w:rsidRDefault="00724DAE" w:rsidP="00B66FDE"/>
    <w:p w:rsidR="004B6C19" w:rsidRPr="004314F4" w:rsidRDefault="004B6C19" w:rsidP="00B66FDE"/>
    <w:p w:rsidR="00685842" w:rsidRDefault="00FE759F" w:rsidP="00165854">
      <w:pPr>
        <w:pStyle w:val="Nadpis5"/>
      </w:pPr>
      <w:bookmarkStart w:id="2315" w:name="_Toc392150985"/>
      <w:r>
        <w:lastRenderedPageBreak/>
        <w:t>Ukazatele výstupů podle investiční priority</w:t>
      </w:r>
      <w:r w:rsidR="008E6B35">
        <w:t xml:space="preserve"> a </w:t>
      </w:r>
      <w:r w:rsidR="000D311F">
        <w:t>případně podle kategorie regionů</w:t>
      </w:r>
      <w:bookmarkEnd w:id="2315"/>
      <w:r w:rsidR="000D311F">
        <w:t xml:space="preserve"> </w:t>
      </w:r>
    </w:p>
    <w:p w:rsidR="00BB23A1" w:rsidRPr="004314F4" w:rsidRDefault="00BA4D81" w:rsidP="00F07BD5">
      <w:pPr>
        <w:pStyle w:val="Titulek"/>
      </w:pPr>
      <w:bookmarkStart w:id="2316" w:name="_Toc384907327"/>
      <w:r w:rsidRPr="004314F4">
        <w:t xml:space="preserve">Společné </w:t>
      </w:r>
      <w:r w:rsidR="00B81133" w:rsidRPr="004314F4">
        <w:t xml:space="preserve">a specifické </w:t>
      </w:r>
      <w:r w:rsidR="00175A68">
        <w:t xml:space="preserve">programové </w:t>
      </w:r>
      <w:r w:rsidR="00B81133" w:rsidRPr="004314F4">
        <w:t>indikátory výstup</w:t>
      </w:r>
      <w:r w:rsidR="00FE759F">
        <w:t>ů</w:t>
      </w:r>
      <w:r w:rsidR="00B81133" w:rsidRPr="004314F4">
        <w:rPr>
          <w:noProof/>
        </w:rPr>
        <w:t xml:space="preserve"> </w:t>
      </w:r>
      <w:r w:rsidR="00783F24">
        <w:rPr>
          <w:noProof/>
        </w:rPr>
        <w:t>SC 1.1 a SC 1.2</w:t>
      </w:r>
      <w:bookmarkEnd w:id="2316"/>
    </w:p>
    <w:tbl>
      <w:tblPr>
        <w:tblStyle w:val="Mkatabulky"/>
        <w:tblW w:w="9072" w:type="dxa"/>
        <w:tblInd w:w="108" w:type="dxa"/>
        <w:tblLayout w:type="fixed"/>
        <w:tblLook w:val="04A0" w:firstRow="1" w:lastRow="0" w:firstColumn="1" w:lastColumn="0" w:noHBand="0" w:noVBand="1"/>
      </w:tblPr>
      <w:tblGrid>
        <w:gridCol w:w="567"/>
        <w:gridCol w:w="1276"/>
        <w:gridCol w:w="1134"/>
        <w:gridCol w:w="851"/>
        <w:gridCol w:w="1275"/>
        <w:gridCol w:w="1134"/>
        <w:gridCol w:w="851"/>
        <w:gridCol w:w="1984"/>
      </w:tblGrid>
      <w:tr w:rsidR="00D51D84" w:rsidRPr="00CF0CBF" w:rsidTr="00D51D84">
        <w:tc>
          <w:tcPr>
            <w:tcW w:w="567" w:type="dxa"/>
            <w:tcBorders>
              <w:bottom w:val="single" w:sz="12" w:space="0" w:color="auto"/>
            </w:tcBorders>
            <w:shd w:val="clear" w:color="auto" w:fill="BFBFBF" w:themeFill="background1" w:themeFillShade="BF"/>
          </w:tcPr>
          <w:p w:rsidR="0031723B" w:rsidRPr="002F367B" w:rsidRDefault="0031723B" w:rsidP="00B66FDE">
            <w:pPr>
              <w:rPr>
                <w:b/>
                <w:sz w:val="20"/>
                <w:szCs w:val="20"/>
              </w:rPr>
            </w:pPr>
            <w:r w:rsidRPr="002F367B">
              <w:rPr>
                <w:b/>
                <w:sz w:val="20"/>
                <w:szCs w:val="20"/>
              </w:rPr>
              <w:t xml:space="preserve">ID </w:t>
            </w:r>
          </w:p>
        </w:tc>
        <w:tc>
          <w:tcPr>
            <w:tcW w:w="1276" w:type="dxa"/>
            <w:tcBorders>
              <w:bottom w:val="single" w:sz="12" w:space="0" w:color="auto"/>
            </w:tcBorders>
            <w:shd w:val="clear" w:color="auto" w:fill="BFBFBF" w:themeFill="background1" w:themeFillShade="BF"/>
          </w:tcPr>
          <w:p w:rsidR="0031723B" w:rsidRPr="002F367B" w:rsidRDefault="0033290F" w:rsidP="00B66FDE">
            <w:pPr>
              <w:spacing w:line="276" w:lineRule="auto"/>
              <w:rPr>
                <w:b/>
                <w:sz w:val="20"/>
                <w:szCs w:val="20"/>
              </w:rPr>
            </w:pPr>
            <w:r w:rsidRPr="0033290F">
              <w:rPr>
                <w:b/>
                <w:sz w:val="20"/>
                <w:szCs w:val="20"/>
              </w:rPr>
              <w:t>Ukazatel</w:t>
            </w:r>
          </w:p>
        </w:tc>
        <w:tc>
          <w:tcPr>
            <w:tcW w:w="1134" w:type="dxa"/>
            <w:tcBorders>
              <w:bottom w:val="single" w:sz="12" w:space="0" w:color="auto"/>
            </w:tcBorders>
            <w:shd w:val="clear" w:color="auto" w:fill="BFBFBF" w:themeFill="background1" w:themeFillShade="BF"/>
          </w:tcPr>
          <w:p w:rsidR="0031723B" w:rsidRPr="002F367B" w:rsidRDefault="0033290F" w:rsidP="00B66FDE">
            <w:pPr>
              <w:spacing w:line="276" w:lineRule="auto"/>
              <w:rPr>
                <w:b/>
                <w:sz w:val="20"/>
                <w:szCs w:val="20"/>
              </w:rPr>
            </w:pPr>
            <w:r w:rsidRPr="0033290F">
              <w:rPr>
                <w:b/>
                <w:sz w:val="20"/>
                <w:szCs w:val="20"/>
              </w:rPr>
              <w:t>Měrná jednotka</w:t>
            </w:r>
          </w:p>
        </w:tc>
        <w:tc>
          <w:tcPr>
            <w:tcW w:w="851" w:type="dxa"/>
            <w:tcBorders>
              <w:bottom w:val="single" w:sz="12" w:space="0" w:color="auto"/>
            </w:tcBorders>
            <w:shd w:val="clear" w:color="auto" w:fill="BFBFBF" w:themeFill="background1" w:themeFillShade="BF"/>
          </w:tcPr>
          <w:p w:rsidR="0031723B" w:rsidRPr="002F367B" w:rsidRDefault="0033290F" w:rsidP="00B66FDE">
            <w:pPr>
              <w:spacing w:line="276" w:lineRule="auto"/>
              <w:rPr>
                <w:b/>
                <w:sz w:val="20"/>
                <w:szCs w:val="20"/>
              </w:rPr>
            </w:pPr>
            <w:r w:rsidRPr="0033290F">
              <w:rPr>
                <w:b/>
                <w:sz w:val="20"/>
                <w:szCs w:val="20"/>
              </w:rPr>
              <w:t>Fond</w:t>
            </w:r>
          </w:p>
        </w:tc>
        <w:tc>
          <w:tcPr>
            <w:tcW w:w="1275" w:type="dxa"/>
            <w:tcBorders>
              <w:bottom w:val="single" w:sz="12" w:space="0" w:color="auto"/>
            </w:tcBorders>
            <w:shd w:val="clear" w:color="auto" w:fill="BFBFBF" w:themeFill="background1" w:themeFillShade="BF"/>
          </w:tcPr>
          <w:p w:rsidR="0031723B" w:rsidRPr="002F367B" w:rsidRDefault="0033290F" w:rsidP="00B66FDE">
            <w:pPr>
              <w:spacing w:line="276" w:lineRule="auto"/>
              <w:rPr>
                <w:b/>
                <w:sz w:val="20"/>
                <w:szCs w:val="20"/>
              </w:rPr>
            </w:pPr>
            <w:r w:rsidRPr="0033290F">
              <w:rPr>
                <w:b/>
                <w:sz w:val="20"/>
                <w:szCs w:val="20"/>
              </w:rPr>
              <w:t>Kategorie regionů</w:t>
            </w:r>
          </w:p>
        </w:tc>
        <w:tc>
          <w:tcPr>
            <w:tcW w:w="1134" w:type="dxa"/>
            <w:tcBorders>
              <w:bottom w:val="single" w:sz="12" w:space="0" w:color="auto"/>
            </w:tcBorders>
            <w:shd w:val="clear" w:color="auto" w:fill="BFBFBF" w:themeFill="background1" w:themeFillShade="BF"/>
          </w:tcPr>
          <w:p w:rsidR="0031723B" w:rsidRPr="002F367B" w:rsidRDefault="0033290F" w:rsidP="00B66FDE">
            <w:pPr>
              <w:spacing w:line="276" w:lineRule="auto"/>
              <w:rPr>
                <w:b/>
                <w:sz w:val="20"/>
                <w:szCs w:val="20"/>
              </w:rPr>
            </w:pPr>
            <w:r w:rsidRPr="0033290F">
              <w:rPr>
                <w:b/>
                <w:sz w:val="20"/>
                <w:szCs w:val="20"/>
              </w:rPr>
              <w:t>Cílová hodnota (2023)</w:t>
            </w:r>
          </w:p>
        </w:tc>
        <w:tc>
          <w:tcPr>
            <w:tcW w:w="851" w:type="dxa"/>
            <w:tcBorders>
              <w:bottom w:val="single" w:sz="12" w:space="0" w:color="auto"/>
            </w:tcBorders>
            <w:shd w:val="clear" w:color="auto" w:fill="BFBFBF" w:themeFill="background1" w:themeFillShade="BF"/>
          </w:tcPr>
          <w:p w:rsidR="0031723B" w:rsidRPr="002F367B" w:rsidRDefault="0033290F" w:rsidP="00B66FDE">
            <w:pPr>
              <w:spacing w:line="276" w:lineRule="auto"/>
              <w:rPr>
                <w:b/>
                <w:sz w:val="20"/>
                <w:szCs w:val="20"/>
              </w:rPr>
            </w:pPr>
            <w:r w:rsidRPr="0033290F">
              <w:rPr>
                <w:b/>
                <w:sz w:val="20"/>
                <w:szCs w:val="20"/>
              </w:rPr>
              <w:t>Zdroj údajů</w:t>
            </w:r>
          </w:p>
        </w:tc>
        <w:tc>
          <w:tcPr>
            <w:tcW w:w="1984" w:type="dxa"/>
            <w:tcBorders>
              <w:bottom w:val="single" w:sz="12" w:space="0" w:color="auto"/>
            </w:tcBorders>
            <w:shd w:val="clear" w:color="auto" w:fill="BFBFBF" w:themeFill="background1" w:themeFillShade="BF"/>
          </w:tcPr>
          <w:p w:rsidR="0031723B" w:rsidRPr="002F367B" w:rsidRDefault="0033290F" w:rsidP="00B66FDE">
            <w:pPr>
              <w:spacing w:line="276" w:lineRule="auto"/>
              <w:rPr>
                <w:b/>
                <w:sz w:val="20"/>
                <w:szCs w:val="20"/>
              </w:rPr>
            </w:pPr>
            <w:r w:rsidRPr="0033290F">
              <w:rPr>
                <w:b/>
                <w:sz w:val="20"/>
                <w:szCs w:val="20"/>
              </w:rPr>
              <w:t>Četnost podávání zpráv</w:t>
            </w:r>
          </w:p>
        </w:tc>
      </w:tr>
      <w:tr w:rsidR="0031723B" w:rsidRPr="00CF0CBF" w:rsidTr="00D51D84">
        <w:tc>
          <w:tcPr>
            <w:tcW w:w="567" w:type="dxa"/>
            <w:tcBorders>
              <w:top w:val="single" w:sz="12" w:space="0" w:color="auto"/>
            </w:tcBorders>
          </w:tcPr>
          <w:p w:rsidR="0031723B" w:rsidRPr="002F367B" w:rsidRDefault="008F4F34" w:rsidP="00B66FDE">
            <w:pPr>
              <w:rPr>
                <w:sz w:val="20"/>
                <w:szCs w:val="20"/>
              </w:rPr>
            </w:pPr>
            <w:r>
              <w:rPr>
                <w:sz w:val="20"/>
                <w:szCs w:val="20"/>
              </w:rPr>
              <w:t>422</w:t>
            </w:r>
            <w:r w:rsidRPr="008F4F34">
              <w:rPr>
                <w:sz w:val="20"/>
                <w:szCs w:val="20"/>
              </w:rPr>
              <w:t>01</w:t>
            </w:r>
          </w:p>
        </w:tc>
        <w:tc>
          <w:tcPr>
            <w:tcW w:w="1276" w:type="dxa"/>
            <w:tcBorders>
              <w:top w:val="single" w:sz="12" w:space="0" w:color="auto"/>
            </w:tcBorders>
          </w:tcPr>
          <w:p w:rsidR="0031723B" w:rsidRPr="002F367B" w:rsidRDefault="0031723B" w:rsidP="00B66FDE">
            <w:pPr>
              <w:rPr>
                <w:bCs/>
                <w:sz w:val="20"/>
                <w:szCs w:val="20"/>
              </w:rPr>
            </w:pPr>
            <w:r w:rsidRPr="002F367B">
              <w:rPr>
                <w:bCs/>
                <w:sz w:val="20"/>
                <w:szCs w:val="20"/>
              </w:rPr>
              <w:t xml:space="preserve">Délka nově vybudovaných kanalizací </w:t>
            </w:r>
          </w:p>
        </w:tc>
        <w:tc>
          <w:tcPr>
            <w:tcW w:w="1134" w:type="dxa"/>
            <w:tcBorders>
              <w:top w:val="single" w:sz="12" w:space="0" w:color="auto"/>
            </w:tcBorders>
          </w:tcPr>
          <w:p w:rsidR="0031723B" w:rsidRPr="002F367B" w:rsidRDefault="0033290F" w:rsidP="00B66FDE">
            <w:pPr>
              <w:spacing w:line="276" w:lineRule="auto"/>
              <w:rPr>
                <w:bCs/>
                <w:sz w:val="20"/>
                <w:szCs w:val="20"/>
              </w:rPr>
            </w:pPr>
            <w:r w:rsidRPr="0033290F">
              <w:rPr>
                <w:bCs/>
                <w:sz w:val="20"/>
                <w:szCs w:val="20"/>
              </w:rPr>
              <w:t>km</w:t>
            </w:r>
          </w:p>
        </w:tc>
        <w:tc>
          <w:tcPr>
            <w:tcW w:w="851" w:type="dxa"/>
            <w:tcBorders>
              <w:top w:val="single" w:sz="12" w:space="0" w:color="auto"/>
            </w:tcBorders>
          </w:tcPr>
          <w:p w:rsidR="0031723B" w:rsidRPr="002F367B" w:rsidRDefault="0033290F" w:rsidP="00B66FDE">
            <w:pPr>
              <w:spacing w:line="276" w:lineRule="auto"/>
              <w:rPr>
                <w:sz w:val="20"/>
                <w:szCs w:val="20"/>
              </w:rPr>
            </w:pPr>
            <w:r w:rsidRPr="0033290F">
              <w:rPr>
                <w:sz w:val="20"/>
                <w:szCs w:val="20"/>
              </w:rPr>
              <w:t>FS</w:t>
            </w:r>
          </w:p>
        </w:tc>
        <w:tc>
          <w:tcPr>
            <w:tcW w:w="1275" w:type="dxa"/>
            <w:tcBorders>
              <w:top w:val="single" w:sz="12" w:space="0" w:color="auto"/>
            </w:tcBorders>
          </w:tcPr>
          <w:p w:rsidR="0031723B" w:rsidRPr="002F367B" w:rsidRDefault="0033290F" w:rsidP="00B66FDE">
            <w:pPr>
              <w:spacing w:line="276" w:lineRule="auto"/>
              <w:rPr>
                <w:sz w:val="20"/>
                <w:szCs w:val="20"/>
              </w:rPr>
            </w:pPr>
            <w:r w:rsidRPr="0033290F">
              <w:rPr>
                <w:sz w:val="20"/>
                <w:szCs w:val="20"/>
              </w:rPr>
              <w:t>Není relevantní</w:t>
            </w:r>
          </w:p>
        </w:tc>
        <w:tc>
          <w:tcPr>
            <w:tcW w:w="1134" w:type="dxa"/>
            <w:tcBorders>
              <w:top w:val="single" w:sz="12" w:space="0" w:color="auto"/>
            </w:tcBorders>
          </w:tcPr>
          <w:p w:rsidR="0031723B" w:rsidRPr="002F367B" w:rsidRDefault="0033290F" w:rsidP="00B66FDE">
            <w:pPr>
              <w:spacing w:line="276" w:lineRule="auto"/>
              <w:rPr>
                <w:sz w:val="20"/>
                <w:szCs w:val="20"/>
              </w:rPr>
            </w:pPr>
            <w:r w:rsidRPr="0033290F">
              <w:rPr>
                <w:sz w:val="20"/>
                <w:szCs w:val="20"/>
              </w:rPr>
              <w:t>350</w:t>
            </w:r>
          </w:p>
        </w:tc>
        <w:tc>
          <w:tcPr>
            <w:tcW w:w="851" w:type="dxa"/>
            <w:tcBorders>
              <w:top w:val="single" w:sz="12" w:space="0" w:color="auto"/>
            </w:tcBorders>
          </w:tcPr>
          <w:p w:rsidR="0031723B" w:rsidRPr="002F367B" w:rsidRDefault="0033290F" w:rsidP="00B66FDE">
            <w:pPr>
              <w:spacing w:line="276" w:lineRule="auto"/>
              <w:rPr>
                <w:sz w:val="20"/>
                <w:szCs w:val="20"/>
              </w:rPr>
            </w:pPr>
            <w:r w:rsidRPr="0033290F">
              <w:rPr>
                <w:sz w:val="20"/>
                <w:szCs w:val="20"/>
              </w:rPr>
              <w:t>Žadatel/Příjemce</w:t>
            </w:r>
          </w:p>
        </w:tc>
        <w:tc>
          <w:tcPr>
            <w:tcW w:w="1984" w:type="dxa"/>
            <w:tcBorders>
              <w:top w:val="single" w:sz="12" w:space="0" w:color="auto"/>
            </w:tcBorders>
          </w:tcPr>
          <w:p w:rsidR="0031723B" w:rsidRPr="002F367B" w:rsidRDefault="0033290F" w:rsidP="00B66FDE">
            <w:pPr>
              <w:spacing w:line="276" w:lineRule="auto"/>
              <w:rPr>
                <w:sz w:val="20"/>
                <w:szCs w:val="20"/>
              </w:rPr>
            </w:pPr>
            <w:r w:rsidRPr="0033290F">
              <w:rPr>
                <w:rFonts w:asciiTheme="majorHAnsi" w:hAnsiTheme="majorHAnsi"/>
                <w:bCs/>
                <w:sz w:val="20"/>
                <w:szCs w:val="20"/>
              </w:rPr>
              <w:t>Průběžně</w:t>
            </w:r>
          </w:p>
        </w:tc>
      </w:tr>
      <w:tr w:rsidR="0031723B" w:rsidRPr="00CF0CBF" w:rsidTr="00D51D84">
        <w:tc>
          <w:tcPr>
            <w:tcW w:w="567" w:type="dxa"/>
          </w:tcPr>
          <w:p w:rsidR="0031723B" w:rsidRPr="002F367B" w:rsidRDefault="008F4F34" w:rsidP="00B66FDE">
            <w:pPr>
              <w:rPr>
                <w:sz w:val="20"/>
                <w:szCs w:val="20"/>
              </w:rPr>
            </w:pPr>
            <w:r>
              <w:rPr>
                <w:sz w:val="20"/>
                <w:szCs w:val="20"/>
              </w:rPr>
              <w:t>420</w:t>
            </w:r>
            <w:r w:rsidRPr="008F4F34">
              <w:rPr>
                <w:sz w:val="20"/>
                <w:szCs w:val="20"/>
              </w:rPr>
              <w:t>04</w:t>
            </w:r>
          </w:p>
        </w:tc>
        <w:tc>
          <w:tcPr>
            <w:tcW w:w="1276" w:type="dxa"/>
          </w:tcPr>
          <w:p w:rsidR="0031723B" w:rsidRPr="002F367B" w:rsidRDefault="0031723B" w:rsidP="00B66FDE">
            <w:pPr>
              <w:spacing w:line="276" w:lineRule="auto"/>
              <w:rPr>
                <w:sz w:val="20"/>
                <w:szCs w:val="20"/>
              </w:rPr>
            </w:pPr>
            <w:r w:rsidRPr="002F367B">
              <w:rPr>
                <w:bCs/>
                <w:sz w:val="20"/>
                <w:szCs w:val="20"/>
              </w:rPr>
              <w:t>Délka nově vybudovaných rozvodných sítí pro pitnou vodu (bez přípojek)</w:t>
            </w:r>
          </w:p>
        </w:tc>
        <w:tc>
          <w:tcPr>
            <w:tcW w:w="1134" w:type="dxa"/>
          </w:tcPr>
          <w:p w:rsidR="0031723B" w:rsidRPr="002F367B" w:rsidRDefault="0033290F" w:rsidP="00B66FDE">
            <w:pPr>
              <w:spacing w:line="276" w:lineRule="auto"/>
              <w:rPr>
                <w:bCs/>
                <w:sz w:val="20"/>
                <w:szCs w:val="20"/>
              </w:rPr>
            </w:pPr>
            <w:r w:rsidRPr="0033290F">
              <w:rPr>
                <w:bCs/>
                <w:sz w:val="20"/>
                <w:szCs w:val="20"/>
              </w:rPr>
              <w:t>km</w:t>
            </w:r>
          </w:p>
        </w:tc>
        <w:tc>
          <w:tcPr>
            <w:tcW w:w="851" w:type="dxa"/>
          </w:tcPr>
          <w:p w:rsidR="0031723B" w:rsidRPr="002F367B" w:rsidRDefault="0033290F" w:rsidP="00B66FDE">
            <w:pPr>
              <w:spacing w:line="276" w:lineRule="auto"/>
              <w:rPr>
                <w:sz w:val="20"/>
                <w:szCs w:val="20"/>
              </w:rPr>
            </w:pPr>
            <w:r w:rsidRPr="0033290F">
              <w:rPr>
                <w:sz w:val="20"/>
                <w:szCs w:val="20"/>
              </w:rPr>
              <w:t>FS</w:t>
            </w:r>
          </w:p>
        </w:tc>
        <w:tc>
          <w:tcPr>
            <w:tcW w:w="1275" w:type="dxa"/>
          </w:tcPr>
          <w:p w:rsidR="0031723B" w:rsidRPr="002F367B" w:rsidRDefault="0033290F" w:rsidP="00B66FDE">
            <w:pPr>
              <w:spacing w:line="276" w:lineRule="auto"/>
              <w:rPr>
                <w:sz w:val="20"/>
                <w:szCs w:val="20"/>
              </w:rPr>
            </w:pPr>
            <w:r w:rsidRPr="0033290F">
              <w:rPr>
                <w:sz w:val="20"/>
                <w:szCs w:val="20"/>
              </w:rPr>
              <w:t>Není relevantní</w:t>
            </w:r>
          </w:p>
        </w:tc>
        <w:tc>
          <w:tcPr>
            <w:tcW w:w="1134" w:type="dxa"/>
          </w:tcPr>
          <w:p w:rsidR="0031723B" w:rsidRPr="002F367B" w:rsidRDefault="0033290F" w:rsidP="00B66FDE">
            <w:pPr>
              <w:spacing w:line="276" w:lineRule="auto"/>
              <w:rPr>
                <w:sz w:val="20"/>
                <w:szCs w:val="20"/>
              </w:rPr>
            </w:pPr>
            <w:r w:rsidRPr="0033290F">
              <w:rPr>
                <w:sz w:val="20"/>
                <w:szCs w:val="20"/>
              </w:rPr>
              <w:t>100</w:t>
            </w:r>
          </w:p>
        </w:tc>
        <w:tc>
          <w:tcPr>
            <w:tcW w:w="851" w:type="dxa"/>
          </w:tcPr>
          <w:p w:rsidR="0031723B" w:rsidRPr="002F367B" w:rsidRDefault="0033290F" w:rsidP="00B66FDE">
            <w:pPr>
              <w:spacing w:line="276" w:lineRule="auto"/>
              <w:rPr>
                <w:sz w:val="20"/>
                <w:szCs w:val="20"/>
              </w:rPr>
            </w:pPr>
            <w:r w:rsidRPr="0033290F">
              <w:rPr>
                <w:sz w:val="20"/>
                <w:szCs w:val="20"/>
              </w:rPr>
              <w:t>Žadatel/Příjemce</w:t>
            </w:r>
          </w:p>
        </w:tc>
        <w:tc>
          <w:tcPr>
            <w:tcW w:w="1984" w:type="dxa"/>
          </w:tcPr>
          <w:p w:rsidR="0031723B" w:rsidRPr="002F367B" w:rsidRDefault="0033290F" w:rsidP="00B66FDE">
            <w:pPr>
              <w:spacing w:line="276" w:lineRule="auto"/>
              <w:rPr>
                <w:sz w:val="20"/>
                <w:szCs w:val="20"/>
              </w:rPr>
            </w:pPr>
            <w:r w:rsidRPr="0033290F">
              <w:rPr>
                <w:rFonts w:asciiTheme="majorHAnsi" w:hAnsiTheme="majorHAnsi"/>
                <w:bCs/>
                <w:sz w:val="20"/>
                <w:szCs w:val="20"/>
              </w:rPr>
              <w:t>Průběžně</w:t>
            </w:r>
          </w:p>
        </w:tc>
      </w:tr>
      <w:tr w:rsidR="0031723B" w:rsidRPr="00CF0CBF" w:rsidTr="00D51D84">
        <w:trPr>
          <w:trHeight w:val="828"/>
        </w:trPr>
        <w:tc>
          <w:tcPr>
            <w:tcW w:w="567" w:type="dxa"/>
          </w:tcPr>
          <w:p w:rsidR="0031723B" w:rsidRPr="002F367B" w:rsidRDefault="008F4F34" w:rsidP="00B66FDE">
            <w:pPr>
              <w:rPr>
                <w:sz w:val="20"/>
                <w:szCs w:val="20"/>
              </w:rPr>
            </w:pPr>
            <w:r>
              <w:rPr>
                <w:sz w:val="20"/>
                <w:szCs w:val="20"/>
              </w:rPr>
              <w:t>424</w:t>
            </w:r>
            <w:r w:rsidRPr="008F4F34">
              <w:rPr>
                <w:sz w:val="20"/>
                <w:szCs w:val="20"/>
              </w:rPr>
              <w:t>00</w:t>
            </w:r>
          </w:p>
        </w:tc>
        <w:tc>
          <w:tcPr>
            <w:tcW w:w="1276" w:type="dxa"/>
          </w:tcPr>
          <w:p w:rsidR="0031723B" w:rsidRPr="002F367B" w:rsidRDefault="0031723B" w:rsidP="00B66FDE">
            <w:pPr>
              <w:rPr>
                <w:bCs/>
                <w:sz w:val="20"/>
                <w:szCs w:val="20"/>
              </w:rPr>
            </w:pPr>
            <w:r w:rsidRPr="002F367B">
              <w:rPr>
                <w:bCs/>
                <w:sz w:val="20"/>
                <w:szCs w:val="20"/>
              </w:rPr>
              <w:t>Počet opatření realizovaných pro snížení eutrofizace</w:t>
            </w:r>
          </w:p>
        </w:tc>
        <w:tc>
          <w:tcPr>
            <w:tcW w:w="1134" w:type="dxa"/>
          </w:tcPr>
          <w:p w:rsidR="0031723B" w:rsidRPr="002F367B" w:rsidRDefault="0033290F" w:rsidP="00B66FDE">
            <w:pPr>
              <w:spacing w:line="276" w:lineRule="auto"/>
              <w:rPr>
                <w:bCs/>
                <w:sz w:val="20"/>
                <w:szCs w:val="20"/>
              </w:rPr>
            </w:pPr>
            <w:r w:rsidRPr="0033290F">
              <w:rPr>
                <w:bCs/>
                <w:sz w:val="20"/>
                <w:szCs w:val="20"/>
              </w:rPr>
              <w:t>opatření</w:t>
            </w:r>
          </w:p>
        </w:tc>
        <w:tc>
          <w:tcPr>
            <w:tcW w:w="851" w:type="dxa"/>
          </w:tcPr>
          <w:p w:rsidR="0031723B" w:rsidRPr="002F367B" w:rsidRDefault="0033290F" w:rsidP="00B66FDE">
            <w:pPr>
              <w:spacing w:line="276" w:lineRule="auto"/>
              <w:rPr>
                <w:sz w:val="20"/>
                <w:szCs w:val="20"/>
              </w:rPr>
            </w:pPr>
            <w:r w:rsidRPr="0033290F">
              <w:rPr>
                <w:sz w:val="20"/>
                <w:szCs w:val="20"/>
              </w:rPr>
              <w:t>FS</w:t>
            </w:r>
          </w:p>
        </w:tc>
        <w:tc>
          <w:tcPr>
            <w:tcW w:w="1275" w:type="dxa"/>
          </w:tcPr>
          <w:p w:rsidR="0031723B" w:rsidRPr="002F367B" w:rsidRDefault="0033290F" w:rsidP="00B66FDE">
            <w:pPr>
              <w:spacing w:line="276" w:lineRule="auto"/>
              <w:rPr>
                <w:sz w:val="20"/>
                <w:szCs w:val="20"/>
              </w:rPr>
            </w:pPr>
            <w:r w:rsidRPr="0033290F">
              <w:rPr>
                <w:sz w:val="20"/>
                <w:szCs w:val="20"/>
              </w:rPr>
              <w:t>Není relevantní</w:t>
            </w:r>
          </w:p>
        </w:tc>
        <w:tc>
          <w:tcPr>
            <w:tcW w:w="1134" w:type="dxa"/>
          </w:tcPr>
          <w:p w:rsidR="0031723B" w:rsidRPr="002F367B" w:rsidRDefault="0033290F" w:rsidP="00B66FDE">
            <w:pPr>
              <w:spacing w:line="276" w:lineRule="auto"/>
              <w:rPr>
                <w:sz w:val="20"/>
                <w:szCs w:val="20"/>
              </w:rPr>
            </w:pPr>
            <w:r w:rsidRPr="0033290F">
              <w:rPr>
                <w:sz w:val="20"/>
                <w:szCs w:val="20"/>
              </w:rPr>
              <w:t>40</w:t>
            </w:r>
          </w:p>
        </w:tc>
        <w:tc>
          <w:tcPr>
            <w:tcW w:w="851" w:type="dxa"/>
          </w:tcPr>
          <w:p w:rsidR="0031723B" w:rsidRPr="002F367B" w:rsidRDefault="0033290F" w:rsidP="00B66FDE">
            <w:pPr>
              <w:spacing w:line="276" w:lineRule="auto"/>
              <w:rPr>
                <w:sz w:val="20"/>
                <w:szCs w:val="20"/>
              </w:rPr>
            </w:pPr>
            <w:r w:rsidRPr="0033290F">
              <w:rPr>
                <w:sz w:val="20"/>
                <w:szCs w:val="20"/>
              </w:rPr>
              <w:t>Žadatel/Příjemce</w:t>
            </w:r>
          </w:p>
        </w:tc>
        <w:tc>
          <w:tcPr>
            <w:tcW w:w="1984" w:type="dxa"/>
          </w:tcPr>
          <w:p w:rsidR="0031723B" w:rsidRPr="002F367B" w:rsidRDefault="0033290F" w:rsidP="00B66FDE">
            <w:pPr>
              <w:spacing w:line="276" w:lineRule="auto"/>
              <w:rPr>
                <w:sz w:val="20"/>
                <w:szCs w:val="20"/>
              </w:rPr>
            </w:pPr>
            <w:r w:rsidRPr="0033290F">
              <w:rPr>
                <w:rFonts w:asciiTheme="majorHAnsi" w:hAnsiTheme="majorHAnsi"/>
                <w:bCs/>
                <w:sz w:val="20"/>
                <w:szCs w:val="20"/>
              </w:rPr>
              <w:t>Průběžně</w:t>
            </w:r>
          </w:p>
        </w:tc>
      </w:tr>
      <w:tr w:rsidR="0031723B" w:rsidRPr="00CF0CBF" w:rsidTr="00D51D84">
        <w:trPr>
          <w:trHeight w:val="828"/>
        </w:trPr>
        <w:tc>
          <w:tcPr>
            <w:tcW w:w="567" w:type="dxa"/>
          </w:tcPr>
          <w:p w:rsidR="0031723B" w:rsidRPr="002F367B" w:rsidRDefault="008F4F34" w:rsidP="00B66FDE">
            <w:pPr>
              <w:rPr>
                <w:sz w:val="20"/>
                <w:szCs w:val="20"/>
              </w:rPr>
            </w:pPr>
            <w:r>
              <w:rPr>
                <w:rFonts w:asciiTheme="majorHAnsi" w:hAnsiTheme="majorHAnsi"/>
                <w:sz w:val="20"/>
                <w:szCs w:val="20"/>
              </w:rPr>
              <w:t>422</w:t>
            </w:r>
            <w:r w:rsidRPr="008F4F34">
              <w:rPr>
                <w:rFonts w:asciiTheme="majorHAnsi" w:hAnsiTheme="majorHAnsi"/>
                <w:sz w:val="20"/>
                <w:szCs w:val="20"/>
              </w:rPr>
              <w:t>05</w:t>
            </w:r>
          </w:p>
        </w:tc>
        <w:tc>
          <w:tcPr>
            <w:tcW w:w="1276" w:type="dxa"/>
          </w:tcPr>
          <w:p w:rsidR="0031723B" w:rsidRPr="002F367B" w:rsidRDefault="0033290F" w:rsidP="00B66FDE">
            <w:pPr>
              <w:spacing w:line="276" w:lineRule="auto"/>
              <w:rPr>
                <w:bCs/>
                <w:sz w:val="20"/>
                <w:szCs w:val="20"/>
              </w:rPr>
            </w:pPr>
            <w:r w:rsidRPr="0033290F">
              <w:rPr>
                <w:rFonts w:asciiTheme="majorHAnsi" w:hAnsiTheme="majorHAnsi"/>
                <w:bCs/>
                <w:sz w:val="20"/>
                <w:szCs w:val="20"/>
              </w:rPr>
              <w:t>Návrhová kapacita nově vybudovaných, a rekonstruovaných  ČOV</w:t>
            </w:r>
          </w:p>
        </w:tc>
        <w:tc>
          <w:tcPr>
            <w:tcW w:w="1134" w:type="dxa"/>
          </w:tcPr>
          <w:p w:rsidR="0031723B" w:rsidRPr="002F367B" w:rsidRDefault="0033290F" w:rsidP="00B66FDE">
            <w:pPr>
              <w:spacing w:line="276" w:lineRule="auto"/>
              <w:rPr>
                <w:bCs/>
                <w:sz w:val="20"/>
                <w:szCs w:val="20"/>
              </w:rPr>
            </w:pPr>
            <w:r w:rsidRPr="0033290F">
              <w:rPr>
                <w:rFonts w:asciiTheme="majorHAnsi" w:hAnsiTheme="majorHAnsi"/>
                <w:sz w:val="20"/>
                <w:szCs w:val="20"/>
              </w:rPr>
              <w:t>ekvivalentní obyvatel</w:t>
            </w:r>
            <w:r w:rsidR="00857768">
              <w:rPr>
                <w:rFonts w:asciiTheme="majorHAnsi" w:hAnsiTheme="majorHAnsi"/>
                <w:sz w:val="20"/>
                <w:szCs w:val="20"/>
              </w:rPr>
              <w:t>é</w:t>
            </w:r>
          </w:p>
        </w:tc>
        <w:tc>
          <w:tcPr>
            <w:tcW w:w="851" w:type="dxa"/>
          </w:tcPr>
          <w:p w:rsidR="0031723B" w:rsidRPr="002F367B" w:rsidRDefault="0033290F" w:rsidP="00B66FDE">
            <w:pPr>
              <w:spacing w:line="276" w:lineRule="auto"/>
              <w:rPr>
                <w:sz w:val="20"/>
                <w:szCs w:val="20"/>
              </w:rPr>
            </w:pPr>
            <w:r w:rsidRPr="0033290F">
              <w:rPr>
                <w:sz w:val="20"/>
                <w:szCs w:val="20"/>
              </w:rPr>
              <w:t>FS</w:t>
            </w:r>
          </w:p>
        </w:tc>
        <w:tc>
          <w:tcPr>
            <w:tcW w:w="1275" w:type="dxa"/>
          </w:tcPr>
          <w:p w:rsidR="0031723B" w:rsidRPr="002F367B" w:rsidRDefault="0033290F" w:rsidP="00B66FDE">
            <w:pPr>
              <w:spacing w:line="276" w:lineRule="auto"/>
              <w:rPr>
                <w:sz w:val="20"/>
                <w:szCs w:val="20"/>
              </w:rPr>
            </w:pPr>
            <w:r w:rsidRPr="0033290F">
              <w:rPr>
                <w:sz w:val="20"/>
                <w:szCs w:val="20"/>
              </w:rPr>
              <w:t>Není relevantní</w:t>
            </w:r>
          </w:p>
        </w:tc>
        <w:tc>
          <w:tcPr>
            <w:tcW w:w="1134" w:type="dxa"/>
          </w:tcPr>
          <w:p w:rsidR="0031723B" w:rsidRPr="002F367B" w:rsidRDefault="0033290F" w:rsidP="00B66FDE">
            <w:pPr>
              <w:spacing w:line="276" w:lineRule="auto"/>
              <w:rPr>
                <w:sz w:val="20"/>
                <w:szCs w:val="20"/>
              </w:rPr>
            </w:pPr>
            <w:r w:rsidRPr="0033290F">
              <w:rPr>
                <w:sz w:val="20"/>
                <w:szCs w:val="20"/>
              </w:rPr>
              <w:t>60 000</w:t>
            </w:r>
          </w:p>
        </w:tc>
        <w:tc>
          <w:tcPr>
            <w:tcW w:w="851" w:type="dxa"/>
          </w:tcPr>
          <w:p w:rsidR="0031723B" w:rsidRPr="002F367B" w:rsidRDefault="0033290F" w:rsidP="00B66FDE">
            <w:pPr>
              <w:spacing w:line="276" w:lineRule="auto"/>
              <w:rPr>
                <w:sz w:val="20"/>
                <w:szCs w:val="20"/>
              </w:rPr>
            </w:pPr>
            <w:r w:rsidRPr="0033290F">
              <w:rPr>
                <w:sz w:val="20"/>
                <w:szCs w:val="20"/>
              </w:rPr>
              <w:t>Žadatel/Příjemce</w:t>
            </w:r>
          </w:p>
        </w:tc>
        <w:tc>
          <w:tcPr>
            <w:tcW w:w="1984" w:type="dxa"/>
          </w:tcPr>
          <w:p w:rsidR="0031723B" w:rsidRPr="002F367B" w:rsidRDefault="0033290F" w:rsidP="00B66FDE">
            <w:pPr>
              <w:spacing w:line="276" w:lineRule="auto"/>
              <w:rPr>
                <w:sz w:val="20"/>
                <w:szCs w:val="20"/>
              </w:rPr>
            </w:pPr>
            <w:r w:rsidRPr="0033290F">
              <w:rPr>
                <w:rFonts w:asciiTheme="majorHAnsi" w:hAnsiTheme="majorHAnsi"/>
                <w:bCs/>
                <w:sz w:val="20"/>
                <w:szCs w:val="20"/>
              </w:rPr>
              <w:t>Průběžně</w:t>
            </w:r>
          </w:p>
        </w:tc>
      </w:tr>
      <w:tr w:rsidR="0031723B" w:rsidRPr="00CF0CBF" w:rsidTr="00D51D84">
        <w:trPr>
          <w:trHeight w:val="828"/>
        </w:trPr>
        <w:tc>
          <w:tcPr>
            <w:tcW w:w="567" w:type="dxa"/>
          </w:tcPr>
          <w:p w:rsidR="0031723B" w:rsidRPr="002F367B" w:rsidRDefault="008F4F34" w:rsidP="00B66FDE">
            <w:pPr>
              <w:rPr>
                <w:sz w:val="20"/>
                <w:szCs w:val="20"/>
              </w:rPr>
            </w:pPr>
            <w:r>
              <w:rPr>
                <w:sz w:val="20"/>
                <w:szCs w:val="20"/>
              </w:rPr>
              <w:t>425</w:t>
            </w:r>
            <w:r w:rsidRPr="008F4F34">
              <w:rPr>
                <w:sz w:val="20"/>
                <w:szCs w:val="20"/>
              </w:rPr>
              <w:t>01</w:t>
            </w:r>
          </w:p>
        </w:tc>
        <w:tc>
          <w:tcPr>
            <w:tcW w:w="1276" w:type="dxa"/>
          </w:tcPr>
          <w:p w:rsidR="0031723B" w:rsidRPr="002F367B" w:rsidRDefault="0031723B" w:rsidP="00B66FDE">
            <w:pPr>
              <w:spacing w:line="276" w:lineRule="auto"/>
              <w:rPr>
                <w:rFonts w:asciiTheme="majorHAnsi" w:hAnsiTheme="majorHAnsi"/>
                <w:bCs/>
                <w:sz w:val="20"/>
                <w:szCs w:val="20"/>
              </w:rPr>
            </w:pPr>
            <w:r w:rsidRPr="002F367B">
              <w:rPr>
                <w:bCs/>
                <w:sz w:val="20"/>
                <w:szCs w:val="20"/>
              </w:rPr>
              <w:t>Počet odstraněných vrtů</w:t>
            </w:r>
          </w:p>
        </w:tc>
        <w:tc>
          <w:tcPr>
            <w:tcW w:w="1134" w:type="dxa"/>
          </w:tcPr>
          <w:p w:rsidR="0031723B" w:rsidRPr="002F367B" w:rsidRDefault="0033290F" w:rsidP="00857768">
            <w:pPr>
              <w:spacing w:line="276" w:lineRule="auto"/>
              <w:rPr>
                <w:rFonts w:asciiTheme="majorHAnsi" w:hAnsiTheme="majorHAnsi"/>
                <w:sz w:val="20"/>
                <w:szCs w:val="20"/>
              </w:rPr>
            </w:pPr>
            <w:r w:rsidRPr="0033290F">
              <w:rPr>
                <w:rFonts w:asciiTheme="majorHAnsi" w:hAnsiTheme="majorHAnsi"/>
                <w:sz w:val="20"/>
                <w:szCs w:val="20"/>
              </w:rPr>
              <w:t>vrt</w:t>
            </w:r>
            <w:r w:rsidR="00857768">
              <w:rPr>
                <w:rFonts w:asciiTheme="majorHAnsi" w:hAnsiTheme="majorHAnsi"/>
                <w:sz w:val="20"/>
                <w:szCs w:val="20"/>
              </w:rPr>
              <w:t>y</w:t>
            </w:r>
          </w:p>
        </w:tc>
        <w:tc>
          <w:tcPr>
            <w:tcW w:w="851" w:type="dxa"/>
          </w:tcPr>
          <w:p w:rsidR="0031723B" w:rsidRPr="002F367B" w:rsidRDefault="0033290F" w:rsidP="00B66FDE">
            <w:pPr>
              <w:spacing w:line="276" w:lineRule="auto"/>
              <w:rPr>
                <w:sz w:val="20"/>
                <w:szCs w:val="20"/>
              </w:rPr>
            </w:pPr>
            <w:r w:rsidRPr="0033290F">
              <w:rPr>
                <w:sz w:val="20"/>
                <w:szCs w:val="20"/>
              </w:rPr>
              <w:t>FS</w:t>
            </w:r>
          </w:p>
        </w:tc>
        <w:tc>
          <w:tcPr>
            <w:tcW w:w="1275" w:type="dxa"/>
          </w:tcPr>
          <w:p w:rsidR="0031723B" w:rsidRPr="002F367B" w:rsidRDefault="0033290F" w:rsidP="00B66FDE">
            <w:pPr>
              <w:spacing w:line="276" w:lineRule="auto"/>
              <w:rPr>
                <w:sz w:val="20"/>
                <w:szCs w:val="20"/>
              </w:rPr>
            </w:pPr>
            <w:r w:rsidRPr="0033290F">
              <w:rPr>
                <w:sz w:val="20"/>
                <w:szCs w:val="20"/>
              </w:rPr>
              <w:t>Není relevantní</w:t>
            </w:r>
          </w:p>
        </w:tc>
        <w:tc>
          <w:tcPr>
            <w:tcW w:w="1134" w:type="dxa"/>
          </w:tcPr>
          <w:p w:rsidR="0031723B" w:rsidRPr="002F367B" w:rsidRDefault="0033290F" w:rsidP="00B66FDE">
            <w:pPr>
              <w:spacing w:line="276" w:lineRule="auto"/>
              <w:rPr>
                <w:sz w:val="20"/>
                <w:szCs w:val="20"/>
              </w:rPr>
            </w:pPr>
            <w:r w:rsidRPr="0033290F">
              <w:rPr>
                <w:sz w:val="20"/>
                <w:szCs w:val="20"/>
              </w:rPr>
              <w:t>150</w:t>
            </w:r>
          </w:p>
        </w:tc>
        <w:tc>
          <w:tcPr>
            <w:tcW w:w="851" w:type="dxa"/>
          </w:tcPr>
          <w:p w:rsidR="0031723B" w:rsidRPr="002F367B" w:rsidRDefault="0033290F" w:rsidP="00B66FDE">
            <w:pPr>
              <w:spacing w:line="276" w:lineRule="auto"/>
              <w:rPr>
                <w:sz w:val="20"/>
                <w:szCs w:val="20"/>
              </w:rPr>
            </w:pPr>
            <w:r w:rsidRPr="0033290F">
              <w:rPr>
                <w:sz w:val="20"/>
                <w:szCs w:val="20"/>
              </w:rPr>
              <w:t>Žadatel/Příjemce</w:t>
            </w:r>
          </w:p>
        </w:tc>
        <w:tc>
          <w:tcPr>
            <w:tcW w:w="1984" w:type="dxa"/>
          </w:tcPr>
          <w:p w:rsidR="0031723B" w:rsidRPr="002F367B" w:rsidRDefault="0033290F" w:rsidP="00B66FDE">
            <w:pPr>
              <w:spacing w:line="276" w:lineRule="auto"/>
              <w:rPr>
                <w:sz w:val="20"/>
                <w:szCs w:val="20"/>
              </w:rPr>
            </w:pPr>
            <w:r w:rsidRPr="0033290F">
              <w:rPr>
                <w:rFonts w:asciiTheme="majorHAnsi" w:hAnsiTheme="majorHAnsi"/>
                <w:bCs/>
                <w:sz w:val="20"/>
                <w:szCs w:val="20"/>
              </w:rPr>
              <w:t>Průběžně</w:t>
            </w:r>
          </w:p>
        </w:tc>
      </w:tr>
    </w:tbl>
    <w:p w:rsidR="00BB23A1" w:rsidRPr="006802A5" w:rsidRDefault="00BB23A1" w:rsidP="00B66FDE">
      <w:pPr>
        <w:rPr>
          <w:sz w:val="20"/>
          <w:szCs w:val="20"/>
        </w:rPr>
      </w:pPr>
    </w:p>
    <w:p w:rsidR="00D95DD8" w:rsidRDefault="00D95DD8" w:rsidP="00165854">
      <w:pPr>
        <w:pStyle w:val="Nadpis3"/>
      </w:pPr>
      <w:bookmarkStart w:id="2317" w:name="_Toc392150986"/>
      <w:r>
        <w:lastRenderedPageBreak/>
        <w:t>I</w:t>
      </w:r>
      <w:r w:rsidRPr="004314F4">
        <w:t xml:space="preserve">NVESTIČNÍ PRIORITA </w:t>
      </w:r>
      <w:r>
        <w:t>2</w:t>
      </w:r>
      <w:r w:rsidRPr="004314F4">
        <w:t xml:space="preserve"> prioritní osy 1:</w:t>
      </w:r>
      <w:r w:rsidR="00783F24">
        <w:t xml:space="preserve"> </w:t>
      </w:r>
      <w:r w:rsidR="004B793C" w:rsidRPr="004B793C">
        <w:t>P</w:t>
      </w:r>
      <w:r w:rsidR="0083184C">
        <w:t>odporování přizpůsobení se změně klimatu, předcházení rizikům a řízení rizik p</w:t>
      </w:r>
      <w:r w:rsidR="004B793C" w:rsidRPr="004B793C">
        <w:t>odpor</w:t>
      </w:r>
      <w:r w:rsidR="0083184C">
        <w:t>ou</w:t>
      </w:r>
      <w:r w:rsidR="004B793C" w:rsidRPr="004B793C">
        <w:t xml:space="preserve"> investic zaměřených na řešení konkrétních rizik, zajištěním odolnosti vůči katastrofám a vývojem systémů pro zvládání katastrof</w:t>
      </w:r>
      <w:r w:rsidR="00C73C53">
        <w:t xml:space="preserve"> (Dle nařízení</w:t>
      </w:r>
      <w:r w:rsidR="0096405F">
        <w:t xml:space="preserve"> Evropského p</w:t>
      </w:r>
      <w:r w:rsidR="00C73C53">
        <w:t>arlamentu a Rady</w:t>
      </w:r>
      <w:r w:rsidR="0096405F">
        <w:t xml:space="preserve"> (EU) č. 1300/2013</w:t>
      </w:r>
      <w:r w:rsidR="00C73C53">
        <w:t xml:space="preserve"> čl.</w:t>
      </w:r>
      <w:r w:rsidR="0096405F">
        <w:t xml:space="preserve"> </w:t>
      </w:r>
      <w:r w:rsidR="00C73C53">
        <w:t xml:space="preserve">4 odst. b) písm. </w:t>
      </w:r>
      <w:proofErr w:type="spellStart"/>
      <w:r w:rsidR="00C73C53">
        <w:t>ii</w:t>
      </w:r>
      <w:proofErr w:type="spellEnd"/>
      <w:r w:rsidR="00C73C53">
        <w:t>)</w:t>
      </w:r>
      <w:bookmarkEnd w:id="2317"/>
    </w:p>
    <w:p w:rsidR="00D95DD8" w:rsidRDefault="00D95DD8" w:rsidP="009F2D6E">
      <w:pPr>
        <w:pStyle w:val="Nadpis4"/>
      </w:pPr>
      <w:bookmarkStart w:id="2318" w:name="_Toc392150987"/>
      <w:r>
        <w:t>S</w:t>
      </w:r>
      <w:r w:rsidRPr="004314F4">
        <w:t>pecifické cíle odpovída</w:t>
      </w:r>
      <w:r w:rsidR="00141C7B">
        <w:t>jící dané investiční prioritě a </w:t>
      </w:r>
      <w:r w:rsidR="00B16BE2">
        <w:t>očekávané</w:t>
      </w:r>
      <w:r w:rsidR="008E6B35">
        <w:t xml:space="preserve"> </w:t>
      </w:r>
      <w:r w:rsidRPr="004314F4">
        <w:t>výsledky</w:t>
      </w:r>
      <w:bookmarkEnd w:id="2318"/>
    </w:p>
    <w:p w:rsidR="003D352A" w:rsidRDefault="003D352A" w:rsidP="00165854">
      <w:pPr>
        <w:pStyle w:val="Nadpis6"/>
      </w:pPr>
      <w:r w:rsidRPr="004314F4">
        <w:t xml:space="preserve">Specifický cíl 3: Zajistit povodňovou ochranu </w:t>
      </w:r>
      <w:proofErr w:type="spellStart"/>
      <w:r w:rsidRPr="004314F4">
        <w:t>intravilánu</w:t>
      </w:r>
      <w:proofErr w:type="spellEnd"/>
      <w:r w:rsidRPr="004314F4">
        <w:t xml:space="preserve"> </w:t>
      </w:r>
    </w:p>
    <w:p w:rsidR="0062163A" w:rsidRDefault="00D722B9" w:rsidP="00B66FDE">
      <w:bookmarkStart w:id="2319" w:name="_Toc389479967"/>
      <w:r>
        <w:rPr>
          <w:b/>
          <w:color w:val="FF0000"/>
        </w:rPr>
        <w:t> </w:t>
      </w:r>
      <w:bookmarkEnd w:id="2319"/>
      <w:r w:rsidRPr="004314F4">
        <w:t>Cílem Směrnice 2007/60/ES o vyhodnocování a zvládání povodňových rizik je omezit riziko nepříznivých účinků spojených s povodněmi, zejména na lidské zdraví a na život, životní prostředí, kulturní dědictví, hospodářskou činnost a infrastrukturu. Přijatá opatření na snížení rizika povodní musí být v souladu s požadavky směrnice a zohledňovat mapy povodňového nebezpečí a mapy povodňových rizik a plány pro zvládání povodňových rizik, které budou v souladu se Směrnicí dokončeny a zveřejněny v prů</w:t>
      </w:r>
      <w:r>
        <w:t>běhu trvání Operačního programu</w:t>
      </w:r>
      <w:r w:rsidRPr="004314F4">
        <w:t xml:space="preserve">. </w:t>
      </w:r>
      <w:r w:rsidR="003D352A" w:rsidRPr="004314F4">
        <w:t xml:space="preserve">V rámci realizace opatření v tomto specifickém cíli budou podporována opatření k ochraně před povodněmi sledující implementaci Směrnice 2007/60/ES o vyhodnocování a zvládání povodňových rizik (na podkladě plánů pro zvládání povodňových rizik) a 2000/60/ES (realizace výstupů resp. programů opatření 1. a 2. cyklu plánování v oblasti vod). </w:t>
      </w:r>
      <w:r w:rsidR="003D352A">
        <w:t>P</w:t>
      </w:r>
      <w:r w:rsidR="003D352A" w:rsidRPr="004314F4">
        <w:t>ředpokládá</w:t>
      </w:r>
      <w:r w:rsidR="003D352A">
        <w:t xml:space="preserve"> se</w:t>
      </w:r>
      <w:r w:rsidR="0092760F">
        <w:t xml:space="preserve"> </w:t>
      </w:r>
      <w:r w:rsidR="003D352A" w:rsidRPr="004314F4">
        <w:t>pokračování podpory konkrétních protipovodňových opatření (suché nádrže s řízeným režimem plnění podle manipulačního řádu, řízený rozliv do krajiny, zkapacitnění koryt vodních toků</w:t>
      </w:r>
      <w:r w:rsidR="0062163A">
        <w:t xml:space="preserve"> v</w:t>
      </w:r>
      <w:r w:rsidR="00E83B79">
        <w:t> </w:t>
      </w:r>
      <w:proofErr w:type="spellStart"/>
      <w:r w:rsidR="0062163A">
        <w:t>intravilánech</w:t>
      </w:r>
      <w:proofErr w:type="spellEnd"/>
      <w:r w:rsidR="003D352A" w:rsidRPr="004314F4">
        <w:t xml:space="preserve">, zvýšení přirozené retence údolních niv, </w:t>
      </w:r>
      <w:r w:rsidR="00AF3B8F">
        <w:t xml:space="preserve">zpomalení odtoku v ploše povodí, </w:t>
      </w:r>
      <w:r w:rsidR="003D352A" w:rsidRPr="004314F4">
        <w:t>využ</w:t>
      </w:r>
      <w:r w:rsidR="00141C7B">
        <w:t>ití stávajících vodních děl pro </w:t>
      </w:r>
      <w:r w:rsidR="003D352A" w:rsidRPr="004314F4">
        <w:t>povodňovou ochranu adaptace území omezující škodlivé účinky působení lokálních přívalových srážek – bleskové povodně apod.)</w:t>
      </w:r>
      <w:r w:rsidR="00105347">
        <w:t>.</w:t>
      </w:r>
      <w:r w:rsidR="003D352A" w:rsidRPr="004314F4">
        <w:t xml:space="preserve"> V rámci tohoto cíle je plánována </w:t>
      </w:r>
      <w:r w:rsidR="003D352A">
        <w:t xml:space="preserve">také </w:t>
      </w:r>
      <w:r w:rsidR="003D352A" w:rsidRPr="004314F4">
        <w:t>podpora</w:t>
      </w:r>
      <w:r w:rsidR="0062163A">
        <w:t xml:space="preserve"> </w:t>
      </w:r>
      <w:r w:rsidR="003D352A">
        <w:t>zvyšování retenčního potenciálu</w:t>
      </w:r>
      <w:r w:rsidR="0062163A">
        <w:t xml:space="preserve"> v povodí</w:t>
      </w:r>
      <w:r w:rsidR="003D352A" w:rsidRPr="004314F4">
        <w:t xml:space="preserve">, a tedy snižování rychlosti odtoku v době povodňových situací. V rámci </w:t>
      </w:r>
      <w:r w:rsidR="0062163A">
        <w:t>aktivit</w:t>
      </w:r>
      <w:r w:rsidR="0062163A" w:rsidRPr="004314F4">
        <w:t xml:space="preserve"> </w:t>
      </w:r>
      <w:r w:rsidR="003D352A" w:rsidRPr="004314F4">
        <w:t>se předpokládá podpora</w:t>
      </w:r>
      <w:r w:rsidR="00E320BB">
        <w:t xml:space="preserve"> </w:t>
      </w:r>
      <w:r w:rsidR="003D352A" w:rsidRPr="004314F4">
        <w:t>projektů</w:t>
      </w:r>
      <w:r w:rsidR="004B793C">
        <w:t xml:space="preserve"> řešící </w:t>
      </w:r>
      <w:r w:rsidR="003D352A" w:rsidRPr="004314F4">
        <w:t>h</w:t>
      </w:r>
      <w:r w:rsidR="003D352A">
        <w:t>ospodaření se srážkovými vodami v </w:t>
      </w:r>
      <w:proofErr w:type="spellStart"/>
      <w:r w:rsidR="003D352A">
        <w:t>intravilánech</w:t>
      </w:r>
      <w:proofErr w:type="spellEnd"/>
      <w:r w:rsidR="003D352A">
        <w:t xml:space="preserve"> obcí a měst.</w:t>
      </w:r>
      <w:r w:rsidR="00397A0F">
        <w:t xml:space="preserve"> </w:t>
      </w:r>
    </w:p>
    <w:p w:rsidR="00DD535A" w:rsidRDefault="0062163A" w:rsidP="00B66FDE">
      <w:r>
        <w:t>Přívalové i déle trvající srážky mají významný vliv na svahovou nestabilitu.</w:t>
      </w:r>
      <w:r w:rsidRPr="00235791">
        <w:t xml:space="preserve"> </w:t>
      </w:r>
      <w:r w:rsidR="00397A0F" w:rsidRPr="00235791">
        <w:t>Česká republika patří</w:t>
      </w:r>
      <w:r>
        <w:t>,</w:t>
      </w:r>
      <w:r w:rsidR="00397A0F" w:rsidRPr="00235791">
        <w:t xml:space="preserve"> vzhledem ke své pestré geologické stavbě</w:t>
      </w:r>
      <w:r w:rsidR="00397A0F">
        <w:t xml:space="preserve"> a hustému osídlení</w:t>
      </w:r>
      <w:r>
        <w:t>,</w:t>
      </w:r>
      <w:r w:rsidR="00397A0F">
        <w:t xml:space="preserve"> mezi země s </w:t>
      </w:r>
      <w:r w:rsidR="00397A0F" w:rsidRPr="00235791">
        <w:t>vysokým výskytem a ohrožením svahovými nestabilitam</w:t>
      </w:r>
      <w:r w:rsidR="00397A0F">
        <w:t>i. Současně se řadí mezi země s </w:t>
      </w:r>
      <w:r w:rsidR="00397A0F" w:rsidRPr="00235791">
        <w:t>dlouholetou a</w:t>
      </w:r>
      <w:r w:rsidR="008E6B35">
        <w:t> </w:t>
      </w:r>
      <w:r w:rsidR="00397A0F" w:rsidRPr="00235791">
        <w:t>vyspělou tradicí dokumentace a klasifikace tohoto rizikového jevu, které jsou nezbytné pro</w:t>
      </w:r>
      <w:r w:rsidR="008E6B35">
        <w:t> </w:t>
      </w:r>
      <w:r w:rsidR="00397A0F" w:rsidRPr="00235791">
        <w:t>prevenci, jakož i pro likvidaci případných svahových nestabilit. Území ČR bylo svahovými pohyby citelně zasaženo v souvislosti s extrémními srážkami zejména v letech 1997 (Morava), 2002 (Čechy) a opakovaně v dalších letech, avšak na menších územích (např. Jeseníky, České středohoří, Beskydy, Vsetínsko, Zlínsko, Mladoboleslavsko).</w:t>
      </w:r>
      <w:r w:rsidR="00397A0F">
        <w:t xml:space="preserve"> V rámci tohoto cíle se předpokládá i</w:t>
      </w:r>
      <w:r w:rsidR="008E6B35">
        <w:t> </w:t>
      </w:r>
      <w:r w:rsidR="00397A0F">
        <w:t>podpora této oblasti.</w:t>
      </w:r>
    </w:p>
    <w:p w:rsidR="003745CE" w:rsidRDefault="003745CE" w:rsidP="00B66FDE">
      <w:r>
        <w:t xml:space="preserve">Pro specifický cíl se předpokládá využití 30% alokované částky pro prioritní osu 1, více než polovina alokované částky specifického cíle je určena na </w:t>
      </w:r>
      <w:proofErr w:type="spellStart"/>
      <w:r>
        <w:t>zprůtočnění</w:t>
      </w:r>
      <w:proofErr w:type="spellEnd"/>
      <w:r>
        <w:t xml:space="preserve"> nebo zvýšení retenčního potenciálu koryt vodních toků a přilehlých niv, zlepšení přirozených rozlivů.</w:t>
      </w:r>
    </w:p>
    <w:p w:rsidR="004B6C19" w:rsidRPr="00173BA4" w:rsidRDefault="004B6C19" w:rsidP="00B66FDE"/>
    <w:p w:rsidR="00510938" w:rsidRPr="004314F4" w:rsidRDefault="00510938" w:rsidP="00CB78B6">
      <w:pPr>
        <w:pStyle w:val="Titulek"/>
        <w:rPr>
          <w:rFonts w:cstheme="minorHAnsi"/>
          <w:sz w:val="24"/>
          <w:szCs w:val="24"/>
        </w:rPr>
      </w:pPr>
      <w:r w:rsidRPr="004314F4">
        <w:lastRenderedPageBreak/>
        <w:t xml:space="preserve">Specifické </w:t>
      </w:r>
      <w:r w:rsidR="0026537B">
        <w:t>programové ukazatele</w:t>
      </w:r>
      <w:r w:rsidRPr="004314F4">
        <w:t xml:space="preserve"> výsledků pro SC 1.3</w:t>
      </w:r>
    </w:p>
    <w:tbl>
      <w:tblPr>
        <w:tblStyle w:val="Mkatabulky"/>
        <w:tblW w:w="9180" w:type="dxa"/>
        <w:tblLayout w:type="fixed"/>
        <w:tblLook w:val="04A0" w:firstRow="1" w:lastRow="0" w:firstColumn="1" w:lastColumn="0" w:noHBand="0" w:noVBand="1"/>
      </w:tblPr>
      <w:tblGrid>
        <w:gridCol w:w="817"/>
        <w:gridCol w:w="1134"/>
        <w:gridCol w:w="851"/>
        <w:gridCol w:w="1134"/>
        <w:gridCol w:w="992"/>
        <w:gridCol w:w="992"/>
        <w:gridCol w:w="851"/>
        <w:gridCol w:w="1134"/>
        <w:gridCol w:w="1275"/>
      </w:tblGrid>
      <w:tr w:rsidR="004E480E" w:rsidRPr="00A93169" w:rsidTr="00A42AAB">
        <w:tc>
          <w:tcPr>
            <w:tcW w:w="817" w:type="dxa"/>
            <w:tcBorders>
              <w:bottom w:val="single" w:sz="12" w:space="0" w:color="auto"/>
            </w:tcBorders>
            <w:shd w:val="clear" w:color="auto" w:fill="BFBFBF" w:themeFill="background1" w:themeFillShade="BF"/>
          </w:tcPr>
          <w:p w:rsidR="004E480E" w:rsidRPr="002F367B" w:rsidRDefault="004E480E" w:rsidP="00B66FDE">
            <w:pPr>
              <w:rPr>
                <w:b/>
                <w:sz w:val="20"/>
                <w:szCs w:val="20"/>
              </w:rPr>
            </w:pPr>
            <w:r w:rsidRPr="002F367B">
              <w:rPr>
                <w:b/>
                <w:sz w:val="20"/>
                <w:szCs w:val="20"/>
              </w:rPr>
              <w:t xml:space="preserve">ID </w:t>
            </w:r>
          </w:p>
        </w:tc>
        <w:tc>
          <w:tcPr>
            <w:tcW w:w="1134" w:type="dxa"/>
            <w:tcBorders>
              <w:bottom w:val="single" w:sz="12" w:space="0" w:color="auto"/>
            </w:tcBorders>
            <w:shd w:val="clear" w:color="auto" w:fill="BFBFBF" w:themeFill="background1" w:themeFillShade="BF"/>
          </w:tcPr>
          <w:p w:rsidR="004E480E" w:rsidRPr="002F367B" w:rsidRDefault="0026537B" w:rsidP="0026537B">
            <w:pPr>
              <w:spacing w:line="276" w:lineRule="auto"/>
              <w:rPr>
                <w:b/>
                <w:sz w:val="20"/>
                <w:szCs w:val="20"/>
              </w:rPr>
            </w:pPr>
            <w:r w:rsidRPr="002F367B">
              <w:rPr>
                <w:b/>
                <w:sz w:val="20"/>
                <w:szCs w:val="20"/>
              </w:rPr>
              <w:t>Ukazatel</w:t>
            </w:r>
            <w:r w:rsidR="0033290F" w:rsidRPr="0033290F">
              <w:rPr>
                <w:b/>
                <w:sz w:val="20"/>
                <w:szCs w:val="20"/>
              </w:rPr>
              <w:t xml:space="preserve"> </w:t>
            </w:r>
          </w:p>
        </w:tc>
        <w:tc>
          <w:tcPr>
            <w:tcW w:w="851" w:type="dxa"/>
            <w:tcBorders>
              <w:bottom w:val="single" w:sz="12" w:space="0" w:color="auto"/>
            </w:tcBorders>
            <w:shd w:val="clear" w:color="auto" w:fill="BFBFBF" w:themeFill="background1" w:themeFillShade="BF"/>
          </w:tcPr>
          <w:p w:rsidR="004E480E" w:rsidRPr="002F367B" w:rsidRDefault="0033290F" w:rsidP="00B66FDE">
            <w:pPr>
              <w:spacing w:line="276" w:lineRule="auto"/>
              <w:rPr>
                <w:b/>
                <w:sz w:val="20"/>
                <w:szCs w:val="20"/>
              </w:rPr>
            </w:pPr>
            <w:r w:rsidRPr="0033290F">
              <w:rPr>
                <w:b/>
                <w:sz w:val="20"/>
                <w:szCs w:val="20"/>
              </w:rPr>
              <w:t>Měrná jednotka</w:t>
            </w:r>
          </w:p>
        </w:tc>
        <w:tc>
          <w:tcPr>
            <w:tcW w:w="1134" w:type="dxa"/>
            <w:tcBorders>
              <w:bottom w:val="single" w:sz="12" w:space="0" w:color="auto"/>
            </w:tcBorders>
            <w:shd w:val="clear" w:color="auto" w:fill="BFBFBF" w:themeFill="background1" w:themeFillShade="BF"/>
          </w:tcPr>
          <w:p w:rsidR="004E480E" w:rsidRPr="002F367B" w:rsidRDefault="0033290F" w:rsidP="00B66FDE">
            <w:pPr>
              <w:spacing w:line="276" w:lineRule="auto"/>
              <w:rPr>
                <w:b/>
                <w:sz w:val="20"/>
                <w:szCs w:val="20"/>
              </w:rPr>
            </w:pPr>
            <w:r w:rsidRPr="0033290F">
              <w:rPr>
                <w:b/>
                <w:sz w:val="20"/>
                <w:szCs w:val="20"/>
              </w:rPr>
              <w:t>Kategorie regionů</w:t>
            </w:r>
          </w:p>
        </w:tc>
        <w:tc>
          <w:tcPr>
            <w:tcW w:w="992" w:type="dxa"/>
            <w:tcBorders>
              <w:bottom w:val="single" w:sz="12" w:space="0" w:color="auto"/>
            </w:tcBorders>
            <w:shd w:val="clear" w:color="auto" w:fill="BFBFBF" w:themeFill="background1" w:themeFillShade="BF"/>
          </w:tcPr>
          <w:p w:rsidR="004E480E" w:rsidRPr="002F367B" w:rsidRDefault="0033290F" w:rsidP="00B66FDE">
            <w:pPr>
              <w:spacing w:line="276" w:lineRule="auto"/>
              <w:rPr>
                <w:b/>
                <w:sz w:val="20"/>
                <w:szCs w:val="20"/>
              </w:rPr>
            </w:pPr>
            <w:r w:rsidRPr="0033290F">
              <w:rPr>
                <w:b/>
                <w:sz w:val="20"/>
                <w:szCs w:val="20"/>
              </w:rPr>
              <w:t>Výchozí hodnota</w:t>
            </w:r>
          </w:p>
        </w:tc>
        <w:tc>
          <w:tcPr>
            <w:tcW w:w="992" w:type="dxa"/>
            <w:tcBorders>
              <w:bottom w:val="single" w:sz="12" w:space="0" w:color="auto"/>
            </w:tcBorders>
            <w:shd w:val="clear" w:color="auto" w:fill="BFBFBF" w:themeFill="background1" w:themeFillShade="BF"/>
          </w:tcPr>
          <w:p w:rsidR="004E480E" w:rsidRPr="002F367B" w:rsidRDefault="0033290F" w:rsidP="00B66FDE">
            <w:pPr>
              <w:spacing w:line="276" w:lineRule="auto"/>
              <w:rPr>
                <w:b/>
                <w:sz w:val="20"/>
                <w:szCs w:val="20"/>
              </w:rPr>
            </w:pPr>
            <w:r w:rsidRPr="0033290F">
              <w:rPr>
                <w:b/>
                <w:sz w:val="20"/>
                <w:szCs w:val="20"/>
              </w:rPr>
              <w:t>Výchozí rok</w:t>
            </w:r>
          </w:p>
        </w:tc>
        <w:tc>
          <w:tcPr>
            <w:tcW w:w="851" w:type="dxa"/>
            <w:tcBorders>
              <w:bottom w:val="single" w:sz="12" w:space="0" w:color="auto"/>
            </w:tcBorders>
            <w:shd w:val="clear" w:color="auto" w:fill="BFBFBF" w:themeFill="background1" w:themeFillShade="BF"/>
          </w:tcPr>
          <w:p w:rsidR="004E480E" w:rsidRPr="002F367B" w:rsidRDefault="0033290F" w:rsidP="00B66FDE">
            <w:pPr>
              <w:spacing w:line="276" w:lineRule="auto"/>
              <w:rPr>
                <w:b/>
                <w:sz w:val="20"/>
                <w:szCs w:val="20"/>
              </w:rPr>
            </w:pPr>
            <w:r w:rsidRPr="0033290F">
              <w:rPr>
                <w:b/>
                <w:sz w:val="20"/>
                <w:szCs w:val="20"/>
              </w:rPr>
              <w:t>Cílová hodnota (2023)</w:t>
            </w:r>
          </w:p>
        </w:tc>
        <w:tc>
          <w:tcPr>
            <w:tcW w:w="1134" w:type="dxa"/>
            <w:tcBorders>
              <w:bottom w:val="single" w:sz="12" w:space="0" w:color="auto"/>
            </w:tcBorders>
            <w:shd w:val="clear" w:color="auto" w:fill="BFBFBF" w:themeFill="background1" w:themeFillShade="BF"/>
          </w:tcPr>
          <w:p w:rsidR="004E480E" w:rsidRPr="002F367B" w:rsidRDefault="0033290F" w:rsidP="00B66FDE">
            <w:pPr>
              <w:spacing w:line="276" w:lineRule="auto"/>
              <w:rPr>
                <w:b/>
                <w:sz w:val="20"/>
                <w:szCs w:val="20"/>
              </w:rPr>
            </w:pPr>
            <w:r w:rsidRPr="0033290F">
              <w:rPr>
                <w:b/>
                <w:sz w:val="20"/>
                <w:szCs w:val="20"/>
              </w:rPr>
              <w:t>Zdroj údajů</w:t>
            </w:r>
          </w:p>
        </w:tc>
        <w:tc>
          <w:tcPr>
            <w:tcW w:w="1275" w:type="dxa"/>
            <w:tcBorders>
              <w:bottom w:val="single" w:sz="12" w:space="0" w:color="auto"/>
            </w:tcBorders>
            <w:shd w:val="clear" w:color="auto" w:fill="BFBFBF" w:themeFill="background1" w:themeFillShade="BF"/>
          </w:tcPr>
          <w:p w:rsidR="004E480E" w:rsidRPr="002F367B" w:rsidRDefault="0033290F" w:rsidP="00B66FDE">
            <w:pPr>
              <w:spacing w:line="276" w:lineRule="auto"/>
              <w:rPr>
                <w:b/>
                <w:sz w:val="20"/>
                <w:szCs w:val="20"/>
              </w:rPr>
            </w:pPr>
            <w:r w:rsidRPr="0033290F">
              <w:rPr>
                <w:b/>
                <w:sz w:val="20"/>
                <w:szCs w:val="20"/>
              </w:rPr>
              <w:t>Četnost podávání zpráv</w:t>
            </w:r>
          </w:p>
        </w:tc>
      </w:tr>
      <w:tr w:rsidR="004E480E" w:rsidTr="00A42AAB">
        <w:tc>
          <w:tcPr>
            <w:tcW w:w="817" w:type="dxa"/>
            <w:tcBorders>
              <w:top w:val="single" w:sz="12" w:space="0" w:color="auto"/>
            </w:tcBorders>
          </w:tcPr>
          <w:p w:rsidR="004E480E" w:rsidRPr="002F367B" w:rsidRDefault="008F4F34" w:rsidP="00B66FDE">
            <w:pPr>
              <w:rPr>
                <w:sz w:val="20"/>
                <w:szCs w:val="20"/>
              </w:rPr>
            </w:pPr>
            <w:r>
              <w:rPr>
                <w:sz w:val="20"/>
                <w:szCs w:val="20"/>
              </w:rPr>
              <w:t>432</w:t>
            </w:r>
            <w:r w:rsidRPr="008F4F34">
              <w:rPr>
                <w:sz w:val="20"/>
                <w:szCs w:val="20"/>
              </w:rPr>
              <w:t>00</w:t>
            </w:r>
          </w:p>
        </w:tc>
        <w:tc>
          <w:tcPr>
            <w:tcW w:w="1134" w:type="dxa"/>
            <w:tcBorders>
              <w:top w:val="single" w:sz="12" w:space="0" w:color="auto"/>
            </w:tcBorders>
          </w:tcPr>
          <w:p w:rsidR="004E480E" w:rsidRPr="002F367B" w:rsidDel="00D57E75" w:rsidRDefault="004E480E" w:rsidP="00B66FDE">
            <w:pPr>
              <w:spacing w:line="276" w:lineRule="auto"/>
              <w:rPr>
                <w:bCs/>
                <w:sz w:val="20"/>
                <w:szCs w:val="20"/>
              </w:rPr>
            </w:pPr>
            <w:r w:rsidRPr="002F367B">
              <w:rPr>
                <w:sz w:val="20"/>
                <w:szCs w:val="20"/>
              </w:rPr>
              <w:t>Počet obyvatel chráněných opatřeními proti povodním</w:t>
            </w:r>
          </w:p>
        </w:tc>
        <w:tc>
          <w:tcPr>
            <w:tcW w:w="851" w:type="dxa"/>
            <w:tcBorders>
              <w:top w:val="single" w:sz="12" w:space="0" w:color="auto"/>
            </w:tcBorders>
          </w:tcPr>
          <w:p w:rsidR="004E480E" w:rsidRPr="002F367B" w:rsidRDefault="004E480E" w:rsidP="00B66FDE">
            <w:pPr>
              <w:spacing w:line="276" w:lineRule="auto"/>
              <w:rPr>
                <w:sz w:val="20"/>
                <w:szCs w:val="20"/>
              </w:rPr>
            </w:pPr>
            <w:r w:rsidRPr="002F367B">
              <w:rPr>
                <w:sz w:val="20"/>
                <w:szCs w:val="20"/>
              </w:rPr>
              <w:t>osoby</w:t>
            </w:r>
          </w:p>
        </w:tc>
        <w:tc>
          <w:tcPr>
            <w:tcW w:w="1134" w:type="dxa"/>
            <w:tcBorders>
              <w:top w:val="single" w:sz="12" w:space="0" w:color="auto"/>
            </w:tcBorders>
          </w:tcPr>
          <w:p w:rsidR="004E480E" w:rsidRPr="002F367B" w:rsidRDefault="0026537B" w:rsidP="00B66FDE">
            <w:pPr>
              <w:rPr>
                <w:sz w:val="20"/>
                <w:szCs w:val="20"/>
              </w:rPr>
            </w:pPr>
            <w:r w:rsidRPr="002F367B">
              <w:rPr>
                <w:sz w:val="20"/>
                <w:szCs w:val="20"/>
              </w:rPr>
              <w:t>Není relevantní</w:t>
            </w:r>
          </w:p>
        </w:tc>
        <w:tc>
          <w:tcPr>
            <w:tcW w:w="992" w:type="dxa"/>
            <w:tcBorders>
              <w:top w:val="single" w:sz="12" w:space="0" w:color="auto"/>
            </w:tcBorders>
          </w:tcPr>
          <w:p w:rsidR="004E480E" w:rsidRPr="002F367B" w:rsidRDefault="0033290F" w:rsidP="00B66FDE">
            <w:pPr>
              <w:spacing w:line="276" w:lineRule="auto"/>
              <w:rPr>
                <w:sz w:val="20"/>
                <w:szCs w:val="20"/>
              </w:rPr>
            </w:pPr>
            <w:r w:rsidRPr="0033290F">
              <w:rPr>
                <w:sz w:val="20"/>
                <w:szCs w:val="20"/>
              </w:rPr>
              <w:t>0</w:t>
            </w:r>
          </w:p>
        </w:tc>
        <w:tc>
          <w:tcPr>
            <w:tcW w:w="992" w:type="dxa"/>
            <w:tcBorders>
              <w:top w:val="single" w:sz="12" w:space="0" w:color="auto"/>
            </w:tcBorders>
          </w:tcPr>
          <w:p w:rsidR="004E480E" w:rsidRPr="002F367B" w:rsidRDefault="0033290F" w:rsidP="00B66FDE">
            <w:pPr>
              <w:spacing w:line="276" w:lineRule="auto"/>
              <w:rPr>
                <w:sz w:val="20"/>
                <w:szCs w:val="20"/>
              </w:rPr>
            </w:pPr>
            <w:r w:rsidRPr="0033290F">
              <w:rPr>
                <w:sz w:val="20"/>
                <w:szCs w:val="20"/>
              </w:rPr>
              <w:t>2012</w:t>
            </w:r>
          </w:p>
        </w:tc>
        <w:tc>
          <w:tcPr>
            <w:tcW w:w="851" w:type="dxa"/>
            <w:tcBorders>
              <w:top w:val="single" w:sz="12" w:space="0" w:color="auto"/>
            </w:tcBorders>
          </w:tcPr>
          <w:p w:rsidR="004E480E" w:rsidRPr="002F367B" w:rsidRDefault="0033290F" w:rsidP="00B66FDE">
            <w:pPr>
              <w:spacing w:line="276" w:lineRule="auto"/>
              <w:rPr>
                <w:sz w:val="20"/>
                <w:szCs w:val="20"/>
              </w:rPr>
            </w:pPr>
            <w:r w:rsidRPr="0033290F">
              <w:rPr>
                <w:sz w:val="20"/>
                <w:szCs w:val="20"/>
              </w:rPr>
              <w:t>35 000</w:t>
            </w:r>
          </w:p>
        </w:tc>
        <w:tc>
          <w:tcPr>
            <w:tcW w:w="1134" w:type="dxa"/>
            <w:tcBorders>
              <w:top w:val="single" w:sz="12" w:space="0" w:color="auto"/>
            </w:tcBorders>
          </w:tcPr>
          <w:p w:rsidR="004E480E" w:rsidRPr="002F367B" w:rsidRDefault="0033290F" w:rsidP="00B66FDE">
            <w:pPr>
              <w:spacing w:line="276" w:lineRule="auto"/>
              <w:rPr>
                <w:sz w:val="20"/>
                <w:szCs w:val="20"/>
              </w:rPr>
            </w:pPr>
            <w:r w:rsidRPr="0033290F">
              <w:rPr>
                <w:sz w:val="20"/>
                <w:szCs w:val="20"/>
              </w:rPr>
              <w:t>žadatel/příjemce</w:t>
            </w:r>
          </w:p>
        </w:tc>
        <w:tc>
          <w:tcPr>
            <w:tcW w:w="1275" w:type="dxa"/>
            <w:tcBorders>
              <w:top w:val="single" w:sz="12" w:space="0" w:color="auto"/>
            </w:tcBorders>
          </w:tcPr>
          <w:p w:rsidR="004E480E" w:rsidRPr="002F367B" w:rsidRDefault="0033290F" w:rsidP="00B66FDE">
            <w:pPr>
              <w:spacing w:line="276" w:lineRule="auto"/>
              <w:rPr>
                <w:sz w:val="20"/>
                <w:szCs w:val="20"/>
              </w:rPr>
            </w:pPr>
            <w:r w:rsidRPr="0033290F">
              <w:rPr>
                <w:rFonts w:asciiTheme="majorHAnsi" w:hAnsiTheme="majorHAnsi"/>
                <w:bCs/>
                <w:sz w:val="20"/>
                <w:szCs w:val="20"/>
              </w:rPr>
              <w:t>Průběžně</w:t>
            </w:r>
          </w:p>
        </w:tc>
      </w:tr>
      <w:tr w:rsidR="004E480E" w:rsidTr="00A42AAB">
        <w:tc>
          <w:tcPr>
            <w:tcW w:w="817" w:type="dxa"/>
          </w:tcPr>
          <w:p w:rsidR="004E480E" w:rsidRPr="002F367B" w:rsidRDefault="008F4F34" w:rsidP="00B66FDE">
            <w:pPr>
              <w:rPr>
                <w:sz w:val="20"/>
                <w:szCs w:val="20"/>
              </w:rPr>
            </w:pPr>
            <w:r>
              <w:rPr>
                <w:sz w:val="20"/>
                <w:szCs w:val="20"/>
              </w:rPr>
              <w:t>423</w:t>
            </w:r>
            <w:r w:rsidRPr="008F4F34">
              <w:rPr>
                <w:sz w:val="20"/>
                <w:szCs w:val="20"/>
              </w:rPr>
              <w:t>10</w:t>
            </w:r>
          </w:p>
        </w:tc>
        <w:tc>
          <w:tcPr>
            <w:tcW w:w="1134" w:type="dxa"/>
          </w:tcPr>
          <w:p w:rsidR="004E480E" w:rsidRPr="002F367B" w:rsidDel="00D57E75" w:rsidRDefault="004E480E" w:rsidP="00B66FDE">
            <w:pPr>
              <w:spacing w:line="276" w:lineRule="auto"/>
              <w:rPr>
                <w:bCs/>
                <w:sz w:val="20"/>
                <w:szCs w:val="20"/>
              </w:rPr>
            </w:pPr>
            <w:r w:rsidRPr="002F367B">
              <w:rPr>
                <w:rFonts w:asciiTheme="majorHAnsi" w:hAnsiTheme="majorHAnsi"/>
                <w:sz w:val="20"/>
                <w:szCs w:val="20"/>
              </w:rPr>
              <w:t xml:space="preserve">Nepropustně zpevněná plocha odpojená od jednotné kanalizace </w:t>
            </w:r>
          </w:p>
        </w:tc>
        <w:tc>
          <w:tcPr>
            <w:tcW w:w="851" w:type="dxa"/>
          </w:tcPr>
          <w:p w:rsidR="004E480E" w:rsidRPr="002F367B" w:rsidRDefault="004E480E" w:rsidP="00B66FDE">
            <w:pPr>
              <w:spacing w:line="276" w:lineRule="auto"/>
              <w:rPr>
                <w:sz w:val="20"/>
                <w:szCs w:val="20"/>
              </w:rPr>
            </w:pPr>
            <w:r w:rsidRPr="002F367B">
              <w:rPr>
                <w:sz w:val="20"/>
                <w:szCs w:val="20"/>
              </w:rPr>
              <w:t>ha</w:t>
            </w:r>
          </w:p>
        </w:tc>
        <w:tc>
          <w:tcPr>
            <w:tcW w:w="1134" w:type="dxa"/>
          </w:tcPr>
          <w:p w:rsidR="004E480E" w:rsidRPr="002F367B" w:rsidRDefault="0026537B" w:rsidP="00B66FDE">
            <w:pPr>
              <w:rPr>
                <w:sz w:val="20"/>
                <w:szCs w:val="20"/>
              </w:rPr>
            </w:pPr>
            <w:r w:rsidRPr="002F367B">
              <w:rPr>
                <w:sz w:val="20"/>
                <w:szCs w:val="20"/>
              </w:rPr>
              <w:t>Není relevantní</w:t>
            </w:r>
          </w:p>
        </w:tc>
        <w:tc>
          <w:tcPr>
            <w:tcW w:w="992" w:type="dxa"/>
          </w:tcPr>
          <w:p w:rsidR="004E480E" w:rsidRPr="002F367B" w:rsidRDefault="0033290F" w:rsidP="00B66FDE">
            <w:pPr>
              <w:spacing w:line="276" w:lineRule="auto"/>
              <w:rPr>
                <w:sz w:val="20"/>
                <w:szCs w:val="20"/>
              </w:rPr>
            </w:pPr>
            <w:r w:rsidRPr="0033290F">
              <w:rPr>
                <w:sz w:val="20"/>
                <w:szCs w:val="20"/>
              </w:rPr>
              <w:t>0</w:t>
            </w:r>
          </w:p>
        </w:tc>
        <w:tc>
          <w:tcPr>
            <w:tcW w:w="992" w:type="dxa"/>
          </w:tcPr>
          <w:p w:rsidR="004E480E" w:rsidRPr="002F367B" w:rsidRDefault="0033290F" w:rsidP="00B66FDE">
            <w:pPr>
              <w:spacing w:line="276" w:lineRule="auto"/>
              <w:rPr>
                <w:sz w:val="20"/>
                <w:szCs w:val="20"/>
              </w:rPr>
            </w:pPr>
            <w:r w:rsidRPr="0033290F">
              <w:rPr>
                <w:sz w:val="20"/>
                <w:szCs w:val="20"/>
              </w:rPr>
              <w:t>2012</w:t>
            </w:r>
          </w:p>
        </w:tc>
        <w:tc>
          <w:tcPr>
            <w:tcW w:w="851" w:type="dxa"/>
          </w:tcPr>
          <w:p w:rsidR="004E480E" w:rsidRPr="002F367B" w:rsidRDefault="0033290F" w:rsidP="00B66FDE">
            <w:pPr>
              <w:spacing w:line="276" w:lineRule="auto"/>
              <w:rPr>
                <w:sz w:val="20"/>
                <w:szCs w:val="20"/>
              </w:rPr>
            </w:pPr>
            <w:r w:rsidRPr="0033290F">
              <w:rPr>
                <w:sz w:val="20"/>
                <w:szCs w:val="20"/>
              </w:rPr>
              <w:t>750</w:t>
            </w:r>
          </w:p>
        </w:tc>
        <w:tc>
          <w:tcPr>
            <w:tcW w:w="1134" w:type="dxa"/>
          </w:tcPr>
          <w:p w:rsidR="004E480E" w:rsidRPr="002F367B" w:rsidRDefault="0033290F" w:rsidP="00B66FDE">
            <w:pPr>
              <w:spacing w:line="276" w:lineRule="auto"/>
              <w:rPr>
                <w:sz w:val="20"/>
                <w:szCs w:val="20"/>
              </w:rPr>
            </w:pPr>
            <w:r w:rsidRPr="0033290F">
              <w:rPr>
                <w:sz w:val="20"/>
                <w:szCs w:val="20"/>
              </w:rPr>
              <w:t>žadatel/příjemce</w:t>
            </w:r>
          </w:p>
        </w:tc>
        <w:tc>
          <w:tcPr>
            <w:tcW w:w="1275" w:type="dxa"/>
          </w:tcPr>
          <w:p w:rsidR="004E480E" w:rsidRPr="002F367B" w:rsidRDefault="0033290F" w:rsidP="00B66FDE">
            <w:pPr>
              <w:spacing w:line="276" w:lineRule="auto"/>
              <w:rPr>
                <w:sz w:val="20"/>
                <w:szCs w:val="20"/>
              </w:rPr>
            </w:pPr>
            <w:r w:rsidRPr="0033290F">
              <w:rPr>
                <w:rFonts w:asciiTheme="majorHAnsi" w:hAnsiTheme="majorHAnsi"/>
                <w:bCs/>
                <w:sz w:val="20"/>
                <w:szCs w:val="20"/>
              </w:rPr>
              <w:t>Průběžně</w:t>
            </w:r>
          </w:p>
        </w:tc>
      </w:tr>
      <w:tr w:rsidR="004E480E" w:rsidTr="00A42AAB">
        <w:tc>
          <w:tcPr>
            <w:tcW w:w="817" w:type="dxa"/>
          </w:tcPr>
          <w:p w:rsidR="004E480E" w:rsidRPr="002F367B" w:rsidRDefault="001225B7" w:rsidP="00B66FDE">
            <w:pPr>
              <w:rPr>
                <w:sz w:val="20"/>
                <w:szCs w:val="20"/>
              </w:rPr>
            </w:pPr>
            <w:r>
              <w:rPr>
                <w:sz w:val="20"/>
                <w:szCs w:val="20"/>
              </w:rPr>
              <w:t>443</w:t>
            </w:r>
            <w:r w:rsidRPr="001225B7">
              <w:rPr>
                <w:sz w:val="20"/>
                <w:szCs w:val="20"/>
              </w:rPr>
              <w:t>11</w:t>
            </w:r>
          </w:p>
        </w:tc>
        <w:tc>
          <w:tcPr>
            <w:tcW w:w="1134" w:type="dxa"/>
          </w:tcPr>
          <w:p w:rsidR="004E480E" w:rsidRPr="002F367B" w:rsidRDefault="004E480E" w:rsidP="00B66FDE">
            <w:pPr>
              <w:spacing w:line="276" w:lineRule="auto"/>
              <w:rPr>
                <w:rFonts w:asciiTheme="majorHAnsi" w:hAnsiTheme="majorHAnsi"/>
                <w:sz w:val="20"/>
                <w:szCs w:val="20"/>
              </w:rPr>
            </w:pPr>
            <w:r w:rsidRPr="002F367B">
              <w:rPr>
                <w:sz w:val="20"/>
                <w:szCs w:val="20"/>
              </w:rPr>
              <w:t xml:space="preserve">Snížení plochy území s identifikovanými svahovými </w:t>
            </w:r>
            <w:r w:rsidR="0033290F" w:rsidRPr="0033290F">
              <w:rPr>
                <w:sz w:val="20"/>
                <w:szCs w:val="20"/>
              </w:rPr>
              <w:t>nestabilitami</w:t>
            </w:r>
          </w:p>
        </w:tc>
        <w:tc>
          <w:tcPr>
            <w:tcW w:w="851" w:type="dxa"/>
          </w:tcPr>
          <w:p w:rsidR="004E480E" w:rsidRPr="002F367B" w:rsidRDefault="0033290F" w:rsidP="00B66FDE">
            <w:pPr>
              <w:spacing w:line="276" w:lineRule="auto"/>
              <w:rPr>
                <w:sz w:val="20"/>
                <w:szCs w:val="20"/>
              </w:rPr>
            </w:pPr>
            <w:r w:rsidRPr="0033290F">
              <w:rPr>
                <w:sz w:val="20"/>
                <w:szCs w:val="20"/>
              </w:rPr>
              <w:t>ha</w:t>
            </w:r>
          </w:p>
        </w:tc>
        <w:tc>
          <w:tcPr>
            <w:tcW w:w="1134" w:type="dxa"/>
          </w:tcPr>
          <w:p w:rsidR="004E480E" w:rsidRPr="002F367B" w:rsidRDefault="0033290F" w:rsidP="00B66FDE">
            <w:pPr>
              <w:spacing w:line="276" w:lineRule="auto"/>
              <w:rPr>
                <w:rFonts w:eastAsiaTheme="minorHAnsi" w:cs="Courier"/>
                <w:sz w:val="20"/>
                <w:szCs w:val="20"/>
                <w:lang w:eastAsia="en-US"/>
              </w:rPr>
            </w:pPr>
            <w:r w:rsidRPr="0033290F">
              <w:rPr>
                <w:rFonts w:eastAsiaTheme="minorHAnsi" w:cs="Courier"/>
                <w:sz w:val="20"/>
                <w:szCs w:val="20"/>
                <w:lang w:eastAsia="en-US"/>
              </w:rPr>
              <w:t>Není relevantní</w:t>
            </w:r>
          </w:p>
        </w:tc>
        <w:tc>
          <w:tcPr>
            <w:tcW w:w="992" w:type="dxa"/>
          </w:tcPr>
          <w:p w:rsidR="004E480E" w:rsidRPr="002F367B" w:rsidRDefault="0033290F" w:rsidP="00EF4C3B">
            <w:pPr>
              <w:spacing w:line="276" w:lineRule="auto"/>
              <w:rPr>
                <w:sz w:val="20"/>
                <w:szCs w:val="20"/>
              </w:rPr>
            </w:pPr>
            <w:r w:rsidRPr="0033290F">
              <w:rPr>
                <w:rFonts w:eastAsiaTheme="minorHAnsi" w:cs="Courier"/>
                <w:sz w:val="20"/>
                <w:szCs w:val="20"/>
                <w:lang w:eastAsia="en-US"/>
              </w:rPr>
              <w:t xml:space="preserve"> 32</w:t>
            </w:r>
          </w:p>
        </w:tc>
        <w:tc>
          <w:tcPr>
            <w:tcW w:w="992" w:type="dxa"/>
          </w:tcPr>
          <w:p w:rsidR="004E480E" w:rsidRPr="002F367B" w:rsidRDefault="0033290F" w:rsidP="00B66FDE">
            <w:pPr>
              <w:spacing w:line="276" w:lineRule="auto"/>
              <w:rPr>
                <w:sz w:val="20"/>
                <w:szCs w:val="20"/>
              </w:rPr>
            </w:pPr>
            <w:r w:rsidRPr="0033290F">
              <w:rPr>
                <w:sz w:val="20"/>
                <w:szCs w:val="20"/>
              </w:rPr>
              <w:t>2013</w:t>
            </w:r>
          </w:p>
        </w:tc>
        <w:tc>
          <w:tcPr>
            <w:tcW w:w="851" w:type="dxa"/>
          </w:tcPr>
          <w:p w:rsidR="004E480E" w:rsidRPr="002F367B" w:rsidRDefault="0033290F" w:rsidP="00B66FDE">
            <w:pPr>
              <w:spacing w:line="276" w:lineRule="auto"/>
              <w:rPr>
                <w:sz w:val="20"/>
                <w:szCs w:val="20"/>
              </w:rPr>
            </w:pPr>
            <w:r w:rsidRPr="0033290F">
              <w:rPr>
                <w:rFonts w:eastAsiaTheme="minorHAnsi" w:cs="Courier"/>
                <w:sz w:val="20"/>
                <w:szCs w:val="20"/>
                <w:lang w:eastAsia="en-US"/>
              </w:rPr>
              <w:t>0</w:t>
            </w:r>
          </w:p>
        </w:tc>
        <w:tc>
          <w:tcPr>
            <w:tcW w:w="1134" w:type="dxa"/>
          </w:tcPr>
          <w:p w:rsidR="004E480E" w:rsidRPr="002F367B" w:rsidRDefault="0033290F" w:rsidP="00B66FDE">
            <w:pPr>
              <w:spacing w:line="276" w:lineRule="auto"/>
              <w:rPr>
                <w:sz w:val="20"/>
                <w:szCs w:val="20"/>
              </w:rPr>
            </w:pPr>
            <w:r w:rsidRPr="0033290F">
              <w:rPr>
                <w:sz w:val="20"/>
                <w:szCs w:val="20"/>
              </w:rPr>
              <w:t>Registry České geologické služby  -svahové nestability</w:t>
            </w:r>
          </w:p>
        </w:tc>
        <w:tc>
          <w:tcPr>
            <w:tcW w:w="1275" w:type="dxa"/>
          </w:tcPr>
          <w:p w:rsidR="004E480E" w:rsidRPr="002F367B" w:rsidRDefault="0033290F" w:rsidP="00B66FDE">
            <w:pPr>
              <w:spacing w:line="276" w:lineRule="auto"/>
              <w:rPr>
                <w:rFonts w:asciiTheme="majorHAnsi" w:hAnsiTheme="majorHAnsi"/>
                <w:bCs/>
                <w:sz w:val="20"/>
                <w:szCs w:val="20"/>
              </w:rPr>
            </w:pPr>
            <w:r w:rsidRPr="0033290F">
              <w:rPr>
                <w:sz w:val="20"/>
                <w:szCs w:val="20"/>
              </w:rPr>
              <w:t>ročně</w:t>
            </w:r>
          </w:p>
        </w:tc>
      </w:tr>
    </w:tbl>
    <w:p w:rsidR="003D352A" w:rsidRDefault="003D352A" w:rsidP="009F2D6E">
      <w:pPr>
        <w:pStyle w:val="Nadpis6"/>
      </w:pPr>
      <w:r w:rsidRPr="004314F4">
        <w:t>Specifický cíl 4: Podpořit preventivní protipovodňová opatření</w:t>
      </w:r>
    </w:p>
    <w:p w:rsidR="0005501C" w:rsidRPr="00A04CBA" w:rsidRDefault="003D352A" w:rsidP="0005501C">
      <w:pPr>
        <w:rPr>
          <w:rFonts w:cs="Calibri"/>
        </w:rPr>
      </w:pPr>
      <w:r w:rsidRPr="00A04CBA">
        <w:t xml:space="preserve">Specifický cíl 1.4 je velmi úzce propojen se specifickým cílem 1.3 a </w:t>
      </w:r>
      <w:r w:rsidRPr="00A04CBA">
        <w:rPr>
          <w:rFonts w:cstheme="minorHAnsi"/>
        </w:rPr>
        <w:t>implementací Směrnice 2007/60/ES o vyhodnocování a zvládání povodňových rizik. Tento specifický cíl tvoří soubor nestrukturálních opatření zaměřených na prevenci a ochranu obyvatel,</w:t>
      </w:r>
      <w:r w:rsidRPr="00A04CBA">
        <w:rPr>
          <w:rFonts w:eastAsia="Times New Roman" w:cs="Calibri"/>
        </w:rPr>
        <w:t xml:space="preserve"> majetku, kulturního dědictví a životního prostředí</w:t>
      </w:r>
      <w:r w:rsidRPr="00A04CBA">
        <w:rPr>
          <w:rFonts w:cstheme="minorHAnsi"/>
        </w:rPr>
        <w:t xml:space="preserve"> před účinky povodní a zajištění zlepšení rychlosti a kvality informací v době povodně </w:t>
      </w:r>
      <w:r w:rsidR="0005501C" w:rsidRPr="00A04CBA">
        <w:rPr>
          <w:rFonts w:cstheme="minorHAnsi"/>
        </w:rPr>
        <w:t xml:space="preserve">(zejména projekty </w:t>
      </w:r>
      <w:r w:rsidR="0033290F" w:rsidRPr="0033290F">
        <w:rPr>
          <w:rFonts w:eastAsia="Times New Roman" w:cs="Calibri"/>
        </w:rPr>
        <w:t xml:space="preserve">hodnocení povodňového rizika, studie odtokových poměrů včetně návrhů efektivních protipovodňových opatření, přípravu povodňových orgánů na provádění operativních opatření při nebezpečí povodně a během povodní, tvorba map povodňového nebezpečí a povodňových rizik, aktualizace podkladů pro stanovování záplavových území, rozšíření a zkvalitnění předpovědní a výstražné služby a hlásné služby v době povodně). </w:t>
      </w:r>
      <w:r w:rsidRPr="00A04CBA">
        <w:rPr>
          <w:rFonts w:cs="Calibri"/>
        </w:rPr>
        <w:t>Zkušenosti z povodní v roce 2006 a přívalových povodní 2009 a 2010 i</w:t>
      </w:r>
      <w:r w:rsidR="00C851AD" w:rsidRPr="00A04CBA">
        <w:rPr>
          <w:rFonts w:cs="Calibri"/>
        </w:rPr>
        <w:t> </w:t>
      </w:r>
      <w:r w:rsidRPr="00A04CBA">
        <w:rPr>
          <w:rFonts w:cs="Calibri"/>
        </w:rPr>
        <w:t xml:space="preserve">povodně z června 2013 ukazují, že rychlost a kvalita informací jsou zásadní pro zvládnutí povodňového rizika, zmírnění možnosti přímého ohrožení lidských životů či možného snížení povodňových škod.  Důležitost informovanosti vzrůstá zvláště u přívalových povodní v případě menších toků. </w:t>
      </w:r>
    </w:p>
    <w:p w:rsidR="0005501C" w:rsidRDefault="0033290F" w:rsidP="0005501C">
      <w:pPr>
        <w:rPr>
          <w:rFonts w:cs="Times New Roman"/>
          <w:color w:val="000000"/>
        </w:rPr>
      </w:pPr>
      <w:r w:rsidRPr="0033290F">
        <w:rPr>
          <w:rFonts w:cs="Times New Roman"/>
          <w:color w:val="000000"/>
        </w:rPr>
        <w:lastRenderedPageBreak/>
        <w:t>V ČR jsou předpovědní modely o srážkách a průtocích řešeny na centrální úrovni (ČHMÚ), manipulace na vodních dílech v rámci dílčích povodí (podniky Povodí), ale odpovědnost za varování a evakuaci obyvatel je na místní úrovni. Proto jsou podporovány i LVS, které indikují především přívalové lokální srážky nebo lokální omezení průt</w:t>
      </w:r>
      <w:r w:rsidR="00724DAE">
        <w:rPr>
          <w:rFonts w:cs="Times New Roman"/>
          <w:color w:val="000000"/>
        </w:rPr>
        <w:t>očnosti drobných vodních toků a </w:t>
      </w:r>
      <w:r w:rsidRPr="0033290F">
        <w:rPr>
          <w:rFonts w:cs="Times New Roman"/>
          <w:color w:val="000000"/>
        </w:rPr>
        <w:t>zároveň je umožněna včasná výstraha ohroženým obyvatelům.</w:t>
      </w:r>
    </w:p>
    <w:p w:rsidR="007644F3" w:rsidRPr="007644F3" w:rsidRDefault="007644F3" w:rsidP="007644F3">
      <w:r>
        <w:t>Pro specifický cíl se předpokládá využití 10% alokované částky pro prioritní osu 1, více než polovina alokované částky specifického cíle je určena na budování, rozšíření a zkvalitnění informačních, hlásných, předpovědních a výstražných systémů n</w:t>
      </w:r>
      <w:r w:rsidR="00724DAE">
        <w:t>a lokální i celostátní úrovni a </w:t>
      </w:r>
      <w:r>
        <w:t>dále digitální povodňové plány.</w:t>
      </w:r>
    </w:p>
    <w:p w:rsidR="00510938" w:rsidRPr="004314F4" w:rsidRDefault="00510938" w:rsidP="00B1394B">
      <w:pPr>
        <w:pStyle w:val="Titulek"/>
      </w:pPr>
      <w:r w:rsidRPr="004314F4">
        <w:t xml:space="preserve">Specifické </w:t>
      </w:r>
      <w:r w:rsidR="0026537B">
        <w:t>programové ukazatele</w:t>
      </w:r>
      <w:r w:rsidRPr="004314F4">
        <w:t xml:space="preserve"> výsledků pro SC 1.4</w:t>
      </w:r>
    </w:p>
    <w:tbl>
      <w:tblPr>
        <w:tblStyle w:val="Mkatabulky"/>
        <w:tblW w:w="9180" w:type="dxa"/>
        <w:tblLayout w:type="fixed"/>
        <w:tblLook w:val="04A0" w:firstRow="1" w:lastRow="0" w:firstColumn="1" w:lastColumn="0" w:noHBand="0" w:noVBand="1"/>
      </w:tblPr>
      <w:tblGrid>
        <w:gridCol w:w="675"/>
        <w:gridCol w:w="1276"/>
        <w:gridCol w:w="992"/>
        <w:gridCol w:w="1134"/>
        <w:gridCol w:w="851"/>
        <w:gridCol w:w="850"/>
        <w:gridCol w:w="1134"/>
        <w:gridCol w:w="1276"/>
        <w:gridCol w:w="992"/>
      </w:tblGrid>
      <w:tr w:rsidR="0026537B" w:rsidRPr="00A93169" w:rsidTr="005472D1">
        <w:tc>
          <w:tcPr>
            <w:tcW w:w="675" w:type="dxa"/>
            <w:tcBorders>
              <w:bottom w:val="single" w:sz="12" w:space="0" w:color="auto"/>
            </w:tcBorders>
            <w:shd w:val="clear" w:color="auto" w:fill="BFBFBF" w:themeFill="background1" w:themeFillShade="BF"/>
          </w:tcPr>
          <w:p w:rsidR="0026537B" w:rsidRPr="003A2CB2" w:rsidRDefault="0026537B" w:rsidP="00B66FDE">
            <w:pPr>
              <w:rPr>
                <w:b/>
                <w:sz w:val="20"/>
                <w:szCs w:val="20"/>
              </w:rPr>
            </w:pPr>
            <w:r w:rsidRPr="003A2CB2">
              <w:rPr>
                <w:b/>
                <w:sz w:val="20"/>
                <w:szCs w:val="20"/>
              </w:rPr>
              <w:t xml:space="preserve">ID </w:t>
            </w:r>
          </w:p>
        </w:tc>
        <w:tc>
          <w:tcPr>
            <w:tcW w:w="1276" w:type="dxa"/>
            <w:tcBorders>
              <w:bottom w:val="single" w:sz="12" w:space="0" w:color="auto"/>
            </w:tcBorders>
            <w:shd w:val="clear" w:color="auto" w:fill="BFBFBF" w:themeFill="background1" w:themeFillShade="BF"/>
          </w:tcPr>
          <w:p w:rsidR="0026537B" w:rsidRPr="003A2CB2" w:rsidRDefault="0026537B" w:rsidP="0026537B">
            <w:pPr>
              <w:spacing w:line="276" w:lineRule="auto"/>
              <w:rPr>
                <w:b/>
                <w:sz w:val="20"/>
                <w:szCs w:val="20"/>
              </w:rPr>
            </w:pPr>
            <w:r w:rsidRPr="003A2CB2">
              <w:rPr>
                <w:b/>
                <w:sz w:val="20"/>
                <w:szCs w:val="20"/>
              </w:rPr>
              <w:t xml:space="preserve">Ukazatel </w:t>
            </w:r>
            <w:r w:rsidR="0033290F" w:rsidRPr="0033290F">
              <w:rPr>
                <w:b/>
                <w:sz w:val="20"/>
                <w:szCs w:val="20"/>
              </w:rPr>
              <w:t xml:space="preserve"> </w:t>
            </w:r>
          </w:p>
        </w:tc>
        <w:tc>
          <w:tcPr>
            <w:tcW w:w="992"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Měrná jednotka</w:t>
            </w:r>
          </w:p>
        </w:tc>
        <w:tc>
          <w:tcPr>
            <w:tcW w:w="1134"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Kategorie regionů</w:t>
            </w:r>
          </w:p>
        </w:tc>
        <w:tc>
          <w:tcPr>
            <w:tcW w:w="851"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Výchozí hodnota</w:t>
            </w:r>
          </w:p>
        </w:tc>
        <w:tc>
          <w:tcPr>
            <w:tcW w:w="850"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Výchozí rok</w:t>
            </w:r>
          </w:p>
        </w:tc>
        <w:tc>
          <w:tcPr>
            <w:tcW w:w="1134"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Cílová hodnota (2023)</w:t>
            </w:r>
          </w:p>
        </w:tc>
        <w:tc>
          <w:tcPr>
            <w:tcW w:w="1276"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Zdroj údajů</w:t>
            </w:r>
          </w:p>
        </w:tc>
        <w:tc>
          <w:tcPr>
            <w:tcW w:w="992"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Četnost podávání zpráv</w:t>
            </w:r>
          </w:p>
        </w:tc>
      </w:tr>
      <w:tr w:rsidR="0026537B" w:rsidRPr="00A93169" w:rsidTr="005472D1">
        <w:tc>
          <w:tcPr>
            <w:tcW w:w="675" w:type="dxa"/>
            <w:tcBorders>
              <w:top w:val="single" w:sz="12" w:space="0" w:color="auto"/>
            </w:tcBorders>
          </w:tcPr>
          <w:p w:rsidR="0026537B" w:rsidRPr="003A2CB2" w:rsidRDefault="001225B7" w:rsidP="00B66FDE">
            <w:pPr>
              <w:rPr>
                <w:sz w:val="20"/>
                <w:szCs w:val="20"/>
              </w:rPr>
            </w:pPr>
            <w:r>
              <w:rPr>
                <w:sz w:val="20"/>
                <w:szCs w:val="20"/>
              </w:rPr>
              <w:t>432</w:t>
            </w:r>
            <w:r w:rsidRPr="008F4F34">
              <w:rPr>
                <w:sz w:val="20"/>
                <w:szCs w:val="20"/>
              </w:rPr>
              <w:t>00</w:t>
            </w:r>
          </w:p>
        </w:tc>
        <w:tc>
          <w:tcPr>
            <w:tcW w:w="1276" w:type="dxa"/>
            <w:tcBorders>
              <w:top w:val="single" w:sz="12" w:space="0" w:color="auto"/>
            </w:tcBorders>
          </w:tcPr>
          <w:p w:rsidR="0026537B" w:rsidRPr="003A2CB2" w:rsidRDefault="0026537B" w:rsidP="00B66FDE">
            <w:pPr>
              <w:rPr>
                <w:sz w:val="20"/>
                <w:szCs w:val="20"/>
              </w:rPr>
            </w:pPr>
            <w:r w:rsidRPr="003A2CB2">
              <w:rPr>
                <w:sz w:val="20"/>
                <w:szCs w:val="20"/>
              </w:rPr>
              <w:t>Počet obyvatel chráněných opatřeními proti povodním</w:t>
            </w:r>
          </w:p>
        </w:tc>
        <w:tc>
          <w:tcPr>
            <w:tcW w:w="992" w:type="dxa"/>
            <w:tcBorders>
              <w:top w:val="single" w:sz="12" w:space="0" w:color="auto"/>
            </w:tcBorders>
          </w:tcPr>
          <w:p w:rsidR="0026537B" w:rsidRPr="003A2CB2" w:rsidRDefault="0033290F" w:rsidP="00B66FDE">
            <w:pPr>
              <w:spacing w:line="276" w:lineRule="auto"/>
              <w:rPr>
                <w:sz w:val="20"/>
                <w:szCs w:val="20"/>
              </w:rPr>
            </w:pPr>
            <w:r w:rsidRPr="0033290F">
              <w:rPr>
                <w:sz w:val="20"/>
                <w:szCs w:val="20"/>
              </w:rPr>
              <w:t>osoby</w:t>
            </w:r>
          </w:p>
        </w:tc>
        <w:tc>
          <w:tcPr>
            <w:tcW w:w="1134" w:type="dxa"/>
            <w:tcBorders>
              <w:top w:val="single" w:sz="12" w:space="0" w:color="auto"/>
            </w:tcBorders>
          </w:tcPr>
          <w:p w:rsidR="0026537B" w:rsidRPr="003A2CB2" w:rsidRDefault="0033290F" w:rsidP="0026537B">
            <w:pPr>
              <w:spacing w:line="276" w:lineRule="auto"/>
              <w:rPr>
                <w:sz w:val="20"/>
                <w:szCs w:val="20"/>
              </w:rPr>
            </w:pPr>
            <w:r w:rsidRPr="0033290F">
              <w:rPr>
                <w:sz w:val="20"/>
                <w:szCs w:val="20"/>
              </w:rPr>
              <w:t>Není relevantní</w:t>
            </w:r>
          </w:p>
        </w:tc>
        <w:tc>
          <w:tcPr>
            <w:tcW w:w="851" w:type="dxa"/>
            <w:tcBorders>
              <w:top w:val="single" w:sz="12" w:space="0" w:color="auto"/>
            </w:tcBorders>
          </w:tcPr>
          <w:p w:rsidR="0026537B" w:rsidRPr="003A2CB2" w:rsidRDefault="0033290F" w:rsidP="00B66FDE">
            <w:pPr>
              <w:spacing w:line="276" w:lineRule="auto"/>
              <w:rPr>
                <w:sz w:val="20"/>
                <w:szCs w:val="20"/>
              </w:rPr>
            </w:pPr>
            <w:r w:rsidRPr="0033290F">
              <w:rPr>
                <w:sz w:val="20"/>
                <w:szCs w:val="20"/>
              </w:rPr>
              <w:t>0</w:t>
            </w:r>
          </w:p>
        </w:tc>
        <w:tc>
          <w:tcPr>
            <w:tcW w:w="850" w:type="dxa"/>
            <w:tcBorders>
              <w:top w:val="single" w:sz="12" w:space="0" w:color="auto"/>
            </w:tcBorders>
          </w:tcPr>
          <w:p w:rsidR="0026537B" w:rsidRPr="003A2CB2" w:rsidRDefault="0033290F" w:rsidP="00B66FDE">
            <w:pPr>
              <w:spacing w:line="276" w:lineRule="auto"/>
              <w:rPr>
                <w:sz w:val="20"/>
                <w:szCs w:val="20"/>
              </w:rPr>
            </w:pPr>
            <w:r w:rsidRPr="0033290F">
              <w:rPr>
                <w:sz w:val="20"/>
                <w:szCs w:val="20"/>
              </w:rPr>
              <w:t>2012</w:t>
            </w:r>
          </w:p>
        </w:tc>
        <w:tc>
          <w:tcPr>
            <w:tcW w:w="1134" w:type="dxa"/>
            <w:tcBorders>
              <w:top w:val="single" w:sz="12" w:space="0" w:color="auto"/>
            </w:tcBorders>
          </w:tcPr>
          <w:p w:rsidR="0026537B" w:rsidRPr="003A2CB2" w:rsidRDefault="0033290F" w:rsidP="00B66FDE">
            <w:pPr>
              <w:spacing w:line="276" w:lineRule="auto"/>
              <w:rPr>
                <w:sz w:val="20"/>
                <w:szCs w:val="20"/>
              </w:rPr>
            </w:pPr>
            <w:r w:rsidRPr="0033290F">
              <w:rPr>
                <w:sz w:val="20"/>
                <w:szCs w:val="20"/>
              </w:rPr>
              <w:t>45 000</w:t>
            </w:r>
          </w:p>
        </w:tc>
        <w:tc>
          <w:tcPr>
            <w:tcW w:w="1276" w:type="dxa"/>
            <w:tcBorders>
              <w:top w:val="single" w:sz="12" w:space="0" w:color="auto"/>
            </w:tcBorders>
          </w:tcPr>
          <w:p w:rsidR="0026537B" w:rsidRPr="003A2CB2" w:rsidRDefault="0033290F" w:rsidP="00B66FDE">
            <w:pPr>
              <w:spacing w:line="276" w:lineRule="auto"/>
              <w:rPr>
                <w:sz w:val="20"/>
                <w:szCs w:val="20"/>
              </w:rPr>
            </w:pPr>
            <w:r w:rsidRPr="0033290F">
              <w:rPr>
                <w:sz w:val="20"/>
                <w:szCs w:val="20"/>
              </w:rPr>
              <w:t>žadatel/příjemce</w:t>
            </w:r>
          </w:p>
        </w:tc>
        <w:tc>
          <w:tcPr>
            <w:tcW w:w="992" w:type="dxa"/>
            <w:tcBorders>
              <w:top w:val="single" w:sz="12" w:space="0" w:color="auto"/>
            </w:tcBorders>
          </w:tcPr>
          <w:p w:rsidR="0026537B" w:rsidRPr="003A2CB2" w:rsidRDefault="0033290F" w:rsidP="00B66FDE">
            <w:pPr>
              <w:spacing w:line="276" w:lineRule="auto"/>
              <w:rPr>
                <w:sz w:val="20"/>
                <w:szCs w:val="20"/>
              </w:rPr>
            </w:pPr>
            <w:r w:rsidRPr="0033290F">
              <w:rPr>
                <w:rFonts w:asciiTheme="majorHAnsi" w:hAnsiTheme="majorHAnsi"/>
                <w:bCs/>
                <w:sz w:val="20"/>
                <w:szCs w:val="20"/>
              </w:rPr>
              <w:t>Průběžně</w:t>
            </w:r>
          </w:p>
        </w:tc>
      </w:tr>
    </w:tbl>
    <w:p w:rsidR="007C60A4" w:rsidRPr="007C60A4" w:rsidRDefault="007C60A4" w:rsidP="00B66FDE"/>
    <w:p w:rsidR="007C60A4" w:rsidRPr="004314F4" w:rsidRDefault="0026537B" w:rsidP="00165854">
      <w:pPr>
        <w:pStyle w:val="Nadpis4"/>
      </w:pPr>
      <w:bookmarkStart w:id="2320" w:name="_Toc392150988"/>
      <w:r>
        <w:t xml:space="preserve">Opatření, jež má být podpořeno v rámci </w:t>
      </w:r>
      <w:r w:rsidR="000D4181">
        <w:t>investiční priority</w:t>
      </w:r>
      <w:bookmarkEnd w:id="2320"/>
      <w:r>
        <w:t xml:space="preserve"> </w:t>
      </w:r>
    </w:p>
    <w:p w:rsidR="003D352A" w:rsidRDefault="00BB23A1" w:rsidP="00165854">
      <w:pPr>
        <w:pStyle w:val="Nadpis5"/>
      </w:pPr>
      <w:r w:rsidRPr="004314F4">
        <w:t xml:space="preserve"> </w:t>
      </w:r>
      <w:bookmarkStart w:id="2321" w:name="_Toc392150989"/>
      <w:r w:rsidR="0026537B">
        <w:t>Popis typů a příkladů opatření, která mají být podporována,</w:t>
      </w:r>
      <w:r w:rsidR="00E320BB">
        <w:t> </w:t>
      </w:r>
      <w:r w:rsidR="0026537B">
        <w:t>a jejich očekávaný přínos k plnění specifických cílů, případně včetně určení hlavních cílových skupin, konkrétních cílových území a druhů příjemců</w:t>
      </w:r>
      <w:bookmarkEnd w:id="2321"/>
    </w:p>
    <w:p w:rsidR="00B65141" w:rsidRDefault="003D352A" w:rsidP="00165854">
      <w:pPr>
        <w:pStyle w:val="Nadpis6"/>
      </w:pPr>
      <w:r w:rsidRPr="004314F4">
        <w:t xml:space="preserve">Specifický cíl 3: Zajistit povodňovou ochranu </w:t>
      </w:r>
      <w:proofErr w:type="spellStart"/>
      <w:r w:rsidRPr="004314F4">
        <w:t>intravilánu</w:t>
      </w:r>
      <w:proofErr w:type="spellEnd"/>
      <w:r w:rsidRPr="004314F4">
        <w:t xml:space="preserve"> </w:t>
      </w:r>
    </w:p>
    <w:p w:rsidR="003D352A" w:rsidRDefault="003D352A" w:rsidP="00B66FDE">
      <w:r w:rsidRPr="004314F4">
        <w:t xml:space="preserve">Oblast podpory je zaměřena na realizaci povodňových opatření v </w:t>
      </w:r>
      <w:proofErr w:type="spellStart"/>
      <w:r w:rsidRPr="004314F4">
        <w:t>intravilánu</w:t>
      </w:r>
      <w:proofErr w:type="spellEnd"/>
      <w:r w:rsidRPr="004314F4">
        <w:t xml:space="preserve"> obcí a </w:t>
      </w:r>
      <w:proofErr w:type="spellStart"/>
      <w:r w:rsidRPr="004314F4">
        <w:t>extravilánu</w:t>
      </w:r>
      <w:proofErr w:type="spellEnd"/>
      <w:r w:rsidRPr="004314F4">
        <w:t xml:space="preserve">, která budou mít pozitivní efekt na zmenšení rozsahu zaplaveného území v obcích a snížení počtu zaplavených nemovitostí a tím snížení povodňových škod. V rámci podpory se předpokládá podpora projektů </w:t>
      </w:r>
      <w:proofErr w:type="spellStart"/>
      <w:r w:rsidRPr="004314F4">
        <w:t>zprůtočňování</w:t>
      </w:r>
      <w:proofErr w:type="spellEnd"/>
      <w:r w:rsidRPr="004314F4">
        <w:t xml:space="preserve"> koryt vodních toků a přil</w:t>
      </w:r>
      <w:r w:rsidR="00F83122">
        <w:t>ehlých niv v </w:t>
      </w:r>
      <w:proofErr w:type="spellStart"/>
      <w:r w:rsidR="00F83122">
        <w:t>intravilánu</w:t>
      </w:r>
      <w:proofErr w:type="spellEnd"/>
      <w:r w:rsidR="00F83122">
        <w:t xml:space="preserve"> obcí a </w:t>
      </w:r>
      <w:proofErr w:type="spellStart"/>
      <w:r w:rsidRPr="004314F4">
        <w:t>extravilánu</w:t>
      </w:r>
      <w:proofErr w:type="spellEnd"/>
      <w:r w:rsidRPr="004314F4">
        <w:t xml:space="preserve"> s přímou vazbou na snížení povodňového ohrožení v </w:t>
      </w:r>
      <w:proofErr w:type="spellStart"/>
      <w:r w:rsidRPr="004314F4">
        <w:t>intravilánu</w:t>
      </w:r>
      <w:proofErr w:type="spellEnd"/>
      <w:r>
        <w:t xml:space="preserve">. </w:t>
      </w:r>
      <w:r w:rsidRPr="004314F4">
        <w:t xml:space="preserve">Dalšími typy podporovaných projektů v rámci aktivity </w:t>
      </w:r>
      <w:r>
        <w:t>„</w:t>
      </w:r>
      <w:r w:rsidRPr="004314F4">
        <w:t>Obnova, výstavba a rekonstrukce, případně modernizace vodních děl sloužící povodňové ochraně</w:t>
      </w:r>
      <w:r>
        <w:t>“</w:t>
      </w:r>
      <w:r w:rsidRPr="004314F4">
        <w:t xml:space="preserve"> jsou navrhovány například výstavba poldrů, úpravy stávající</w:t>
      </w:r>
      <w:r w:rsidR="00E320BB">
        <w:t>ch</w:t>
      </w:r>
      <w:r w:rsidRPr="004314F4">
        <w:t xml:space="preserve"> nádrží za účelem zvýšení a zlepšení jejich protipovodňových funkcí. Součástí podpory jsou i aktivity zaměřené na retardaci odtoku </w:t>
      </w:r>
      <w:r w:rsidR="00062C89">
        <w:t xml:space="preserve">v povodí vodních toků </w:t>
      </w:r>
      <w:r w:rsidRPr="004314F4">
        <w:t>a</w:t>
      </w:r>
      <w:r w:rsidR="00E83B79">
        <w:t> </w:t>
      </w:r>
      <w:r w:rsidRPr="004314F4">
        <w:t>hospodaření se srážkovými vodami.</w:t>
      </w:r>
      <w:r w:rsidRPr="004314F4">
        <w:rPr>
          <w:noProof/>
        </w:rPr>
        <w:t xml:space="preserve"> </w:t>
      </w:r>
      <w:r w:rsidR="00062C89" w:rsidRPr="007B686B">
        <w:t>Retardace bude zaměřena na</w:t>
      </w:r>
      <w:r>
        <w:rPr>
          <w:noProof/>
        </w:rPr>
        <w:t xml:space="preserve"> </w:t>
      </w:r>
      <w:r>
        <w:t xml:space="preserve">zvýšení retenčního potenciálu </w:t>
      </w:r>
      <w:r w:rsidR="0005501C">
        <w:t xml:space="preserve">v povodí </w:t>
      </w:r>
      <w:r>
        <w:t xml:space="preserve">přírodě blízkými opatřeními. </w:t>
      </w:r>
      <w:r w:rsidRPr="004314F4">
        <w:t>Hospodaření se srážkovými vodami zejména v městských aglomeracích je vedeno snahou postupně omezovat vypouštění neznečištěných srážkových vod do kanalizace. Srá</w:t>
      </w:r>
      <w:r w:rsidR="00F83122">
        <w:t>žkové vody mohou být zadrženy a </w:t>
      </w:r>
      <w:r w:rsidRPr="004314F4">
        <w:t>využív</w:t>
      </w:r>
      <w:r>
        <w:t>á</w:t>
      </w:r>
      <w:r w:rsidRPr="004314F4">
        <w:t>ny např. k zavlažování za</w:t>
      </w:r>
      <w:r w:rsidR="0012133D">
        <w:t>hrad a</w:t>
      </w:r>
      <w:r w:rsidR="00E83B79">
        <w:t> </w:t>
      </w:r>
      <w:r w:rsidR="0012133D">
        <w:t>parků nebo zasakovány do </w:t>
      </w:r>
      <w:r w:rsidRPr="004314F4">
        <w:t>podloží, v době povodně správná funkce zařízení může pomoci oddálit přetížení kanalizačních systémů a potenciálně</w:t>
      </w:r>
      <w:r>
        <w:t xml:space="preserve"> snížit možné </w:t>
      </w:r>
      <w:r>
        <w:lastRenderedPageBreak/>
        <w:t xml:space="preserve">následky povodně. </w:t>
      </w:r>
      <w:r w:rsidRPr="004314F4">
        <w:t xml:space="preserve">Výsledný efekt financovaných opatření v rámci specifického cíle by mělo být zlepšení povodňové ochrany sídelních aglomerací. </w:t>
      </w:r>
      <w:r w:rsidR="00062C89" w:rsidRPr="007B686B">
        <w:t>Každé uvažované protipovodňové opatření bude podpořeno na základě odův</w:t>
      </w:r>
      <w:r w:rsidR="00F83122">
        <w:t>odnění studií proveditelnosti a </w:t>
      </w:r>
      <w:r w:rsidR="00062C89" w:rsidRPr="007B686B">
        <w:t>technickoekonomickou analýzou, která doloží proveditelnost zejména z hlediska majetkoprávních vztahů, efektivnosti opatření a vazby na stav dotčených vodních útvarů.</w:t>
      </w:r>
      <w:r w:rsidR="00814B54">
        <w:t xml:space="preserve"> P</w:t>
      </w:r>
      <w:r w:rsidR="00814B54" w:rsidRPr="00930586">
        <w:t xml:space="preserve">ro efektivní ochranu před povodněmi je třeba vycházet </w:t>
      </w:r>
      <w:r w:rsidR="00814B54">
        <w:t xml:space="preserve">primárně </w:t>
      </w:r>
      <w:r w:rsidR="00814B54" w:rsidRPr="00930586">
        <w:t>z</w:t>
      </w:r>
      <w:r w:rsidR="00E83B79">
        <w:t> </w:t>
      </w:r>
      <w:r w:rsidR="00814B54" w:rsidRPr="00930586">
        <w:t>opatření</w:t>
      </w:r>
      <w:r w:rsidR="00814B54">
        <w:t xml:space="preserve"> </w:t>
      </w:r>
      <w:r w:rsidR="00814B54" w:rsidRPr="00930586">
        <w:t>v krajině, která zvyšují přirozenou akumulaci a retardaci vody v území a</w:t>
      </w:r>
      <w:r w:rsidR="00814B54">
        <w:t xml:space="preserve"> návazně technická opatření k </w:t>
      </w:r>
      <w:r w:rsidR="00814B54" w:rsidRPr="00930586">
        <w:t>ovlivnění povodňových průtoků</w:t>
      </w:r>
      <w:r w:rsidR="00814B54">
        <w:t>. Navrhovaná opatření musí být v souladu se směrnicemi Evropského parlamentu a Rady 2000/60/ES ustavující rámec pro činnost společenství v oblast</w:t>
      </w:r>
      <w:r w:rsidR="004B6C19">
        <w:t>i vodní politiky a 2007/60/ES o </w:t>
      </w:r>
      <w:r w:rsidR="00814B54">
        <w:t xml:space="preserve">vyhodnocování a zvládání povodňových rizik. </w:t>
      </w:r>
    </w:p>
    <w:p w:rsidR="003D352A" w:rsidRPr="004314F4" w:rsidRDefault="003D352A" w:rsidP="00E83B79">
      <w:pPr>
        <w:spacing w:after="0" w:afterAutospacing="0"/>
      </w:pPr>
      <w:r w:rsidRPr="004314F4">
        <w:t>Podporované aktivity v rámci specifického cíle 1.3 - budou:</w:t>
      </w:r>
    </w:p>
    <w:p w:rsidR="006F7D80" w:rsidRDefault="003D352A" w:rsidP="00495FC1">
      <w:pPr>
        <w:pStyle w:val="Odstavecseseznamem"/>
        <w:numPr>
          <w:ilvl w:val="0"/>
          <w:numId w:val="7"/>
        </w:numPr>
        <w:spacing w:after="0" w:afterAutospacing="0"/>
      </w:pPr>
      <w:proofErr w:type="spellStart"/>
      <w:r w:rsidRPr="004314F4">
        <w:t>Zprůtočnění</w:t>
      </w:r>
      <w:proofErr w:type="spellEnd"/>
      <w:r w:rsidRPr="004314F4">
        <w:t xml:space="preserve"> </w:t>
      </w:r>
      <w:r w:rsidR="00522AA7">
        <w:t xml:space="preserve">nebo zvýšení retenčního potenciálu </w:t>
      </w:r>
      <w:r w:rsidRPr="004314F4">
        <w:t>koryt vodních toků a přilehlých niv, zlepšení přirozených rozlivů</w:t>
      </w:r>
      <w:r w:rsidR="007B5B10">
        <w:t>.</w:t>
      </w:r>
    </w:p>
    <w:p w:rsidR="006F7D80" w:rsidRDefault="003D352A" w:rsidP="00495FC1">
      <w:pPr>
        <w:pStyle w:val="Odstavecseseznamem"/>
        <w:numPr>
          <w:ilvl w:val="0"/>
          <w:numId w:val="7"/>
        </w:numPr>
        <w:spacing w:after="0" w:afterAutospacing="0"/>
      </w:pPr>
      <w:r w:rsidRPr="004314F4">
        <w:t xml:space="preserve">Hospodaření se srážkovými vodami </w:t>
      </w:r>
      <w:r w:rsidR="0005501C">
        <w:t>v </w:t>
      </w:r>
      <w:proofErr w:type="spellStart"/>
      <w:r w:rsidR="0005501C">
        <w:t>intravilánu</w:t>
      </w:r>
      <w:proofErr w:type="spellEnd"/>
      <w:r w:rsidR="0005501C">
        <w:t xml:space="preserve"> </w:t>
      </w:r>
      <w:r w:rsidRPr="004314F4">
        <w:t>a</w:t>
      </w:r>
      <w:r w:rsidR="008E6B35">
        <w:t> </w:t>
      </w:r>
      <w:r w:rsidRPr="004314F4">
        <w:t>jejich další využití namísto jejich urychleného odvádění kanalizací do toků</w:t>
      </w:r>
      <w:r w:rsidR="007B5B10">
        <w:t>.</w:t>
      </w:r>
      <w:r w:rsidRPr="004314F4">
        <w:t xml:space="preserve">     </w:t>
      </w:r>
    </w:p>
    <w:p w:rsidR="006F7D80" w:rsidRDefault="003D352A" w:rsidP="00495FC1">
      <w:pPr>
        <w:pStyle w:val="Odstavecseseznamem"/>
        <w:numPr>
          <w:ilvl w:val="0"/>
          <w:numId w:val="7"/>
        </w:numPr>
      </w:pPr>
      <w:r w:rsidRPr="004314F4">
        <w:t>Obnova, výstavba a rekonstrukce, případně modernizace vodních děl sloužící povodňové ochraně</w:t>
      </w:r>
      <w:r w:rsidR="007B5B10">
        <w:t>.</w:t>
      </w:r>
      <w:r w:rsidRPr="004314F4">
        <w:t xml:space="preserve"> </w:t>
      </w:r>
    </w:p>
    <w:p w:rsidR="003D352A" w:rsidRPr="004314F4" w:rsidRDefault="00067ADC" w:rsidP="00495FC1">
      <w:pPr>
        <w:pStyle w:val="Odstavecseseznamem"/>
        <w:numPr>
          <w:ilvl w:val="0"/>
          <w:numId w:val="7"/>
        </w:numPr>
      </w:pPr>
      <w:r w:rsidRPr="00235791">
        <w:t>Stabilizace a sanace svahových nestabilit ohrožujících zdraví, majetek a bezpečnost vyplývajících z „Registru svahových nestabilit“</w:t>
      </w:r>
      <w:r>
        <w:t>.</w:t>
      </w:r>
    </w:p>
    <w:p w:rsidR="003D352A" w:rsidRPr="004314F4" w:rsidRDefault="003D352A" w:rsidP="00B66FDE">
      <w:r w:rsidRPr="004314F4">
        <w:t>Hlavní cílové skupiny: Veřejný sektor, organizace zajišťující technická opatření na vodních tocích</w:t>
      </w:r>
      <w:r>
        <w:t xml:space="preserve"> (správci </w:t>
      </w:r>
      <w:r w:rsidR="00973285">
        <w:t>toků</w:t>
      </w:r>
      <w:r>
        <w:t>)</w:t>
      </w:r>
      <w:r w:rsidR="00973285">
        <w:t xml:space="preserve">, </w:t>
      </w:r>
      <w:r w:rsidR="00973285" w:rsidRPr="001960E3">
        <w:t>Česká republika - prostřednictvím organizačních složek státu a jimi zřízených příspěvkových organizací</w:t>
      </w:r>
      <w:r>
        <w:t>.</w:t>
      </w:r>
    </w:p>
    <w:p w:rsidR="003D352A" w:rsidRPr="004314F4" w:rsidRDefault="003D352A" w:rsidP="00FE4D74">
      <w:r w:rsidRPr="004314F4">
        <w:t xml:space="preserve">Cílová území: území celé </w:t>
      </w:r>
      <w:r w:rsidR="0007549A">
        <w:t>České republiky</w:t>
      </w:r>
    </w:p>
    <w:p w:rsidR="00887580" w:rsidRPr="00CA2D14" w:rsidRDefault="00887580" w:rsidP="00887580">
      <w:pPr>
        <w:rPr>
          <w:b/>
        </w:rPr>
      </w:pPr>
      <w:r w:rsidRPr="00CA2D14">
        <w:rPr>
          <w:b/>
        </w:rPr>
        <w:t>Typy příjemců</w:t>
      </w:r>
      <w:r w:rsidR="00E83B79">
        <w:rPr>
          <w:b/>
        </w:rPr>
        <w:t>:</w:t>
      </w:r>
    </w:p>
    <w:p w:rsidR="00887580" w:rsidRPr="00CA2D14" w:rsidRDefault="00887580" w:rsidP="00887580">
      <w:pPr>
        <w:spacing w:after="0" w:afterAutospacing="0"/>
      </w:pPr>
      <w:r w:rsidRPr="00CA2D14">
        <w:t>Právnické osoby</w:t>
      </w:r>
      <w:r w:rsidR="00E83B79">
        <w:t xml:space="preserve"> (pouze indikativní výčet)</w:t>
      </w:r>
      <w:r w:rsidRPr="00CA2D14">
        <w:t>:</w:t>
      </w:r>
    </w:p>
    <w:p w:rsidR="00887580" w:rsidRPr="00CA2D14" w:rsidRDefault="00E83B79" w:rsidP="00495FC1">
      <w:pPr>
        <w:pStyle w:val="Odstavecseseznamem"/>
        <w:numPr>
          <w:ilvl w:val="0"/>
          <w:numId w:val="99"/>
        </w:numPr>
        <w:spacing w:after="0" w:afterAutospacing="0"/>
        <w:jc w:val="left"/>
      </w:pPr>
      <w:r>
        <w:t>k</w:t>
      </w:r>
      <w:r w:rsidR="00887580" w:rsidRPr="00CA2D14">
        <w:t>raj</w:t>
      </w:r>
      <w:r>
        <w:t>,</w:t>
      </w:r>
    </w:p>
    <w:p w:rsidR="00887580" w:rsidRPr="00CA2D14" w:rsidRDefault="00E83B79" w:rsidP="00495FC1">
      <w:pPr>
        <w:pStyle w:val="Odstavecseseznamem"/>
        <w:numPr>
          <w:ilvl w:val="0"/>
          <w:numId w:val="99"/>
        </w:numPr>
        <w:spacing w:after="0" w:afterAutospacing="0"/>
        <w:jc w:val="left"/>
      </w:pPr>
      <w:r>
        <w:t>o</w:t>
      </w:r>
      <w:r w:rsidR="00887580" w:rsidRPr="00CA2D14">
        <w:t>bec</w:t>
      </w:r>
      <w:r>
        <w:t>,</w:t>
      </w:r>
    </w:p>
    <w:p w:rsidR="00887580" w:rsidRPr="00CA2D14" w:rsidRDefault="00887580" w:rsidP="00495FC1">
      <w:pPr>
        <w:pStyle w:val="Odstavecseseznamem"/>
        <w:numPr>
          <w:ilvl w:val="0"/>
          <w:numId w:val="99"/>
        </w:numPr>
        <w:jc w:val="left"/>
      </w:pPr>
      <w:r w:rsidRPr="00CA2D14">
        <w:t>dobrovolné svazky obcí</w:t>
      </w:r>
      <w:r w:rsidR="00E83B79">
        <w:t>,</w:t>
      </w:r>
    </w:p>
    <w:p w:rsidR="00887580" w:rsidRPr="00CA2D14" w:rsidRDefault="00887580" w:rsidP="00495FC1">
      <w:pPr>
        <w:pStyle w:val="Odstavecseseznamem"/>
        <w:numPr>
          <w:ilvl w:val="0"/>
          <w:numId w:val="99"/>
        </w:numPr>
        <w:jc w:val="left"/>
      </w:pPr>
      <w:r w:rsidRPr="00CA2D14">
        <w:t>příspěvkové organizace</w:t>
      </w:r>
      <w:r w:rsidR="00E83B79">
        <w:t>,</w:t>
      </w:r>
    </w:p>
    <w:p w:rsidR="00887580" w:rsidRDefault="00887580" w:rsidP="00495FC1">
      <w:pPr>
        <w:pStyle w:val="Odstavecseseznamem"/>
        <w:numPr>
          <w:ilvl w:val="0"/>
          <w:numId w:val="99"/>
        </w:numPr>
        <w:jc w:val="left"/>
      </w:pPr>
      <w:r w:rsidRPr="00CA2D14">
        <w:t>státní podniky</w:t>
      </w:r>
      <w:r w:rsidR="00E83B79">
        <w:t>,</w:t>
      </w:r>
    </w:p>
    <w:p w:rsidR="00674BC9" w:rsidRDefault="00572484" w:rsidP="00495FC1">
      <w:pPr>
        <w:pStyle w:val="Odstavecseseznamem"/>
        <w:numPr>
          <w:ilvl w:val="0"/>
          <w:numId w:val="99"/>
        </w:numPr>
        <w:spacing w:after="200" w:afterAutospacing="0"/>
        <w:jc w:val="left"/>
      </w:pPr>
      <w:r>
        <w:t>vysoké školy</w:t>
      </w:r>
      <w:r w:rsidR="00E83B79">
        <w:t>,</w:t>
      </w:r>
    </w:p>
    <w:p w:rsidR="00887580" w:rsidRPr="00CA2D14" w:rsidRDefault="00887580" w:rsidP="00495FC1">
      <w:pPr>
        <w:pStyle w:val="Odstavecseseznamem"/>
        <w:numPr>
          <w:ilvl w:val="0"/>
          <w:numId w:val="99"/>
        </w:numPr>
        <w:jc w:val="left"/>
      </w:pPr>
      <w:r w:rsidRPr="00CA2D14">
        <w:t>organizační složky státu</w:t>
      </w:r>
      <w:r w:rsidR="00E83B79">
        <w:t>,</w:t>
      </w:r>
    </w:p>
    <w:p w:rsidR="00887580" w:rsidRPr="00CA2D14" w:rsidRDefault="00E83B79" w:rsidP="00495FC1">
      <w:pPr>
        <w:pStyle w:val="Odstavecseseznamem"/>
        <w:numPr>
          <w:ilvl w:val="0"/>
          <w:numId w:val="99"/>
        </w:numPr>
        <w:jc w:val="left"/>
      </w:pPr>
      <w:r>
        <w:t>veřejná výzkumná instituce.</w:t>
      </w:r>
    </w:p>
    <w:p w:rsidR="00887580" w:rsidRPr="00CA2D14" w:rsidRDefault="00887580" w:rsidP="00887580">
      <w:r w:rsidRPr="00CA2D14">
        <w:t>Fyzické osoby (nepodnikající)</w:t>
      </w:r>
      <w:r w:rsidR="00E83B79">
        <w:t>.</w:t>
      </w:r>
    </w:p>
    <w:p w:rsidR="00887580" w:rsidRPr="00CA2D14" w:rsidRDefault="00887580" w:rsidP="00887580">
      <w:pPr>
        <w:pStyle w:val="Default"/>
        <w:spacing w:after="100" w:afterAutospacing="1" w:line="276" w:lineRule="auto"/>
        <w:rPr>
          <w:rFonts w:ascii="Cambria" w:hAnsi="Cambria"/>
          <w:sz w:val="22"/>
          <w:szCs w:val="22"/>
        </w:rPr>
      </w:pPr>
      <w:r w:rsidRPr="00CA2D14">
        <w:rPr>
          <w:rFonts w:ascii="Cambria" w:hAnsi="Cambria" w:cstheme="minorBidi"/>
          <w:sz w:val="22"/>
          <w:szCs w:val="22"/>
        </w:rPr>
        <w:t>Pozn.: Okruh příjemců bude dále podrobněji definován v návazné řídící dokumentaci.</w:t>
      </w:r>
    </w:p>
    <w:p w:rsidR="003D352A" w:rsidRPr="004314F4" w:rsidRDefault="003D352A" w:rsidP="00165854">
      <w:pPr>
        <w:pStyle w:val="Nadpis6"/>
      </w:pPr>
      <w:r w:rsidRPr="004314F4">
        <w:lastRenderedPageBreak/>
        <w:t>Specifický cíl 4: Podpořit preventivní protipovodňová opatření</w:t>
      </w:r>
    </w:p>
    <w:p w:rsidR="003D352A" w:rsidRPr="004314F4" w:rsidRDefault="003D352A" w:rsidP="00B66FDE">
      <w:r w:rsidRPr="004314F4">
        <w:t>V rámci této podoblasti se plánuje podpora preventivních protipovodňových opatření a ochran</w:t>
      </w:r>
      <w:r>
        <w:t>y</w:t>
      </w:r>
      <w:r w:rsidRPr="004314F4">
        <w:t xml:space="preserve"> obyvatel před účinky povodní. Specifický cíl částečně navazuje na oblast podpory 1.3.1 OP</w:t>
      </w:r>
      <w:r w:rsidR="00E16955">
        <w:t xml:space="preserve"> </w:t>
      </w:r>
      <w:r w:rsidRPr="004314F4">
        <w:t>ŽP v minulém programovém období. Operační cíle podpory jsou úzce svázány s</w:t>
      </w:r>
      <w:r>
        <w:t>e</w:t>
      </w:r>
      <w:r w:rsidRPr="004314F4">
        <w:t xml:space="preserve"> specifickým cílem 1.3, se kterým sdílejí hlavní princip - zvýšení ochrany života osob a majetku ekonomických aktivit regionů ohrožených povodňovým rizikem. Aktivita je zaměřena </w:t>
      </w:r>
      <w:r>
        <w:t xml:space="preserve">na </w:t>
      </w:r>
      <w:r w:rsidRPr="004314F4">
        <w:t xml:space="preserve">zlepšení znalostí povodňového ohrožení a povodňových rizik obyvatel i státní správy a samosprávy.   </w:t>
      </w:r>
      <w:r>
        <w:t>Poskytování k</w:t>
      </w:r>
      <w:r w:rsidRPr="004314F4">
        <w:t>valitní</w:t>
      </w:r>
      <w:r>
        <w:t>ch</w:t>
      </w:r>
      <w:r w:rsidRPr="004314F4">
        <w:t xml:space="preserve"> a včasn</w:t>
      </w:r>
      <w:r>
        <w:t>ých</w:t>
      </w:r>
      <w:r w:rsidRPr="004314F4">
        <w:t xml:space="preserve"> zpráv</w:t>
      </w:r>
      <w:r>
        <w:t xml:space="preserve"> </w:t>
      </w:r>
      <w:r w:rsidRPr="004314F4">
        <w:t xml:space="preserve">a jejich rozšiřování </w:t>
      </w:r>
      <w:r>
        <w:t xml:space="preserve">prostřednictvím hlásného a varovného systému ochrany před povodněmi </w:t>
      </w:r>
      <w:r w:rsidRPr="004314F4">
        <w:t>je zásadním faktorem pro zvládnutí krizových situací v době povodňových událostí</w:t>
      </w:r>
      <w:r>
        <w:t xml:space="preserve"> včetně přívalových povodní</w:t>
      </w:r>
      <w:r w:rsidRPr="004314F4">
        <w:t xml:space="preserve">. Podporované projekty v rámci aktivity </w:t>
      </w:r>
      <w:r>
        <w:t>„</w:t>
      </w:r>
      <w:r w:rsidRPr="004314F4">
        <w:t>Analýza odtokových poměrů včetně návrhů možných protipovodňových opatření</w:t>
      </w:r>
      <w:r>
        <w:t>“</w:t>
      </w:r>
      <w:r w:rsidRPr="004314F4">
        <w:t xml:space="preserve"> budou zaměřeny na celá povodí zejména menších toků </w:t>
      </w:r>
      <w:r>
        <w:t xml:space="preserve">včetně </w:t>
      </w:r>
      <w:r w:rsidRPr="004314F4">
        <w:t>komplexní</w:t>
      </w:r>
      <w:r>
        <w:t>ch</w:t>
      </w:r>
      <w:r w:rsidRPr="004314F4">
        <w:t xml:space="preserve"> návrh</w:t>
      </w:r>
      <w:r>
        <w:t>ů</w:t>
      </w:r>
      <w:r w:rsidRPr="004314F4">
        <w:t xml:space="preserve"> realizace opatření pro snížení rychlosti odtoku vody z povodí a </w:t>
      </w:r>
      <w:r>
        <w:t xml:space="preserve">snížení </w:t>
      </w:r>
      <w:r w:rsidRPr="004314F4">
        <w:t>povodňových průtoků prováděných přírodě blízkým způsobem. Druhou zásadní aktivitou jsou projekty zaměřené na rozšíření a zlepšení systému předpovědní a hlásné povodňové služby a výstražných systémů na lokální i celostátní úrovni, včetně jejich technického vybavení, a tvorba digitálních povodňových plánů.</w:t>
      </w:r>
    </w:p>
    <w:p w:rsidR="003D352A" w:rsidRPr="004314F4" w:rsidRDefault="003D352A" w:rsidP="00E83B79">
      <w:pPr>
        <w:spacing w:after="0" w:afterAutospacing="0"/>
      </w:pPr>
      <w:r w:rsidRPr="004314F4">
        <w:t>Podporované aktivity v rámci specifického cíle 1.4 - budou:</w:t>
      </w:r>
    </w:p>
    <w:p w:rsidR="006F7D80" w:rsidRDefault="003D352A" w:rsidP="00495FC1">
      <w:pPr>
        <w:pStyle w:val="Odstavecseseznamem"/>
        <w:numPr>
          <w:ilvl w:val="0"/>
          <w:numId w:val="8"/>
        </w:numPr>
        <w:spacing w:after="0" w:afterAutospacing="0"/>
      </w:pPr>
      <w:r w:rsidRPr="004314F4">
        <w:t>Analýza odtokových poměrů včetně návrhů mo</w:t>
      </w:r>
      <w:r>
        <w:t>žných protipovodňových opatření</w:t>
      </w:r>
      <w:r w:rsidR="009C6C06">
        <w:t>.</w:t>
      </w:r>
    </w:p>
    <w:p w:rsidR="003D352A" w:rsidRPr="004314F4" w:rsidRDefault="003D352A" w:rsidP="00495FC1">
      <w:pPr>
        <w:pStyle w:val="Odstavecseseznamem"/>
        <w:numPr>
          <w:ilvl w:val="0"/>
          <w:numId w:val="8"/>
        </w:numPr>
      </w:pPr>
      <w:r w:rsidRPr="004314F4">
        <w:t xml:space="preserve">Budování, rozšíření a zkvalitnění </w:t>
      </w:r>
      <w:r w:rsidR="004C0778">
        <w:t>varovných</w:t>
      </w:r>
      <w:r w:rsidRPr="004314F4">
        <w:t>, hlásných, předpovědních a výstražných systémů</w:t>
      </w:r>
      <w:r>
        <w:t xml:space="preserve"> na lokální i celostátní úrovni, d</w:t>
      </w:r>
      <w:r w:rsidRPr="004314F4">
        <w:t>igitální povodňové plány</w:t>
      </w:r>
      <w:r>
        <w:t>.</w:t>
      </w:r>
    </w:p>
    <w:p w:rsidR="003D352A" w:rsidRPr="004314F4" w:rsidRDefault="003D352A" w:rsidP="00B66FDE">
      <w:bookmarkStart w:id="2322" w:name="_Toc384907337"/>
      <w:r w:rsidRPr="004314F4">
        <w:t>Hlavní cílové skupiny: Veřejný sektor</w:t>
      </w:r>
      <w:bookmarkEnd w:id="2322"/>
      <w:r w:rsidR="00E83B79">
        <w:t>.</w:t>
      </w:r>
    </w:p>
    <w:p w:rsidR="003D352A" w:rsidRPr="004314F4" w:rsidRDefault="003D352A" w:rsidP="00B66FDE">
      <w:bookmarkStart w:id="2323" w:name="_Toc384907338"/>
      <w:r w:rsidRPr="004314F4">
        <w:t xml:space="preserve">Cílová území: </w:t>
      </w:r>
      <w:r w:rsidRPr="004752B7">
        <w:t>území potenciálně ohrožená povodňovým rizikem a jejich povodí</w:t>
      </w:r>
      <w:bookmarkEnd w:id="2323"/>
      <w:r w:rsidR="00E83B79">
        <w:t>.</w:t>
      </w:r>
    </w:p>
    <w:p w:rsidR="00887580" w:rsidRPr="00CA2D14" w:rsidRDefault="00887580" w:rsidP="00887580">
      <w:pPr>
        <w:rPr>
          <w:b/>
        </w:rPr>
      </w:pPr>
      <w:r w:rsidRPr="00CA2D14">
        <w:rPr>
          <w:b/>
        </w:rPr>
        <w:t>Typy příjemců</w:t>
      </w:r>
      <w:r w:rsidR="00E83B79">
        <w:rPr>
          <w:b/>
        </w:rPr>
        <w:t>:</w:t>
      </w:r>
    </w:p>
    <w:p w:rsidR="00887580" w:rsidRPr="00CA2D14" w:rsidRDefault="00887580" w:rsidP="00887580">
      <w:pPr>
        <w:spacing w:after="0" w:afterAutospacing="0"/>
      </w:pPr>
      <w:r w:rsidRPr="00CA2D14">
        <w:t>Právnické osoby</w:t>
      </w:r>
      <w:r w:rsidR="00E83B79">
        <w:t xml:space="preserve"> (pouze indikativní výčet)</w:t>
      </w:r>
      <w:r w:rsidRPr="00CA2D14">
        <w:t>:</w:t>
      </w:r>
    </w:p>
    <w:p w:rsidR="00887580" w:rsidRPr="00CA2D14" w:rsidRDefault="00E83B79" w:rsidP="00495FC1">
      <w:pPr>
        <w:pStyle w:val="Odstavecseseznamem"/>
        <w:numPr>
          <w:ilvl w:val="0"/>
          <w:numId w:val="100"/>
        </w:numPr>
        <w:spacing w:after="0" w:afterAutospacing="0"/>
        <w:jc w:val="left"/>
      </w:pPr>
      <w:r>
        <w:t>k</w:t>
      </w:r>
      <w:r w:rsidR="00887580" w:rsidRPr="00CA2D14">
        <w:t>raj</w:t>
      </w:r>
      <w:r>
        <w:t>,</w:t>
      </w:r>
    </w:p>
    <w:p w:rsidR="00887580" w:rsidRPr="00CA2D14" w:rsidRDefault="00887580" w:rsidP="00495FC1">
      <w:pPr>
        <w:pStyle w:val="Odstavecseseznamem"/>
        <w:numPr>
          <w:ilvl w:val="0"/>
          <w:numId w:val="100"/>
        </w:numPr>
        <w:spacing w:after="0" w:afterAutospacing="0"/>
        <w:jc w:val="left"/>
      </w:pPr>
      <w:r w:rsidRPr="00CA2D14">
        <w:t>obec</w:t>
      </w:r>
      <w:r w:rsidR="00E83B79">
        <w:t>,</w:t>
      </w:r>
    </w:p>
    <w:p w:rsidR="00887580" w:rsidRPr="00CA2D14" w:rsidRDefault="00887580" w:rsidP="00495FC1">
      <w:pPr>
        <w:pStyle w:val="Odstavecseseznamem"/>
        <w:numPr>
          <w:ilvl w:val="0"/>
          <w:numId w:val="100"/>
        </w:numPr>
        <w:jc w:val="left"/>
      </w:pPr>
      <w:r w:rsidRPr="00CA2D14">
        <w:t>dobrovolné svazky obcí</w:t>
      </w:r>
      <w:r w:rsidR="00E83B79">
        <w:t>,</w:t>
      </w:r>
    </w:p>
    <w:p w:rsidR="00887580" w:rsidRPr="00CA2D14" w:rsidRDefault="00887580" w:rsidP="00495FC1">
      <w:pPr>
        <w:pStyle w:val="Odstavecseseznamem"/>
        <w:numPr>
          <w:ilvl w:val="0"/>
          <w:numId w:val="100"/>
        </w:numPr>
        <w:jc w:val="left"/>
      </w:pPr>
      <w:r w:rsidRPr="00CA2D14">
        <w:t>příspěvkové organizace</w:t>
      </w:r>
      <w:r w:rsidR="00E83B79">
        <w:t>,</w:t>
      </w:r>
    </w:p>
    <w:p w:rsidR="00887580" w:rsidRPr="00CA2D14" w:rsidRDefault="00887580" w:rsidP="00495FC1">
      <w:pPr>
        <w:pStyle w:val="Odstavecseseznamem"/>
        <w:numPr>
          <w:ilvl w:val="0"/>
          <w:numId w:val="100"/>
        </w:numPr>
        <w:jc w:val="left"/>
      </w:pPr>
      <w:r w:rsidRPr="00CA2D14">
        <w:t>státní podniky</w:t>
      </w:r>
      <w:r w:rsidR="00E83B79">
        <w:t>,</w:t>
      </w:r>
    </w:p>
    <w:p w:rsidR="00887580" w:rsidRPr="00CA2D14" w:rsidRDefault="00887580" w:rsidP="00495FC1">
      <w:pPr>
        <w:pStyle w:val="Odstavecseseznamem"/>
        <w:numPr>
          <w:ilvl w:val="0"/>
          <w:numId w:val="100"/>
        </w:numPr>
        <w:jc w:val="left"/>
      </w:pPr>
      <w:r w:rsidRPr="00CA2D14">
        <w:t>organizační složky státu</w:t>
      </w:r>
      <w:r w:rsidR="00E83B79">
        <w:t>,</w:t>
      </w:r>
    </w:p>
    <w:p w:rsidR="00887580" w:rsidRPr="00CA2D14" w:rsidRDefault="00E83B79" w:rsidP="00495FC1">
      <w:pPr>
        <w:pStyle w:val="Odstavecseseznamem"/>
        <w:numPr>
          <w:ilvl w:val="0"/>
          <w:numId w:val="100"/>
        </w:numPr>
        <w:jc w:val="left"/>
      </w:pPr>
      <w:r>
        <w:t>veřejná výzkumná instituce</w:t>
      </w:r>
      <w:r w:rsidR="00887580" w:rsidRPr="00CA2D14">
        <w:t>.</w:t>
      </w:r>
    </w:p>
    <w:p w:rsidR="00887580" w:rsidRPr="00CA2D14" w:rsidRDefault="00887580" w:rsidP="00887580">
      <w:pPr>
        <w:pStyle w:val="Default"/>
        <w:spacing w:after="100" w:afterAutospacing="1" w:line="276" w:lineRule="auto"/>
        <w:rPr>
          <w:rFonts w:ascii="Cambria" w:hAnsi="Cambria"/>
          <w:sz w:val="22"/>
          <w:szCs w:val="22"/>
        </w:rPr>
      </w:pPr>
      <w:r w:rsidRPr="00CA2D14">
        <w:rPr>
          <w:rFonts w:ascii="Cambria" w:hAnsi="Cambria" w:cstheme="minorBidi"/>
          <w:sz w:val="22"/>
          <w:szCs w:val="22"/>
        </w:rPr>
        <w:t>Pozn.: Okruh příjemců bude dále podrobněji definován v návazné řídící dokumentaci.</w:t>
      </w:r>
    </w:p>
    <w:p w:rsidR="009E74E4" w:rsidRDefault="0026537B" w:rsidP="00165854">
      <w:pPr>
        <w:pStyle w:val="Nadpis5"/>
      </w:pPr>
      <w:bookmarkStart w:id="2324" w:name="_Toc392150990"/>
      <w:r>
        <w:t>Hlavní zásady</w:t>
      </w:r>
      <w:r w:rsidR="009E74E4">
        <w:t xml:space="preserve"> pro výběr operací</w:t>
      </w:r>
      <w:bookmarkEnd w:id="2324"/>
    </w:p>
    <w:p w:rsidR="00712789" w:rsidRPr="00712789" w:rsidRDefault="00712789" w:rsidP="00E83B79">
      <w:r w:rsidRPr="00712789">
        <w:rPr>
          <w:rFonts w:cs="Times New Roman"/>
        </w:rPr>
        <w:t xml:space="preserve">Výběr projektů bude probíhat v souladu se závazným metodickým pokynem MMR pro řízení výzev, hodnocení a výběr projektů v programovém období 2014-2020. </w:t>
      </w:r>
    </w:p>
    <w:p w:rsidR="00712789" w:rsidRPr="00712789" w:rsidRDefault="00712789" w:rsidP="00E83B79">
      <w:r w:rsidRPr="00712789">
        <w:rPr>
          <w:rFonts w:cs="Times New Roman"/>
        </w:rPr>
        <w:lastRenderedPageBreak/>
        <w:t>Projekty budou hodnoceny a vybírány odbornými hodnotiteli podle kritérií pro výběr projektů, která schválí Monitorovací výbor OPŽP.</w:t>
      </w:r>
    </w:p>
    <w:p w:rsidR="00712789" w:rsidRPr="00712789" w:rsidRDefault="00712789" w:rsidP="00E83B79">
      <w:r w:rsidRPr="00712789">
        <w:rPr>
          <w:rFonts w:cs="Times New Roman"/>
        </w:rPr>
        <w:t>Při hodnocení a výběru projektů budou posuzována zejména kritéria ekolog</w:t>
      </w:r>
      <w:r w:rsidR="00CF7592">
        <w:rPr>
          <w:rFonts w:cs="Times New Roman"/>
        </w:rPr>
        <w:t>ická, technická a ekonomická. Vždy</w:t>
      </w:r>
      <w:r w:rsidRPr="00712789">
        <w:rPr>
          <w:rFonts w:cs="Times New Roman"/>
        </w:rPr>
        <w:t xml:space="preserve"> bude posuzován soul</w:t>
      </w:r>
      <w:r w:rsidR="00E83B79">
        <w:rPr>
          <w:rFonts w:cs="Times New Roman"/>
        </w:rPr>
        <w:t>ad s příslušnými strategiemi na </w:t>
      </w:r>
      <w:r w:rsidR="000D4BCA">
        <w:rPr>
          <w:rFonts w:cs="Times New Roman"/>
        </w:rPr>
        <w:t>evropské, národní a </w:t>
      </w:r>
      <w:r w:rsidRPr="00712789">
        <w:rPr>
          <w:rFonts w:cs="Times New Roman"/>
        </w:rPr>
        <w:t>regionální úrovni.</w:t>
      </w:r>
    </w:p>
    <w:p w:rsidR="00712789" w:rsidRPr="00712789" w:rsidRDefault="00712789" w:rsidP="00E83B79">
      <w:r w:rsidRPr="00712789">
        <w:rPr>
          <w:rFonts w:cs="Times New Roman"/>
        </w:rPr>
        <w:t>Při hodnocení a výběru projektů bude posuzována rovněž problematika horizontálních témat (rovné příležitosti a nediskriminace, rovnost žen a mužů a udržitelný rozvoj). Projekt, u kterého bude identifikován negativní dopad na uvedená horizontální témata, nebude moci být podpořen z prostředků OPŽP.</w:t>
      </w:r>
    </w:p>
    <w:p w:rsidR="00712789" w:rsidRPr="00712789" w:rsidRDefault="00712789" w:rsidP="00E83B79">
      <w:r w:rsidRPr="00E83B79">
        <w:rPr>
          <w:rFonts w:cs="Times New Roman"/>
        </w:rPr>
        <w:t>Podrobné informace o kritériích pro výběr projektů k podpoře budou uvedeny v návazné řídící dokumentaci.</w:t>
      </w:r>
    </w:p>
    <w:p w:rsidR="00C3518A" w:rsidRDefault="00C3518A" w:rsidP="00C3518A">
      <w:bookmarkStart w:id="2325" w:name="_Toc391014755"/>
      <w:bookmarkStart w:id="2326" w:name="_Toc391015906"/>
      <w:bookmarkStart w:id="2327" w:name="_Toc391016871"/>
      <w:bookmarkStart w:id="2328" w:name="_Toc391017984"/>
      <w:bookmarkStart w:id="2329" w:name="_Toc391019096"/>
      <w:bookmarkEnd w:id="2325"/>
      <w:bookmarkEnd w:id="2326"/>
      <w:bookmarkEnd w:id="2327"/>
      <w:bookmarkEnd w:id="2328"/>
      <w:bookmarkEnd w:id="2329"/>
      <w:r w:rsidRPr="00127754">
        <w:t>Soulad se státní politikou plánování v oblasti vod, tvořenou zpracovaným Plánem hlavních povodí České republiky a navazujícími plány národní části mezinárodního oblasti povodí a plány oblastí povodí včetně programů opatření (pro období do 22. 12. 2015), po 22.</w:t>
      </w:r>
      <w:r>
        <w:t xml:space="preserve"> </w:t>
      </w:r>
      <w:r w:rsidRPr="00127754">
        <w:t>12.</w:t>
      </w:r>
      <w:r>
        <w:t xml:space="preserve"> </w:t>
      </w:r>
      <w:r w:rsidRPr="00127754">
        <w:t>2015 tvořenou zpracovávanými Národními plány povodí včetně programů opatření a Plány pro zvládání povodňových rizik.</w:t>
      </w:r>
    </w:p>
    <w:p w:rsidR="00C3518A" w:rsidRDefault="00C3518A" w:rsidP="00C3518A">
      <w:r w:rsidRPr="00E634B8">
        <w:t xml:space="preserve">Soulad se směrnicemi Evropského parlamentu a Rady 2000/60/ES ustavující rámec pro činnost společenství v oblasti vodní politiky </w:t>
      </w:r>
      <w:r>
        <w:t>a 2007/60/ES o vyhodnocování a zvládání povodňových rizik.</w:t>
      </w:r>
    </w:p>
    <w:p w:rsidR="00C3518A" w:rsidRDefault="00C3518A" w:rsidP="00C3518A">
      <w:r>
        <w:t>Projekt zachovává (případně zvyšuje) průtočnou kapacitu stanovenou pro danou obec č</w:t>
      </w:r>
      <w:r w:rsidR="00724DAE">
        <w:t>i město a </w:t>
      </w:r>
      <w:r>
        <w:t>nezvýší povodňové nebezpečí.</w:t>
      </w:r>
    </w:p>
    <w:p w:rsidR="00C3518A" w:rsidRDefault="00C3518A" w:rsidP="00C3518A">
      <w:r>
        <w:t>Efektivní preventivní opatření je nutné uplatňovat systémově v ucelených (hydrologických) povodích a s provázáním vlivů podél vodních toků.</w:t>
      </w:r>
    </w:p>
    <w:p w:rsidR="004553D4" w:rsidRDefault="004553D4" w:rsidP="004553D4">
      <w:r>
        <w:t>Pro efektivní ochranu před povodněmi je třeba vycházet primárně z opatření v krajině, která zvyšují přirozenou akumulaci a retardaci vody v území a návazně z technických opatření k ovlivnění povodňových průtoků.</w:t>
      </w:r>
    </w:p>
    <w:p w:rsidR="004553D4" w:rsidRDefault="009E74E4" w:rsidP="004553D4">
      <w:pPr>
        <w:pStyle w:val="Nadpis5"/>
      </w:pPr>
      <w:bookmarkStart w:id="2330" w:name="_Toc392150991"/>
      <w:r>
        <w:t>Plánované využití finančních nástrojů</w:t>
      </w:r>
      <w:bookmarkEnd w:id="2330"/>
    </w:p>
    <w:p w:rsidR="004553D4" w:rsidRDefault="00FA4533" w:rsidP="004553D4">
      <w:r w:rsidRPr="00E83B79">
        <w:t>V rámci této prioritní osy se s využitím finančního nástroje uvažuje a bude blíže specifikováno na základě výsledků ex-ante hodnocení.</w:t>
      </w:r>
      <w:r w:rsidDel="00FA4533">
        <w:t xml:space="preserve"> </w:t>
      </w:r>
    </w:p>
    <w:p w:rsidR="009E74E4" w:rsidRPr="00E83B79" w:rsidRDefault="0026537B" w:rsidP="00E83B79">
      <w:pPr>
        <w:pStyle w:val="Nadpis5"/>
      </w:pPr>
      <w:bookmarkStart w:id="2331" w:name="_Toc392150992"/>
      <w:r w:rsidRPr="00E83B79">
        <w:t xml:space="preserve">Plánované využití </w:t>
      </w:r>
      <w:r w:rsidR="009E74E4" w:rsidRPr="00E83B79">
        <w:t>velkých projektů</w:t>
      </w:r>
      <w:bookmarkEnd w:id="2331"/>
    </w:p>
    <w:p w:rsidR="00BC3BDB" w:rsidRDefault="009E74E4" w:rsidP="00B66FDE">
      <w:r w:rsidRPr="004314F4">
        <w:t>V rámci Prioritní osy 1 se nepřepokládá existence velkého projektu.</w:t>
      </w:r>
    </w:p>
    <w:p w:rsidR="004B6C19" w:rsidRPr="009E74E4" w:rsidRDefault="004B6C19" w:rsidP="00B66FDE"/>
    <w:p w:rsidR="00696754" w:rsidRDefault="0026537B" w:rsidP="00165854">
      <w:pPr>
        <w:pStyle w:val="Nadpis5"/>
      </w:pPr>
      <w:bookmarkStart w:id="2332" w:name="_Toc392150993"/>
      <w:r>
        <w:lastRenderedPageBreak/>
        <w:t xml:space="preserve">Ukazatele </w:t>
      </w:r>
      <w:r w:rsidR="009E74E4">
        <w:t>výstupů</w:t>
      </w:r>
      <w:r>
        <w:t xml:space="preserve"> podle investiční priority</w:t>
      </w:r>
      <w:r w:rsidR="000D311F">
        <w:t xml:space="preserve"> a případně podle kategorie regionů</w:t>
      </w:r>
      <w:bookmarkEnd w:id="2332"/>
      <w:r w:rsidR="000D311F">
        <w:t xml:space="preserve"> </w:t>
      </w:r>
    </w:p>
    <w:p w:rsidR="00696754" w:rsidRDefault="00696754" w:rsidP="008020F3">
      <w:pPr>
        <w:pStyle w:val="Titulek"/>
      </w:pPr>
      <w:r w:rsidRPr="00160387">
        <w:t xml:space="preserve">Společné a specifické </w:t>
      </w:r>
      <w:r w:rsidR="00175A68">
        <w:t xml:space="preserve">programové </w:t>
      </w:r>
      <w:r w:rsidR="0026537B">
        <w:t>ukazatele</w:t>
      </w:r>
      <w:r w:rsidR="0026537B" w:rsidRPr="00160387">
        <w:t xml:space="preserve"> </w:t>
      </w:r>
      <w:r w:rsidRPr="00160387">
        <w:t xml:space="preserve">výstupu </w:t>
      </w:r>
      <w:r>
        <w:t>SC 1.3</w:t>
      </w:r>
      <w:r w:rsidR="008C220D">
        <w:t xml:space="preserve"> a 1.4</w:t>
      </w:r>
    </w:p>
    <w:tbl>
      <w:tblPr>
        <w:tblStyle w:val="Mkatabulky"/>
        <w:tblW w:w="9180" w:type="dxa"/>
        <w:tblLayout w:type="fixed"/>
        <w:tblLook w:val="04A0" w:firstRow="1" w:lastRow="0" w:firstColumn="1" w:lastColumn="0" w:noHBand="0" w:noVBand="1"/>
      </w:tblPr>
      <w:tblGrid>
        <w:gridCol w:w="675"/>
        <w:gridCol w:w="1418"/>
        <w:gridCol w:w="1134"/>
        <w:gridCol w:w="1134"/>
        <w:gridCol w:w="1134"/>
        <w:gridCol w:w="992"/>
        <w:gridCol w:w="1276"/>
        <w:gridCol w:w="1417"/>
      </w:tblGrid>
      <w:tr w:rsidR="0026537B" w:rsidRPr="00CF0CBF" w:rsidTr="005472D1">
        <w:tc>
          <w:tcPr>
            <w:tcW w:w="675" w:type="dxa"/>
            <w:tcBorders>
              <w:bottom w:val="single" w:sz="12" w:space="0" w:color="auto"/>
            </w:tcBorders>
            <w:shd w:val="clear" w:color="auto" w:fill="BFBFBF" w:themeFill="background1" w:themeFillShade="BF"/>
          </w:tcPr>
          <w:p w:rsidR="0026537B" w:rsidRPr="003A2CB2" w:rsidRDefault="0026537B" w:rsidP="00B66FDE">
            <w:pPr>
              <w:rPr>
                <w:b/>
                <w:sz w:val="20"/>
                <w:szCs w:val="20"/>
              </w:rPr>
            </w:pPr>
            <w:r w:rsidRPr="003A2CB2">
              <w:rPr>
                <w:b/>
                <w:sz w:val="20"/>
                <w:szCs w:val="20"/>
              </w:rPr>
              <w:t xml:space="preserve">ID </w:t>
            </w:r>
          </w:p>
        </w:tc>
        <w:tc>
          <w:tcPr>
            <w:tcW w:w="1418"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Ukazatel</w:t>
            </w:r>
          </w:p>
        </w:tc>
        <w:tc>
          <w:tcPr>
            <w:tcW w:w="1134"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Měrná jednotka</w:t>
            </w:r>
          </w:p>
        </w:tc>
        <w:tc>
          <w:tcPr>
            <w:tcW w:w="1134"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Fond</w:t>
            </w:r>
          </w:p>
        </w:tc>
        <w:tc>
          <w:tcPr>
            <w:tcW w:w="1134"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Kategorie regionů</w:t>
            </w:r>
          </w:p>
        </w:tc>
        <w:tc>
          <w:tcPr>
            <w:tcW w:w="992"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Cílová hodnota (2023)</w:t>
            </w:r>
          </w:p>
        </w:tc>
        <w:tc>
          <w:tcPr>
            <w:tcW w:w="1276"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Zdroj údajů</w:t>
            </w:r>
          </w:p>
        </w:tc>
        <w:tc>
          <w:tcPr>
            <w:tcW w:w="1417"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Četnost podávání zpráv</w:t>
            </w:r>
          </w:p>
        </w:tc>
      </w:tr>
      <w:tr w:rsidR="0026537B" w:rsidRPr="00CF0CBF" w:rsidTr="005472D1">
        <w:tc>
          <w:tcPr>
            <w:tcW w:w="675" w:type="dxa"/>
            <w:tcBorders>
              <w:top w:val="single" w:sz="12" w:space="0" w:color="auto"/>
            </w:tcBorders>
          </w:tcPr>
          <w:p w:rsidR="0026537B" w:rsidRPr="003A2CB2" w:rsidRDefault="001225B7" w:rsidP="00B66FDE">
            <w:pPr>
              <w:rPr>
                <w:sz w:val="20"/>
                <w:szCs w:val="20"/>
              </w:rPr>
            </w:pPr>
            <w:r>
              <w:rPr>
                <w:sz w:val="20"/>
                <w:szCs w:val="20"/>
              </w:rPr>
              <w:t>433</w:t>
            </w:r>
            <w:r w:rsidRPr="001225B7">
              <w:rPr>
                <w:sz w:val="20"/>
                <w:szCs w:val="20"/>
              </w:rPr>
              <w:t>00</w:t>
            </w:r>
          </w:p>
        </w:tc>
        <w:tc>
          <w:tcPr>
            <w:tcW w:w="1418" w:type="dxa"/>
            <w:tcBorders>
              <w:top w:val="single" w:sz="12" w:space="0" w:color="auto"/>
            </w:tcBorders>
          </w:tcPr>
          <w:p w:rsidR="0026537B" w:rsidRPr="003A2CB2" w:rsidRDefault="0026537B" w:rsidP="00B66FDE">
            <w:pPr>
              <w:rPr>
                <w:bCs/>
                <w:sz w:val="20"/>
                <w:szCs w:val="20"/>
              </w:rPr>
            </w:pPr>
            <w:r w:rsidRPr="003A2CB2">
              <w:rPr>
                <w:bCs/>
                <w:sz w:val="20"/>
                <w:szCs w:val="20"/>
              </w:rPr>
              <w:t>Délka řešených kilometrů toků</w:t>
            </w:r>
          </w:p>
        </w:tc>
        <w:tc>
          <w:tcPr>
            <w:tcW w:w="1134" w:type="dxa"/>
            <w:tcBorders>
              <w:top w:val="single" w:sz="12" w:space="0" w:color="auto"/>
            </w:tcBorders>
          </w:tcPr>
          <w:p w:rsidR="0026537B" w:rsidRPr="003A2CB2" w:rsidRDefault="0033290F" w:rsidP="00B66FDE">
            <w:pPr>
              <w:spacing w:line="276" w:lineRule="auto"/>
              <w:rPr>
                <w:bCs/>
                <w:sz w:val="20"/>
                <w:szCs w:val="20"/>
              </w:rPr>
            </w:pPr>
            <w:r w:rsidRPr="0033290F">
              <w:rPr>
                <w:bCs/>
                <w:sz w:val="20"/>
                <w:szCs w:val="20"/>
              </w:rPr>
              <w:t>km</w:t>
            </w:r>
          </w:p>
        </w:tc>
        <w:tc>
          <w:tcPr>
            <w:tcW w:w="1134" w:type="dxa"/>
            <w:tcBorders>
              <w:top w:val="single" w:sz="12" w:space="0" w:color="auto"/>
            </w:tcBorders>
          </w:tcPr>
          <w:p w:rsidR="0026537B" w:rsidRPr="003A2CB2" w:rsidRDefault="0033290F" w:rsidP="00B66FDE">
            <w:pPr>
              <w:spacing w:line="276" w:lineRule="auto"/>
              <w:rPr>
                <w:sz w:val="20"/>
                <w:szCs w:val="20"/>
              </w:rPr>
            </w:pPr>
            <w:r w:rsidRPr="0033290F">
              <w:rPr>
                <w:sz w:val="20"/>
                <w:szCs w:val="20"/>
              </w:rPr>
              <w:t>FS</w:t>
            </w:r>
          </w:p>
        </w:tc>
        <w:tc>
          <w:tcPr>
            <w:tcW w:w="1134" w:type="dxa"/>
            <w:tcBorders>
              <w:top w:val="single" w:sz="12" w:space="0" w:color="auto"/>
            </w:tcBorders>
          </w:tcPr>
          <w:p w:rsidR="0026537B" w:rsidRPr="003A2CB2" w:rsidRDefault="0033290F" w:rsidP="00B66FDE">
            <w:pPr>
              <w:spacing w:line="276" w:lineRule="auto"/>
              <w:rPr>
                <w:sz w:val="20"/>
                <w:szCs w:val="20"/>
              </w:rPr>
            </w:pPr>
            <w:r w:rsidRPr="0033290F">
              <w:rPr>
                <w:sz w:val="20"/>
                <w:szCs w:val="20"/>
              </w:rPr>
              <w:t>Není relevantní</w:t>
            </w:r>
          </w:p>
        </w:tc>
        <w:tc>
          <w:tcPr>
            <w:tcW w:w="992" w:type="dxa"/>
            <w:tcBorders>
              <w:top w:val="single" w:sz="12" w:space="0" w:color="auto"/>
            </w:tcBorders>
          </w:tcPr>
          <w:p w:rsidR="0026537B" w:rsidRPr="003A2CB2" w:rsidRDefault="0033290F" w:rsidP="00B66FDE">
            <w:pPr>
              <w:spacing w:line="276" w:lineRule="auto"/>
              <w:rPr>
                <w:sz w:val="20"/>
                <w:szCs w:val="20"/>
              </w:rPr>
            </w:pPr>
            <w:r w:rsidRPr="0033290F">
              <w:rPr>
                <w:sz w:val="20"/>
                <w:szCs w:val="20"/>
              </w:rPr>
              <w:t>400</w:t>
            </w:r>
          </w:p>
        </w:tc>
        <w:tc>
          <w:tcPr>
            <w:tcW w:w="1276" w:type="dxa"/>
            <w:tcBorders>
              <w:top w:val="single" w:sz="12" w:space="0" w:color="auto"/>
            </w:tcBorders>
          </w:tcPr>
          <w:p w:rsidR="0026537B" w:rsidRPr="003A2CB2" w:rsidRDefault="0033290F" w:rsidP="00B66FDE">
            <w:pPr>
              <w:spacing w:line="276" w:lineRule="auto"/>
              <w:rPr>
                <w:sz w:val="20"/>
                <w:szCs w:val="20"/>
              </w:rPr>
            </w:pPr>
            <w:r w:rsidRPr="0033290F">
              <w:rPr>
                <w:sz w:val="20"/>
                <w:szCs w:val="20"/>
              </w:rPr>
              <w:t>Žadatel/Příjemce</w:t>
            </w:r>
          </w:p>
        </w:tc>
        <w:tc>
          <w:tcPr>
            <w:tcW w:w="1417" w:type="dxa"/>
            <w:tcBorders>
              <w:top w:val="single" w:sz="12" w:space="0" w:color="auto"/>
            </w:tcBorders>
          </w:tcPr>
          <w:p w:rsidR="0026537B" w:rsidRPr="003A2CB2" w:rsidRDefault="0033290F" w:rsidP="00B66FDE">
            <w:pPr>
              <w:rPr>
                <w:sz w:val="20"/>
                <w:szCs w:val="20"/>
              </w:rPr>
            </w:pPr>
            <w:r w:rsidRPr="0033290F">
              <w:rPr>
                <w:bCs/>
                <w:sz w:val="20"/>
                <w:szCs w:val="20"/>
              </w:rPr>
              <w:t>Průběžně</w:t>
            </w:r>
          </w:p>
        </w:tc>
      </w:tr>
      <w:tr w:rsidR="0026537B" w:rsidRPr="00CF0CBF" w:rsidTr="005472D1">
        <w:tc>
          <w:tcPr>
            <w:tcW w:w="675" w:type="dxa"/>
          </w:tcPr>
          <w:p w:rsidR="0026537B" w:rsidRPr="003A2CB2" w:rsidRDefault="001225B7" w:rsidP="00B66FDE">
            <w:pPr>
              <w:rPr>
                <w:sz w:val="20"/>
                <w:szCs w:val="20"/>
              </w:rPr>
            </w:pPr>
            <w:r>
              <w:rPr>
                <w:sz w:val="20"/>
                <w:szCs w:val="20"/>
              </w:rPr>
              <w:t>435</w:t>
            </w:r>
            <w:r w:rsidRPr="001225B7">
              <w:rPr>
                <w:sz w:val="20"/>
                <w:szCs w:val="20"/>
              </w:rPr>
              <w:t>00</w:t>
            </w:r>
          </w:p>
        </w:tc>
        <w:tc>
          <w:tcPr>
            <w:tcW w:w="1418" w:type="dxa"/>
          </w:tcPr>
          <w:p w:rsidR="0026537B" w:rsidRPr="003A2CB2" w:rsidRDefault="0026537B" w:rsidP="00B66FDE">
            <w:pPr>
              <w:rPr>
                <w:bCs/>
                <w:sz w:val="20"/>
                <w:szCs w:val="20"/>
              </w:rPr>
            </w:pPr>
            <w:r w:rsidRPr="003A2CB2">
              <w:rPr>
                <w:bCs/>
                <w:sz w:val="20"/>
                <w:szCs w:val="20"/>
              </w:rPr>
              <w:t>Počet obnovených, vystavěných a rekonstruovaných vodních děl sloužících k povodňové ochraně</w:t>
            </w:r>
          </w:p>
        </w:tc>
        <w:tc>
          <w:tcPr>
            <w:tcW w:w="1134" w:type="dxa"/>
          </w:tcPr>
          <w:p w:rsidR="0026537B" w:rsidRPr="003A2CB2" w:rsidRDefault="00857768" w:rsidP="00B66FDE">
            <w:pPr>
              <w:spacing w:line="276" w:lineRule="auto"/>
              <w:rPr>
                <w:bCs/>
                <w:sz w:val="20"/>
                <w:szCs w:val="20"/>
              </w:rPr>
            </w:pPr>
            <w:r>
              <w:rPr>
                <w:bCs/>
                <w:sz w:val="20"/>
                <w:szCs w:val="20"/>
              </w:rPr>
              <w:t>ks</w:t>
            </w:r>
            <w:r w:rsidR="0033290F" w:rsidRPr="0033290F">
              <w:rPr>
                <w:bCs/>
                <w:sz w:val="20"/>
                <w:szCs w:val="20"/>
              </w:rPr>
              <w:t xml:space="preserve"> </w:t>
            </w:r>
          </w:p>
        </w:tc>
        <w:tc>
          <w:tcPr>
            <w:tcW w:w="1134" w:type="dxa"/>
          </w:tcPr>
          <w:p w:rsidR="0026537B" w:rsidRPr="003A2CB2" w:rsidRDefault="0033290F" w:rsidP="00B66FDE">
            <w:pPr>
              <w:spacing w:line="276" w:lineRule="auto"/>
              <w:rPr>
                <w:sz w:val="20"/>
                <w:szCs w:val="20"/>
              </w:rPr>
            </w:pPr>
            <w:r w:rsidRPr="0033290F">
              <w:rPr>
                <w:sz w:val="20"/>
                <w:szCs w:val="20"/>
              </w:rPr>
              <w:t>FS</w:t>
            </w:r>
          </w:p>
        </w:tc>
        <w:tc>
          <w:tcPr>
            <w:tcW w:w="1134" w:type="dxa"/>
          </w:tcPr>
          <w:p w:rsidR="0026537B" w:rsidRPr="003A2CB2" w:rsidRDefault="0033290F" w:rsidP="00B66FDE">
            <w:pPr>
              <w:spacing w:line="276" w:lineRule="auto"/>
              <w:rPr>
                <w:sz w:val="20"/>
                <w:szCs w:val="20"/>
              </w:rPr>
            </w:pPr>
            <w:r w:rsidRPr="0033290F">
              <w:rPr>
                <w:sz w:val="20"/>
                <w:szCs w:val="20"/>
              </w:rPr>
              <w:t>Není relevantní</w:t>
            </w:r>
          </w:p>
        </w:tc>
        <w:tc>
          <w:tcPr>
            <w:tcW w:w="992" w:type="dxa"/>
          </w:tcPr>
          <w:p w:rsidR="0026537B" w:rsidRPr="003A2CB2" w:rsidRDefault="0033290F" w:rsidP="00B66FDE">
            <w:pPr>
              <w:spacing w:line="276" w:lineRule="auto"/>
              <w:rPr>
                <w:sz w:val="20"/>
                <w:szCs w:val="20"/>
              </w:rPr>
            </w:pPr>
            <w:r w:rsidRPr="0033290F">
              <w:rPr>
                <w:sz w:val="20"/>
                <w:szCs w:val="20"/>
              </w:rPr>
              <w:t>20</w:t>
            </w:r>
          </w:p>
        </w:tc>
        <w:tc>
          <w:tcPr>
            <w:tcW w:w="1276" w:type="dxa"/>
          </w:tcPr>
          <w:p w:rsidR="0026537B" w:rsidRPr="003A2CB2" w:rsidRDefault="0033290F" w:rsidP="00B66FDE">
            <w:pPr>
              <w:spacing w:line="276" w:lineRule="auto"/>
              <w:rPr>
                <w:sz w:val="20"/>
                <w:szCs w:val="20"/>
              </w:rPr>
            </w:pPr>
            <w:r w:rsidRPr="0033290F">
              <w:rPr>
                <w:sz w:val="20"/>
                <w:szCs w:val="20"/>
              </w:rPr>
              <w:t>Žadatel/Příjemce</w:t>
            </w:r>
          </w:p>
        </w:tc>
        <w:tc>
          <w:tcPr>
            <w:tcW w:w="1417" w:type="dxa"/>
          </w:tcPr>
          <w:p w:rsidR="0026537B" w:rsidRPr="003A2CB2" w:rsidRDefault="0033290F" w:rsidP="00B66FDE">
            <w:pPr>
              <w:rPr>
                <w:sz w:val="20"/>
                <w:szCs w:val="20"/>
              </w:rPr>
            </w:pPr>
            <w:r w:rsidRPr="0033290F">
              <w:rPr>
                <w:bCs/>
                <w:sz w:val="20"/>
                <w:szCs w:val="20"/>
              </w:rPr>
              <w:t>Průběžně</w:t>
            </w:r>
          </w:p>
        </w:tc>
      </w:tr>
      <w:tr w:rsidR="0026537B" w:rsidRPr="00CF0CBF" w:rsidTr="005472D1">
        <w:tc>
          <w:tcPr>
            <w:tcW w:w="675" w:type="dxa"/>
          </w:tcPr>
          <w:p w:rsidR="0026537B" w:rsidRPr="003A2CB2" w:rsidRDefault="001225B7" w:rsidP="00B66FDE">
            <w:pPr>
              <w:rPr>
                <w:sz w:val="20"/>
                <w:szCs w:val="20"/>
              </w:rPr>
            </w:pPr>
            <w:r>
              <w:rPr>
                <w:sz w:val="20"/>
                <w:szCs w:val="20"/>
              </w:rPr>
              <w:t>423</w:t>
            </w:r>
            <w:r w:rsidRPr="001225B7">
              <w:rPr>
                <w:sz w:val="20"/>
                <w:szCs w:val="20"/>
              </w:rPr>
              <w:t>00</w:t>
            </w:r>
          </w:p>
        </w:tc>
        <w:tc>
          <w:tcPr>
            <w:tcW w:w="1418" w:type="dxa"/>
          </w:tcPr>
          <w:p w:rsidR="0026537B" w:rsidRPr="003A2CB2" w:rsidRDefault="0026537B" w:rsidP="00B66FDE">
            <w:pPr>
              <w:rPr>
                <w:bCs/>
                <w:sz w:val="20"/>
                <w:szCs w:val="20"/>
              </w:rPr>
            </w:pPr>
            <w:r w:rsidRPr="003A2CB2">
              <w:rPr>
                <w:bCs/>
                <w:sz w:val="20"/>
                <w:szCs w:val="20"/>
              </w:rPr>
              <w:t>Objem retardované dešťové vody</w:t>
            </w:r>
          </w:p>
        </w:tc>
        <w:tc>
          <w:tcPr>
            <w:tcW w:w="1134" w:type="dxa"/>
          </w:tcPr>
          <w:p w:rsidR="0026537B" w:rsidRPr="003A2CB2" w:rsidRDefault="0026537B" w:rsidP="00B66FDE">
            <w:pPr>
              <w:spacing w:line="276" w:lineRule="auto"/>
              <w:rPr>
                <w:sz w:val="20"/>
                <w:szCs w:val="20"/>
                <w:vertAlign w:val="superscript"/>
              </w:rPr>
            </w:pPr>
            <w:r w:rsidRPr="003A2CB2">
              <w:rPr>
                <w:sz w:val="20"/>
                <w:szCs w:val="20"/>
              </w:rPr>
              <w:t>m</w:t>
            </w:r>
            <w:r w:rsidR="0033290F" w:rsidRPr="0033290F">
              <w:rPr>
                <w:sz w:val="20"/>
                <w:szCs w:val="20"/>
                <w:vertAlign w:val="superscript"/>
              </w:rPr>
              <w:t>3</w:t>
            </w:r>
          </w:p>
        </w:tc>
        <w:tc>
          <w:tcPr>
            <w:tcW w:w="1134" w:type="dxa"/>
          </w:tcPr>
          <w:p w:rsidR="0026537B" w:rsidRPr="003A2CB2" w:rsidRDefault="0026537B" w:rsidP="00B66FDE">
            <w:pPr>
              <w:rPr>
                <w:sz w:val="20"/>
                <w:szCs w:val="20"/>
              </w:rPr>
            </w:pPr>
            <w:r w:rsidRPr="003A2CB2">
              <w:rPr>
                <w:sz w:val="20"/>
                <w:szCs w:val="20"/>
              </w:rPr>
              <w:t>FS</w:t>
            </w:r>
          </w:p>
        </w:tc>
        <w:tc>
          <w:tcPr>
            <w:tcW w:w="1134" w:type="dxa"/>
          </w:tcPr>
          <w:p w:rsidR="0026537B" w:rsidRPr="003A2CB2" w:rsidRDefault="0026537B" w:rsidP="00B66FDE">
            <w:pPr>
              <w:spacing w:line="276" w:lineRule="auto"/>
              <w:rPr>
                <w:sz w:val="20"/>
                <w:szCs w:val="20"/>
              </w:rPr>
            </w:pPr>
            <w:r w:rsidRPr="003A2CB2">
              <w:rPr>
                <w:sz w:val="20"/>
                <w:szCs w:val="20"/>
              </w:rPr>
              <w:t>Není relevantní</w:t>
            </w:r>
          </w:p>
        </w:tc>
        <w:tc>
          <w:tcPr>
            <w:tcW w:w="992" w:type="dxa"/>
          </w:tcPr>
          <w:p w:rsidR="0026537B" w:rsidRPr="003A2CB2" w:rsidRDefault="0033290F" w:rsidP="00B66FDE">
            <w:pPr>
              <w:spacing w:line="276" w:lineRule="auto"/>
              <w:rPr>
                <w:sz w:val="20"/>
                <w:szCs w:val="20"/>
              </w:rPr>
            </w:pPr>
            <w:r w:rsidRPr="0033290F">
              <w:rPr>
                <w:sz w:val="20"/>
                <w:szCs w:val="20"/>
              </w:rPr>
              <w:t>64 000</w:t>
            </w:r>
          </w:p>
        </w:tc>
        <w:tc>
          <w:tcPr>
            <w:tcW w:w="1276" w:type="dxa"/>
          </w:tcPr>
          <w:p w:rsidR="0026537B" w:rsidRPr="003A2CB2" w:rsidRDefault="0033290F" w:rsidP="00B66FDE">
            <w:pPr>
              <w:spacing w:line="276" w:lineRule="auto"/>
              <w:rPr>
                <w:sz w:val="20"/>
                <w:szCs w:val="20"/>
              </w:rPr>
            </w:pPr>
            <w:r w:rsidRPr="0033290F">
              <w:rPr>
                <w:sz w:val="20"/>
                <w:szCs w:val="20"/>
              </w:rPr>
              <w:t>Žadatel/Příjemce</w:t>
            </w:r>
          </w:p>
        </w:tc>
        <w:tc>
          <w:tcPr>
            <w:tcW w:w="1417" w:type="dxa"/>
          </w:tcPr>
          <w:p w:rsidR="0026537B" w:rsidRPr="003A2CB2" w:rsidRDefault="0033290F" w:rsidP="00B66FDE">
            <w:pPr>
              <w:rPr>
                <w:sz w:val="20"/>
                <w:szCs w:val="20"/>
              </w:rPr>
            </w:pPr>
            <w:r w:rsidRPr="0033290F">
              <w:rPr>
                <w:bCs/>
                <w:sz w:val="20"/>
                <w:szCs w:val="20"/>
              </w:rPr>
              <w:t>Průběžně</w:t>
            </w:r>
          </w:p>
        </w:tc>
      </w:tr>
      <w:tr w:rsidR="0026537B" w:rsidRPr="00CF0CBF" w:rsidTr="005472D1">
        <w:tc>
          <w:tcPr>
            <w:tcW w:w="675" w:type="dxa"/>
          </w:tcPr>
          <w:p w:rsidR="0026537B" w:rsidRPr="003A2CB2" w:rsidRDefault="001225B7" w:rsidP="00B66FDE">
            <w:pPr>
              <w:rPr>
                <w:sz w:val="20"/>
                <w:szCs w:val="20"/>
              </w:rPr>
            </w:pPr>
            <w:r>
              <w:rPr>
                <w:sz w:val="20"/>
                <w:szCs w:val="20"/>
              </w:rPr>
              <w:t>443</w:t>
            </w:r>
            <w:r w:rsidRPr="001225B7">
              <w:rPr>
                <w:sz w:val="20"/>
                <w:szCs w:val="20"/>
              </w:rPr>
              <w:t>01</w:t>
            </w:r>
          </w:p>
        </w:tc>
        <w:tc>
          <w:tcPr>
            <w:tcW w:w="1418" w:type="dxa"/>
          </w:tcPr>
          <w:p w:rsidR="0026537B" w:rsidRPr="003A2CB2" w:rsidRDefault="0033290F" w:rsidP="00B66FDE">
            <w:pPr>
              <w:rPr>
                <w:bCs/>
                <w:sz w:val="20"/>
                <w:szCs w:val="20"/>
              </w:rPr>
            </w:pPr>
            <w:r w:rsidRPr="0033290F">
              <w:rPr>
                <w:sz w:val="20"/>
                <w:szCs w:val="20"/>
              </w:rPr>
              <w:t>Plocha nově stabilizovaných objektů svahových nestabilit v rámci OPŽP 2014+</w:t>
            </w:r>
          </w:p>
        </w:tc>
        <w:tc>
          <w:tcPr>
            <w:tcW w:w="1134" w:type="dxa"/>
          </w:tcPr>
          <w:p w:rsidR="0026537B" w:rsidRPr="003A2CB2" w:rsidRDefault="0033290F" w:rsidP="00B66FDE">
            <w:pPr>
              <w:rPr>
                <w:sz w:val="20"/>
                <w:szCs w:val="20"/>
              </w:rPr>
            </w:pPr>
            <w:r w:rsidRPr="0033290F">
              <w:rPr>
                <w:sz w:val="20"/>
                <w:szCs w:val="20"/>
              </w:rPr>
              <w:t xml:space="preserve"> ha v </w:t>
            </w:r>
            <w:proofErr w:type="gramStart"/>
            <w:r w:rsidRPr="0033290F">
              <w:rPr>
                <w:sz w:val="20"/>
                <w:szCs w:val="20"/>
              </w:rPr>
              <w:t>kat</w:t>
            </w:r>
            <w:proofErr w:type="gramEnd"/>
            <w:r w:rsidRPr="0033290F">
              <w:rPr>
                <w:sz w:val="20"/>
                <w:szCs w:val="20"/>
              </w:rPr>
              <w:t xml:space="preserve">. III </w:t>
            </w:r>
          </w:p>
        </w:tc>
        <w:tc>
          <w:tcPr>
            <w:tcW w:w="1134" w:type="dxa"/>
          </w:tcPr>
          <w:p w:rsidR="0026537B" w:rsidRPr="003A2CB2" w:rsidRDefault="0033290F" w:rsidP="00B66FDE">
            <w:pPr>
              <w:rPr>
                <w:sz w:val="20"/>
                <w:szCs w:val="20"/>
              </w:rPr>
            </w:pPr>
            <w:r w:rsidRPr="0033290F">
              <w:rPr>
                <w:sz w:val="20"/>
                <w:szCs w:val="20"/>
              </w:rPr>
              <w:t>FS</w:t>
            </w:r>
          </w:p>
        </w:tc>
        <w:tc>
          <w:tcPr>
            <w:tcW w:w="1134" w:type="dxa"/>
          </w:tcPr>
          <w:p w:rsidR="0026537B" w:rsidRPr="003A2CB2" w:rsidRDefault="0026537B" w:rsidP="00B66FDE">
            <w:pPr>
              <w:spacing w:line="276" w:lineRule="auto"/>
              <w:rPr>
                <w:sz w:val="20"/>
                <w:szCs w:val="20"/>
              </w:rPr>
            </w:pPr>
            <w:r w:rsidRPr="003A2CB2">
              <w:rPr>
                <w:sz w:val="20"/>
                <w:szCs w:val="20"/>
              </w:rPr>
              <w:t>Není relevantní</w:t>
            </w:r>
          </w:p>
        </w:tc>
        <w:tc>
          <w:tcPr>
            <w:tcW w:w="992" w:type="dxa"/>
          </w:tcPr>
          <w:p w:rsidR="0026537B" w:rsidRPr="003A2CB2" w:rsidRDefault="0033290F" w:rsidP="00EF4C3B">
            <w:pPr>
              <w:rPr>
                <w:sz w:val="20"/>
                <w:szCs w:val="20"/>
              </w:rPr>
            </w:pPr>
            <w:r w:rsidRPr="0033290F">
              <w:rPr>
                <w:sz w:val="20"/>
                <w:szCs w:val="20"/>
              </w:rPr>
              <w:t>  32</w:t>
            </w:r>
          </w:p>
        </w:tc>
        <w:tc>
          <w:tcPr>
            <w:tcW w:w="1276" w:type="dxa"/>
          </w:tcPr>
          <w:p w:rsidR="0026537B" w:rsidRPr="003A2CB2" w:rsidRDefault="0033290F" w:rsidP="00B66FDE">
            <w:pPr>
              <w:rPr>
                <w:sz w:val="20"/>
                <w:szCs w:val="20"/>
              </w:rPr>
            </w:pPr>
            <w:r w:rsidRPr="0033290F">
              <w:rPr>
                <w:sz w:val="20"/>
                <w:szCs w:val="20"/>
              </w:rPr>
              <w:t>Registry České geologické služby  -svahové nestability</w:t>
            </w:r>
          </w:p>
        </w:tc>
        <w:tc>
          <w:tcPr>
            <w:tcW w:w="1417" w:type="dxa"/>
          </w:tcPr>
          <w:p w:rsidR="0026537B" w:rsidRPr="003A2CB2" w:rsidRDefault="0033290F" w:rsidP="00B66FDE">
            <w:pPr>
              <w:spacing w:line="276" w:lineRule="auto"/>
              <w:rPr>
                <w:bCs/>
                <w:sz w:val="20"/>
                <w:szCs w:val="20"/>
              </w:rPr>
            </w:pPr>
            <w:r w:rsidRPr="0033290F">
              <w:rPr>
                <w:sz w:val="20"/>
                <w:szCs w:val="20"/>
              </w:rPr>
              <w:t>ročně</w:t>
            </w:r>
          </w:p>
        </w:tc>
      </w:tr>
      <w:tr w:rsidR="0026537B" w:rsidRPr="00CF0CBF" w:rsidTr="005472D1">
        <w:tc>
          <w:tcPr>
            <w:tcW w:w="675" w:type="dxa"/>
          </w:tcPr>
          <w:p w:rsidR="0026537B" w:rsidRPr="003A2CB2" w:rsidRDefault="001225B7" w:rsidP="00B66FDE">
            <w:pPr>
              <w:rPr>
                <w:sz w:val="20"/>
                <w:szCs w:val="20"/>
              </w:rPr>
            </w:pPr>
            <w:r>
              <w:rPr>
                <w:sz w:val="20"/>
                <w:szCs w:val="20"/>
              </w:rPr>
              <w:t>430</w:t>
            </w:r>
            <w:r w:rsidRPr="001225B7">
              <w:rPr>
                <w:sz w:val="20"/>
                <w:szCs w:val="20"/>
              </w:rPr>
              <w:t>02</w:t>
            </w:r>
          </w:p>
        </w:tc>
        <w:tc>
          <w:tcPr>
            <w:tcW w:w="1418" w:type="dxa"/>
          </w:tcPr>
          <w:p w:rsidR="0026537B" w:rsidRPr="003A2CB2" w:rsidRDefault="0026537B" w:rsidP="00B66FDE">
            <w:pPr>
              <w:rPr>
                <w:bCs/>
                <w:sz w:val="20"/>
                <w:szCs w:val="20"/>
              </w:rPr>
            </w:pPr>
            <w:r w:rsidRPr="003A2CB2">
              <w:rPr>
                <w:bCs/>
                <w:sz w:val="20"/>
                <w:szCs w:val="20"/>
              </w:rPr>
              <w:t>Počet obcí s digitálním povodňovým plánem</w:t>
            </w:r>
          </w:p>
        </w:tc>
        <w:tc>
          <w:tcPr>
            <w:tcW w:w="1134" w:type="dxa"/>
          </w:tcPr>
          <w:p w:rsidR="0026537B" w:rsidRPr="003A2CB2" w:rsidRDefault="00857768" w:rsidP="00B66FDE">
            <w:pPr>
              <w:spacing w:line="276" w:lineRule="auto"/>
              <w:rPr>
                <w:bCs/>
                <w:sz w:val="20"/>
                <w:szCs w:val="20"/>
              </w:rPr>
            </w:pPr>
            <w:r>
              <w:rPr>
                <w:bCs/>
                <w:sz w:val="20"/>
                <w:szCs w:val="20"/>
              </w:rPr>
              <w:t>obce</w:t>
            </w:r>
          </w:p>
        </w:tc>
        <w:tc>
          <w:tcPr>
            <w:tcW w:w="1134" w:type="dxa"/>
          </w:tcPr>
          <w:p w:rsidR="0026537B" w:rsidRPr="003A2CB2" w:rsidRDefault="0033290F" w:rsidP="00B66FDE">
            <w:pPr>
              <w:spacing w:line="276" w:lineRule="auto"/>
              <w:rPr>
                <w:sz w:val="20"/>
                <w:szCs w:val="20"/>
              </w:rPr>
            </w:pPr>
            <w:r w:rsidRPr="0033290F">
              <w:rPr>
                <w:sz w:val="20"/>
                <w:szCs w:val="20"/>
              </w:rPr>
              <w:t>FS</w:t>
            </w:r>
          </w:p>
        </w:tc>
        <w:tc>
          <w:tcPr>
            <w:tcW w:w="1134" w:type="dxa"/>
          </w:tcPr>
          <w:p w:rsidR="0026537B" w:rsidRPr="003A2CB2" w:rsidRDefault="0033290F" w:rsidP="00B66FDE">
            <w:pPr>
              <w:spacing w:line="276" w:lineRule="auto"/>
              <w:rPr>
                <w:sz w:val="20"/>
                <w:szCs w:val="20"/>
              </w:rPr>
            </w:pPr>
            <w:r w:rsidRPr="0033290F">
              <w:rPr>
                <w:sz w:val="20"/>
                <w:szCs w:val="20"/>
              </w:rPr>
              <w:t>Není relevantní</w:t>
            </w:r>
          </w:p>
        </w:tc>
        <w:tc>
          <w:tcPr>
            <w:tcW w:w="992" w:type="dxa"/>
          </w:tcPr>
          <w:p w:rsidR="0026537B" w:rsidRPr="003A2CB2" w:rsidRDefault="0033290F" w:rsidP="00B66FDE">
            <w:pPr>
              <w:spacing w:line="276" w:lineRule="auto"/>
              <w:rPr>
                <w:sz w:val="20"/>
                <w:szCs w:val="20"/>
              </w:rPr>
            </w:pPr>
            <w:r w:rsidRPr="0033290F">
              <w:rPr>
                <w:sz w:val="20"/>
                <w:szCs w:val="20"/>
              </w:rPr>
              <w:t>800</w:t>
            </w:r>
          </w:p>
        </w:tc>
        <w:tc>
          <w:tcPr>
            <w:tcW w:w="1276" w:type="dxa"/>
          </w:tcPr>
          <w:p w:rsidR="0026537B" w:rsidRPr="003A2CB2" w:rsidRDefault="0033290F" w:rsidP="00B66FDE">
            <w:pPr>
              <w:spacing w:line="276" w:lineRule="auto"/>
              <w:rPr>
                <w:sz w:val="20"/>
                <w:szCs w:val="20"/>
              </w:rPr>
            </w:pPr>
            <w:r w:rsidRPr="0033290F">
              <w:rPr>
                <w:sz w:val="20"/>
                <w:szCs w:val="20"/>
              </w:rPr>
              <w:t>Žadatel/Příjemce</w:t>
            </w:r>
          </w:p>
        </w:tc>
        <w:tc>
          <w:tcPr>
            <w:tcW w:w="1417" w:type="dxa"/>
          </w:tcPr>
          <w:p w:rsidR="0026537B" w:rsidRPr="003A2CB2" w:rsidRDefault="0033290F" w:rsidP="00B66FDE">
            <w:pPr>
              <w:rPr>
                <w:sz w:val="20"/>
                <w:szCs w:val="20"/>
              </w:rPr>
            </w:pPr>
            <w:r w:rsidRPr="0033290F">
              <w:rPr>
                <w:bCs/>
                <w:sz w:val="20"/>
                <w:szCs w:val="20"/>
              </w:rPr>
              <w:t>Průběžně</w:t>
            </w:r>
          </w:p>
        </w:tc>
      </w:tr>
      <w:tr w:rsidR="0026537B" w:rsidRPr="00CF0CBF" w:rsidTr="005472D1">
        <w:tc>
          <w:tcPr>
            <w:tcW w:w="675" w:type="dxa"/>
          </w:tcPr>
          <w:p w:rsidR="0026537B" w:rsidRPr="003A2CB2" w:rsidRDefault="001225B7" w:rsidP="00B66FDE">
            <w:pPr>
              <w:rPr>
                <w:sz w:val="20"/>
                <w:szCs w:val="20"/>
              </w:rPr>
            </w:pPr>
            <w:r>
              <w:rPr>
                <w:sz w:val="20"/>
                <w:szCs w:val="20"/>
              </w:rPr>
              <w:t>434</w:t>
            </w:r>
            <w:r w:rsidRPr="001225B7">
              <w:rPr>
                <w:sz w:val="20"/>
                <w:szCs w:val="20"/>
              </w:rPr>
              <w:t>00</w:t>
            </w:r>
          </w:p>
        </w:tc>
        <w:tc>
          <w:tcPr>
            <w:tcW w:w="1418" w:type="dxa"/>
          </w:tcPr>
          <w:p w:rsidR="0026537B" w:rsidRPr="003A2CB2" w:rsidRDefault="0026537B" w:rsidP="003174D0">
            <w:pPr>
              <w:spacing w:line="276" w:lineRule="auto"/>
              <w:rPr>
                <w:bCs/>
                <w:sz w:val="20"/>
                <w:szCs w:val="20"/>
              </w:rPr>
            </w:pPr>
            <w:r w:rsidRPr="003A2CB2">
              <w:rPr>
                <w:bCs/>
                <w:sz w:val="20"/>
                <w:szCs w:val="20"/>
              </w:rPr>
              <w:t xml:space="preserve">Počet </w:t>
            </w:r>
            <w:proofErr w:type="gramStart"/>
            <w:r w:rsidR="00021AFC" w:rsidRPr="003A2CB2">
              <w:rPr>
                <w:bCs/>
                <w:sz w:val="20"/>
                <w:szCs w:val="20"/>
              </w:rPr>
              <w:t xml:space="preserve">studií </w:t>
            </w:r>
            <w:r w:rsidR="0033290F" w:rsidRPr="0033290F">
              <w:rPr>
                <w:bCs/>
                <w:sz w:val="20"/>
                <w:szCs w:val="20"/>
              </w:rPr>
              <w:t xml:space="preserve"> v oblasti</w:t>
            </w:r>
            <w:proofErr w:type="gramEnd"/>
            <w:r w:rsidR="0033290F" w:rsidRPr="0033290F">
              <w:rPr>
                <w:bCs/>
                <w:sz w:val="20"/>
                <w:szCs w:val="20"/>
              </w:rPr>
              <w:t xml:space="preserve"> s potenciálním povodňovým rizikem s návrhem povodňové ochrany přírodě blízkým způsobem</w:t>
            </w:r>
          </w:p>
        </w:tc>
        <w:tc>
          <w:tcPr>
            <w:tcW w:w="1134" w:type="dxa"/>
          </w:tcPr>
          <w:p w:rsidR="0026537B" w:rsidRPr="003A2CB2" w:rsidRDefault="00857768" w:rsidP="00B66FDE">
            <w:pPr>
              <w:spacing w:line="276" w:lineRule="auto"/>
              <w:rPr>
                <w:bCs/>
                <w:sz w:val="20"/>
                <w:szCs w:val="20"/>
              </w:rPr>
            </w:pPr>
            <w:r>
              <w:rPr>
                <w:bCs/>
                <w:sz w:val="20"/>
                <w:szCs w:val="20"/>
              </w:rPr>
              <w:t>studie</w:t>
            </w:r>
            <w:r w:rsidR="0033290F" w:rsidRPr="0033290F">
              <w:rPr>
                <w:bCs/>
                <w:sz w:val="20"/>
                <w:szCs w:val="20"/>
              </w:rPr>
              <w:t xml:space="preserve"> </w:t>
            </w:r>
          </w:p>
        </w:tc>
        <w:tc>
          <w:tcPr>
            <w:tcW w:w="1134" w:type="dxa"/>
          </w:tcPr>
          <w:p w:rsidR="0026537B" w:rsidRPr="003A2CB2" w:rsidRDefault="0033290F" w:rsidP="00B66FDE">
            <w:pPr>
              <w:spacing w:line="276" w:lineRule="auto"/>
              <w:rPr>
                <w:sz w:val="20"/>
                <w:szCs w:val="20"/>
              </w:rPr>
            </w:pPr>
            <w:r w:rsidRPr="0033290F">
              <w:rPr>
                <w:sz w:val="20"/>
                <w:szCs w:val="20"/>
              </w:rPr>
              <w:t>FS</w:t>
            </w:r>
          </w:p>
        </w:tc>
        <w:tc>
          <w:tcPr>
            <w:tcW w:w="1134" w:type="dxa"/>
          </w:tcPr>
          <w:p w:rsidR="0026537B" w:rsidRPr="003A2CB2" w:rsidRDefault="0033290F" w:rsidP="00B66FDE">
            <w:pPr>
              <w:spacing w:line="276" w:lineRule="auto"/>
              <w:rPr>
                <w:sz w:val="20"/>
                <w:szCs w:val="20"/>
              </w:rPr>
            </w:pPr>
            <w:r w:rsidRPr="0033290F">
              <w:rPr>
                <w:sz w:val="20"/>
                <w:szCs w:val="20"/>
              </w:rPr>
              <w:t>Není relevantní</w:t>
            </w:r>
          </w:p>
        </w:tc>
        <w:tc>
          <w:tcPr>
            <w:tcW w:w="992" w:type="dxa"/>
          </w:tcPr>
          <w:p w:rsidR="0026537B" w:rsidRPr="003A2CB2" w:rsidRDefault="0033290F" w:rsidP="00B66FDE">
            <w:pPr>
              <w:spacing w:line="276" w:lineRule="auto"/>
              <w:rPr>
                <w:sz w:val="20"/>
                <w:szCs w:val="20"/>
              </w:rPr>
            </w:pPr>
            <w:r w:rsidRPr="0033290F">
              <w:rPr>
                <w:sz w:val="20"/>
                <w:szCs w:val="20"/>
              </w:rPr>
              <w:t>250</w:t>
            </w:r>
          </w:p>
        </w:tc>
        <w:tc>
          <w:tcPr>
            <w:tcW w:w="1276" w:type="dxa"/>
          </w:tcPr>
          <w:p w:rsidR="0026537B" w:rsidRPr="003A2CB2" w:rsidRDefault="0033290F" w:rsidP="00B66FDE">
            <w:pPr>
              <w:spacing w:line="276" w:lineRule="auto"/>
              <w:rPr>
                <w:sz w:val="20"/>
                <w:szCs w:val="20"/>
              </w:rPr>
            </w:pPr>
            <w:r w:rsidRPr="0033290F">
              <w:rPr>
                <w:sz w:val="20"/>
                <w:szCs w:val="20"/>
              </w:rPr>
              <w:t>Žadatel/Příjemce</w:t>
            </w:r>
          </w:p>
        </w:tc>
        <w:tc>
          <w:tcPr>
            <w:tcW w:w="1417" w:type="dxa"/>
          </w:tcPr>
          <w:p w:rsidR="0026537B" w:rsidRPr="003A2CB2" w:rsidRDefault="0033290F" w:rsidP="00B66FDE">
            <w:pPr>
              <w:rPr>
                <w:sz w:val="20"/>
                <w:szCs w:val="20"/>
              </w:rPr>
            </w:pPr>
            <w:r w:rsidRPr="0033290F">
              <w:rPr>
                <w:bCs/>
                <w:sz w:val="20"/>
                <w:szCs w:val="20"/>
              </w:rPr>
              <w:t>Průběžně</w:t>
            </w:r>
          </w:p>
        </w:tc>
      </w:tr>
    </w:tbl>
    <w:p w:rsidR="001A7CDE" w:rsidRDefault="001A7CDE" w:rsidP="00B66FDE"/>
    <w:p w:rsidR="004B6C19" w:rsidRDefault="004B6C19" w:rsidP="00B66FDE"/>
    <w:p w:rsidR="004B6C19" w:rsidRPr="009E74E4" w:rsidRDefault="004B6C19" w:rsidP="00B66FDE"/>
    <w:p w:rsidR="00BB23A1" w:rsidRDefault="00BB23A1" w:rsidP="00165854">
      <w:pPr>
        <w:pStyle w:val="Nadpis3"/>
      </w:pPr>
      <w:bookmarkStart w:id="2333" w:name="_Toc392150994"/>
      <w:r w:rsidRPr="004314F4">
        <w:lastRenderedPageBreak/>
        <w:t>Výkon</w:t>
      </w:r>
      <w:r w:rsidR="004E23C2" w:rsidRPr="004314F4">
        <w:t>n</w:t>
      </w:r>
      <w:r w:rsidRPr="004314F4">
        <w:t>ostní rámec</w:t>
      </w:r>
      <w:bookmarkEnd w:id="2333"/>
      <w:r w:rsidR="0026537B">
        <w:t xml:space="preserve"> </w:t>
      </w:r>
    </w:p>
    <w:p w:rsidR="008A3447" w:rsidRPr="004314F4" w:rsidRDefault="008B23FC" w:rsidP="00FE4D74">
      <w:pPr>
        <w:pStyle w:val="Titulek"/>
      </w:pPr>
      <w:r w:rsidRPr="004314F4">
        <w:t xml:space="preserve">Výkonnostní rámec </w:t>
      </w:r>
      <w:r w:rsidR="0026537B">
        <w:t>PO</w:t>
      </w:r>
      <w:r w:rsidRPr="004314F4">
        <w:t xml:space="preserve"> 1</w:t>
      </w:r>
    </w:p>
    <w:tbl>
      <w:tblPr>
        <w:tblStyle w:val="Mkatabulky"/>
        <w:tblpPr w:leftFromText="141" w:rightFromText="141" w:vertAnchor="text" w:horzAnchor="margin" w:tblpXSpec="center" w:tblpY="67"/>
        <w:tblW w:w="9180" w:type="dxa"/>
        <w:tblLayout w:type="fixed"/>
        <w:tblLook w:val="04A0" w:firstRow="1" w:lastRow="0" w:firstColumn="1" w:lastColumn="0" w:noHBand="0" w:noVBand="1"/>
      </w:tblPr>
      <w:tblGrid>
        <w:gridCol w:w="567"/>
        <w:gridCol w:w="1242"/>
        <w:gridCol w:w="567"/>
        <w:gridCol w:w="993"/>
        <w:gridCol w:w="843"/>
        <w:gridCol w:w="432"/>
        <w:gridCol w:w="709"/>
        <w:gridCol w:w="992"/>
        <w:gridCol w:w="1134"/>
        <w:gridCol w:w="851"/>
        <w:gridCol w:w="850"/>
      </w:tblGrid>
      <w:tr w:rsidR="0026537B" w:rsidRPr="00F843CC" w:rsidTr="005472D1">
        <w:tc>
          <w:tcPr>
            <w:tcW w:w="567" w:type="dxa"/>
            <w:tcBorders>
              <w:bottom w:val="single" w:sz="12" w:space="0" w:color="auto"/>
            </w:tcBorders>
            <w:shd w:val="clear" w:color="auto" w:fill="BFBFBF" w:themeFill="background1" w:themeFillShade="BF"/>
          </w:tcPr>
          <w:p w:rsidR="0026537B" w:rsidRPr="003A2CB2" w:rsidRDefault="0026537B" w:rsidP="00B66FDE">
            <w:pPr>
              <w:rPr>
                <w:b/>
                <w:sz w:val="20"/>
                <w:szCs w:val="20"/>
              </w:rPr>
            </w:pPr>
            <w:r w:rsidRPr="003A2CB2">
              <w:rPr>
                <w:b/>
                <w:sz w:val="20"/>
                <w:szCs w:val="20"/>
              </w:rPr>
              <w:t>Prioritní osa</w:t>
            </w:r>
          </w:p>
        </w:tc>
        <w:tc>
          <w:tcPr>
            <w:tcW w:w="1242"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bookmarkStart w:id="2334" w:name="_Toc384907344"/>
            <w:r w:rsidRPr="0033290F">
              <w:rPr>
                <w:b/>
                <w:sz w:val="20"/>
                <w:szCs w:val="20"/>
              </w:rPr>
              <w:t>Typ indikátoru (Fáze implementace, finanční, výstupový nebo, kde je vhodné, výsledkový)</w:t>
            </w:r>
          </w:p>
        </w:tc>
        <w:tc>
          <w:tcPr>
            <w:tcW w:w="567"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ID</w:t>
            </w:r>
          </w:p>
        </w:tc>
        <w:tc>
          <w:tcPr>
            <w:tcW w:w="993"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Ukazatel nebo klíčový krok provádění</w:t>
            </w:r>
          </w:p>
        </w:tc>
        <w:tc>
          <w:tcPr>
            <w:tcW w:w="843"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Měrná jednotka</w:t>
            </w:r>
          </w:p>
        </w:tc>
        <w:tc>
          <w:tcPr>
            <w:tcW w:w="432"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Fond</w:t>
            </w:r>
          </w:p>
        </w:tc>
        <w:tc>
          <w:tcPr>
            <w:tcW w:w="709"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Kategorie regionů</w:t>
            </w:r>
          </w:p>
        </w:tc>
        <w:tc>
          <w:tcPr>
            <w:tcW w:w="992"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Milník pro rok 2018</w:t>
            </w:r>
          </w:p>
        </w:tc>
        <w:tc>
          <w:tcPr>
            <w:tcW w:w="1134"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Konečný cíl (2023)</w:t>
            </w:r>
          </w:p>
        </w:tc>
        <w:tc>
          <w:tcPr>
            <w:tcW w:w="851"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Zdroj dat</w:t>
            </w:r>
          </w:p>
        </w:tc>
        <w:tc>
          <w:tcPr>
            <w:tcW w:w="850" w:type="dxa"/>
            <w:tcBorders>
              <w:bottom w:val="single" w:sz="12" w:space="0" w:color="auto"/>
            </w:tcBorders>
            <w:shd w:val="clear" w:color="auto" w:fill="BFBFBF" w:themeFill="background1" w:themeFillShade="BF"/>
          </w:tcPr>
          <w:p w:rsidR="0026537B" w:rsidRPr="003A2CB2" w:rsidRDefault="0033290F" w:rsidP="00B66FDE">
            <w:pPr>
              <w:spacing w:line="276" w:lineRule="auto"/>
              <w:rPr>
                <w:b/>
                <w:sz w:val="20"/>
                <w:szCs w:val="20"/>
              </w:rPr>
            </w:pPr>
            <w:r w:rsidRPr="0033290F">
              <w:rPr>
                <w:b/>
                <w:sz w:val="20"/>
                <w:szCs w:val="20"/>
              </w:rPr>
              <w:t>Popřípadě vysvětlení relevantnosti ukazatele</w:t>
            </w:r>
          </w:p>
        </w:tc>
      </w:tr>
      <w:tr w:rsidR="00994F8F" w:rsidRPr="00F843CC" w:rsidTr="005472D1">
        <w:trPr>
          <w:trHeight w:val="1055"/>
        </w:trPr>
        <w:tc>
          <w:tcPr>
            <w:tcW w:w="567" w:type="dxa"/>
            <w:tcBorders>
              <w:top w:val="single" w:sz="12" w:space="0" w:color="auto"/>
            </w:tcBorders>
          </w:tcPr>
          <w:p w:rsidR="00994F8F" w:rsidRPr="003A2CB2" w:rsidRDefault="00994F8F" w:rsidP="00B66FDE">
            <w:pPr>
              <w:rPr>
                <w:rFonts w:asciiTheme="majorHAnsi" w:hAnsiTheme="majorHAnsi"/>
                <w:bCs/>
                <w:sz w:val="20"/>
                <w:szCs w:val="20"/>
              </w:rPr>
            </w:pPr>
            <w:r>
              <w:rPr>
                <w:rFonts w:asciiTheme="majorHAnsi" w:hAnsiTheme="majorHAnsi"/>
                <w:bCs/>
                <w:sz w:val="20"/>
                <w:szCs w:val="20"/>
              </w:rPr>
              <w:t>PO 1</w:t>
            </w:r>
          </w:p>
        </w:tc>
        <w:tc>
          <w:tcPr>
            <w:tcW w:w="1242" w:type="dxa"/>
            <w:tcBorders>
              <w:top w:val="single" w:sz="12" w:space="0" w:color="auto"/>
            </w:tcBorders>
          </w:tcPr>
          <w:p w:rsidR="00994F8F" w:rsidRPr="003A2CB2" w:rsidDel="008D6FD8" w:rsidRDefault="00994F8F" w:rsidP="00B66FDE">
            <w:pPr>
              <w:rPr>
                <w:rFonts w:asciiTheme="majorHAnsi" w:hAnsiTheme="majorHAnsi"/>
                <w:bCs/>
                <w:sz w:val="20"/>
                <w:szCs w:val="20"/>
              </w:rPr>
            </w:pPr>
            <w:r>
              <w:rPr>
                <w:rFonts w:asciiTheme="majorHAnsi" w:hAnsiTheme="majorHAnsi"/>
                <w:bCs/>
                <w:sz w:val="20"/>
                <w:szCs w:val="20"/>
              </w:rPr>
              <w:t>finanční ukazatel</w:t>
            </w:r>
          </w:p>
        </w:tc>
        <w:tc>
          <w:tcPr>
            <w:tcW w:w="567" w:type="dxa"/>
            <w:tcBorders>
              <w:top w:val="single" w:sz="12" w:space="0" w:color="auto"/>
            </w:tcBorders>
          </w:tcPr>
          <w:p w:rsidR="00994F8F" w:rsidRDefault="00994F8F" w:rsidP="001225B7">
            <w:pPr>
              <w:rPr>
                <w:sz w:val="20"/>
                <w:szCs w:val="20"/>
              </w:rPr>
            </w:pPr>
            <w:r>
              <w:rPr>
                <w:sz w:val="20"/>
                <w:szCs w:val="20"/>
              </w:rPr>
              <w:t>-</w:t>
            </w:r>
          </w:p>
        </w:tc>
        <w:tc>
          <w:tcPr>
            <w:tcW w:w="993" w:type="dxa"/>
            <w:tcBorders>
              <w:top w:val="single" w:sz="12" w:space="0" w:color="auto"/>
            </w:tcBorders>
          </w:tcPr>
          <w:p w:rsidR="005B19C6" w:rsidRPr="005B19C6" w:rsidRDefault="0033290F">
            <w:pPr>
              <w:spacing w:line="276" w:lineRule="auto"/>
              <w:rPr>
                <w:sz w:val="20"/>
                <w:szCs w:val="20"/>
              </w:rPr>
            </w:pPr>
            <w:r w:rsidRPr="0033290F">
              <w:rPr>
                <w:sz w:val="20"/>
                <w:szCs w:val="20"/>
              </w:rPr>
              <w:t>Celkové certifikované způsobilé výdaje</w:t>
            </w:r>
          </w:p>
        </w:tc>
        <w:tc>
          <w:tcPr>
            <w:tcW w:w="843" w:type="dxa"/>
            <w:tcBorders>
              <w:top w:val="single" w:sz="12" w:space="0" w:color="auto"/>
            </w:tcBorders>
          </w:tcPr>
          <w:p w:rsidR="00994F8F" w:rsidRPr="00CF41E1" w:rsidRDefault="00994F8F" w:rsidP="00B66FDE">
            <w:pPr>
              <w:rPr>
                <w:rFonts w:asciiTheme="majorHAnsi" w:hAnsiTheme="majorHAnsi"/>
                <w:sz w:val="20"/>
                <w:szCs w:val="20"/>
              </w:rPr>
            </w:pPr>
            <w:r>
              <w:rPr>
                <w:rFonts w:asciiTheme="majorHAnsi" w:hAnsiTheme="majorHAnsi"/>
                <w:sz w:val="20"/>
                <w:szCs w:val="20"/>
              </w:rPr>
              <w:t>EUR</w:t>
            </w:r>
          </w:p>
        </w:tc>
        <w:tc>
          <w:tcPr>
            <w:tcW w:w="432" w:type="dxa"/>
            <w:tcBorders>
              <w:top w:val="single" w:sz="12" w:space="0" w:color="auto"/>
            </w:tcBorders>
          </w:tcPr>
          <w:p w:rsidR="00994F8F" w:rsidRPr="00CF41E1" w:rsidRDefault="00994F8F" w:rsidP="00B66FDE">
            <w:pPr>
              <w:rPr>
                <w:sz w:val="20"/>
                <w:szCs w:val="20"/>
              </w:rPr>
            </w:pPr>
            <w:r>
              <w:rPr>
                <w:sz w:val="20"/>
                <w:szCs w:val="20"/>
              </w:rPr>
              <w:t>FS</w:t>
            </w:r>
          </w:p>
        </w:tc>
        <w:tc>
          <w:tcPr>
            <w:tcW w:w="709" w:type="dxa"/>
            <w:tcBorders>
              <w:top w:val="single" w:sz="12" w:space="0" w:color="auto"/>
            </w:tcBorders>
          </w:tcPr>
          <w:p w:rsidR="005B19C6" w:rsidRPr="005B19C6" w:rsidRDefault="00994F8F">
            <w:pPr>
              <w:spacing w:line="276" w:lineRule="auto"/>
              <w:rPr>
                <w:sz w:val="20"/>
                <w:szCs w:val="20"/>
              </w:rPr>
            </w:pPr>
            <w:r w:rsidRPr="00994F8F">
              <w:rPr>
                <w:sz w:val="20"/>
                <w:szCs w:val="20"/>
              </w:rPr>
              <w:t>Není relevantní</w:t>
            </w:r>
          </w:p>
        </w:tc>
        <w:tc>
          <w:tcPr>
            <w:tcW w:w="992" w:type="dxa"/>
            <w:tcBorders>
              <w:top w:val="single" w:sz="12" w:space="0" w:color="auto"/>
            </w:tcBorders>
          </w:tcPr>
          <w:p w:rsidR="00994F8F" w:rsidRPr="00994F8F" w:rsidRDefault="00994F8F" w:rsidP="00994F8F">
            <w:pPr>
              <w:rPr>
                <w:sz w:val="20"/>
                <w:szCs w:val="20"/>
              </w:rPr>
            </w:pPr>
            <w:r w:rsidRPr="00994F8F">
              <w:rPr>
                <w:sz w:val="20"/>
                <w:szCs w:val="20"/>
              </w:rPr>
              <w:t>182507060</w:t>
            </w:r>
          </w:p>
          <w:p w:rsidR="00994F8F" w:rsidRPr="00CF41E1" w:rsidRDefault="00994F8F" w:rsidP="00B66FDE">
            <w:pPr>
              <w:rPr>
                <w:sz w:val="20"/>
                <w:szCs w:val="20"/>
              </w:rPr>
            </w:pPr>
          </w:p>
        </w:tc>
        <w:tc>
          <w:tcPr>
            <w:tcW w:w="1134" w:type="dxa"/>
            <w:tcBorders>
              <w:top w:val="single" w:sz="12" w:space="0" w:color="auto"/>
            </w:tcBorders>
          </w:tcPr>
          <w:p w:rsidR="00994F8F" w:rsidRPr="00994F8F" w:rsidRDefault="00994F8F" w:rsidP="00994F8F">
            <w:pPr>
              <w:rPr>
                <w:sz w:val="20"/>
                <w:szCs w:val="20"/>
              </w:rPr>
            </w:pPr>
            <w:r w:rsidRPr="00994F8F">
              <w:rPr>
                <w:sz w:val="20"/>
                <w:szCs w:val="20"/>
              </w:rPr>
              <w:t>718322925</w:t>
            </w:r>
          </w:p>
          <w:p w:rsidR="00994F8F" w:rsidRPr="00CF41E1" w:rsidRDefault="00994F8F" w:rsidP="00B66FDE">
            <w:pPr>
              <w:rPr>
                <w:sz w:val="20"/>
                <w:szCs w:val="20"/>
              </w:rPr>
            </w:pPr>
          </w:p>
        </w:tc>
        <w:tc>
          <w:tcPr>
            <w:tcW w:w="851" w:type="dxa"/>
            <w:tcBorders>
              <w:top w:val="single" w:sz="12" w:space="0" w:color="auto"/>
            </w:tcBorders>
          </w:tcPr>
          <w:p w:rsidR="00994F8F" w:rsidRPr="00CF41E1" w:rsidRDefault="00994F8F" w:rsidP="00B66FDE">
            <w:pPr>
              <w:rPr>
                <w:rFonts w:asciiTheme="majorHAnsi" w:hAnsiTheme="majorHAnsi"/>
                <w:bCs/>
                <w:sz w:val="20"/>
                <w:szCs w:val="20"/>
              </w:rPr>
            </w:pPr>
            <w:r>
              <w:rPr>
                <w:rFonts w:asciiTheme="majorHAnsi" w:hAnsiTheme="majorHAnsi"/>
                <w:bCs/>
                <w:sz w:val="20"/>
                <w:szCs w:val="20"/>
              </w:rPr>
              <w:t>ŘO</w:t>
            </w:r>
          </w:p>
        </w:tc>
        <w:tc>
          <w:tcPr>
            <w:tcW w:w="850" w:type="dxa"/>
            <w:tcBorders>
              <w:top w:val="single" w:sz="12" w:space="0" w:color="auto"/>
            </w:tcBorders>
          </w:tcPr>
          <w:p w:rsidR="00994F8F" w:rsidRPr="003A2CB2" w:rsidRDefault="00994F8F" w:rsidP="00B66FDE">
            <w:pPr>
              <w:rPr>
                <w:sz w:val="20"/>
                <w:szCs w:val="20"/>
              </w:rPr>
            </w:pPr>
            <w:r>
              <w:rPr>
                <w:sz w:val="20"/>
                <w:szCs w:val="20"/>
              </w:rPr>
              <w:t>-</w:t>
            </w:r>
          </w:p>
        </w:tc>
      </w:tr>
      <w:tr w:rsidR="0026537B" w:rsidRPr="00F843CC" w:rsidTr="005472D1">
        <w:trPr>
          <w:trHeight w:val="1055"/>
        </w:trPr>
        <w:tc>
          <w:tcPr>
            <w:tcW w:w="567" w:type="dxa"/>
            <w:tcBorders>
              <w:top w:val="single" w:sz="12" w:space="0" w:color="auto"/>
            </w:tcBorders>
          </w:tcPr>
          <w:p w:rsidR="0026537B" w:rsidRPr="003A2CB2" w:rsidRDefault="0026537B" w:rsidP="00B66FDE">
            <w:pPr>
              <w:rPr>
                <w:rFonts w:asciiTheme="majorHAnsi" w:hAnsiTheme="majorHAnsi"/>
                <w:bCs/>
                <w:sz w:val="20"/>
                <w:szCs w:val="20"/>
              </w:rPr>
            </w:pPr>
            <w:r w:rsidRPr="003A2CB2">
              <w:rPr>
                <w:rFonts w:asciiTheme="majorHAnsi" w:hAnsiTheme="majorHAnsi"/>
                <w:bCs/>
                <w:sz w:val="20"/>
                <w:szCs w:val="20"/>
              </w:rPr>
              <w:t xml:space="preserve"> PO 1</w:t>
            </w:r>
          </w:p>
        </w:tc>
        <w:tc>
          <w:tcPr>
            <w:tcW w:w="1242" w:type="dxa"/>
            <w:tcBorders>
              <w:top w:val="single" w:sz="12" w:space="0" w:color="auto"/>
            </w:tcBorders>
          </w:tcPr>
          <w:p w:rsidR="0026537B" w:rsidRPr="003A2CB2" w:rsidRDefault="00D3212B" w:rsidP="00B66FDE">
            <w:pPr>
              <w:spacing w:line="276" w:lineRule="auto"/>
              <w:rPr>
                <w:sz w:val="20"/>
                <w:szCs w:val="20"/>
              </w:rPr>
            </w:pPr>
            <w:r>
              <w:rPr>
                <w:rFonts w:asciiTheme="majorHAnsi" w:hAnsiTheme="majorHAnsi"/>
                <w:bCs/>
                <w:sz w:val="20"/>
                <w:szCs w:val="20"/>
              </w:rPr>
              <w:t>výstupový</w:t>
            </w:r>
          </w:p>
        </w:tc>
        <w:tc>
          <w:tcPr>
            <w:tcW w:w="567" w:type="dxa"/>
            <w:tcBorders>
              <w:top w:val="single" w:sz="12" w:space="0" w:color="auto"/>
            </w:tcBorders>
          </w:tcPr>
          <w:p w:rsidR="0026537B" w:rsidRPr="003A2CB2" w:rsidRDefault="001225B7" w:rsidP="001225B7">
            <w:pPr>
              <w:spacing w:line="276" w:lineRule="auto"/>
              <w:rPr>
                <w:rFonts w:asciiTheme="majorHAnsi" w:hAnsiTheme="majorHAnsi"/>
                <w:sz w:val="20"/>
                <w:szCs w:val="20"/>
              </w:rPr>
            </w:pPr>
            <w:r>
              <w:rPr>
                <w:sz w:val="20"/>
                <w:szCs w:val="20"/>
              </w:rPr>
              <w:t>4</w:t>
            </w:r>
            <w:r w:rsidRPr="001225B7">
              <w:rPr>
                <w:sz w:val="20"/>
                <w:szCs w:val="20"/>
              </w:rPr>
              <w:t>2205</w:t>
            </w:r>
          </w:p>
        </w:tc>
        <w:tc>
          <w:tcPr>
            <w:tcW w:w="993" w:type="dxa"/>
            <w:tcBorders>
              <w:top w:val="single" w:sz="12" w:space="0" w:color="auto"/>
            </w:tcBorders>
          </w:tcPr>
          <w:p w:rsidR="0026537B" w:rsidRPr="00994F8F" w:rsidRDefault="0033290F" w:rsidP="00B66FDE">
            <w:pPr>
              <w:spacing w:line="276" w:lineRule="auto"/>
              <w:rPr>
                <w:sz w:val="20"/>
                <w:szCs w:val="20"/>
              </w:rPr>
            </w:pPr>
            <w:r w:rsidRPr="0033290F">
              <w:rPr>
                <w:sz w:val="20"/>
                <w:szCs w:val="20"/>
              </w:rPr>
              <w:t>Návrhová kapacita nově vybudovaných a rekonstruovaných  ČOV</w:t>
            </w:r>
          </w:p>
        </w:tc>
        <w:tc>
          <w:tcPr>
            <w:tcW w:w="843" w:type="dxa"/>
            <w:tcBorders>
              <w:top w:val="single" w:sz="12" w:space="0" w:color="auto"/>
            </w:tcBorders>
          </w:tcPr>
          <w:p w:rsidR="0026537B" w:rsidRPr="003A2CB2" w:rsidRDefault="0033290F" w:rsidP="00B66FDE">
            <w:pPr>
              <w:spacing w:line="276" w:lineRule="auto"/>
              <w:rPr>
                <w:sz w:val="20"/>
                <w:szCs w:val="20"/>
              </w:rPr>
            </w:pPr>
            <w:r w:rsidRPr="0033290F">
              <w:rPr>
                <w:rFonts w:asciiTheme="majorHAnsi" w:hAnsiTheme="majorHAnsi"/>
                <w:sz w:val="20"/>
                <w:szCs w:val="20"/>
              </w:rPr>
              <w:t>ekvivalentní obyvatelé</w:t>
            </w:r>
          </w:p>
        </w:tc>
        <w:tc>
          <w:tcPr>
            <w:tcW w:w="432" w:type="dxa"/>
            <w:tcBorders>
              <w:top w:val="single" w:sz="12" w:space="0" w:color="auto"/>
            </w:tcBorders>
          </w:tcPr>
          <w:p w:rsidR="0026537B" w:rsidRPr="003A2CB2" w:rsidRDefault="0033290F" w:rsidP="00B66FDE">
            <w:pPr>
              <w:spacing w:line="276" w:lineRule="auto"/>
              <w:rPr>
                <w:sz w:val="20"/>
                <w:szCs w:val="20"/>
              </w:rPr>
            </w:pPr>
            <w:r w:rsidRPr="0033290F">
              <w:rPr>
                <w:sz w:val="20"/>
                <w:szCs w:val="20"/>
              </w:rPr>
              <w:t>FS</w:t>
            </w:r>
          </w:p>
        </w:tc>
        <w:tc>
          <w:tcPr>
            <w:tcW w:w="709" w:type="dxa"/>
            <w:tcBorders>
              <w:top w:val="single" w:sz="12" w:space="0" w:color="auto"/>
            </w:tcBorders>
          </w:tcPr>
          <w:p w:rsidR="0026537B" w:rsidRPr="003A2CB2" w:rsidRDefault="0033290F" w:rsidP="00B66FDE">
            <w:pPr>
              <w:spacing w:line="276" w:lineRule="auto"/>
              <w:rPr>
                <w:sz w:val="20"/>
                <w:szCs w:val="20"/>
              </w:rPr>
            </w:pPr>
            <w:r w:rsidRPr="0033290F">
              <w:rPr>
                <w:sz w:val="20"/>
                <w:szCs w:val="20"/>
              </w:rPr>
              <w:t>Není relevantní</w:t>
            </w:r>
          </w:p>
        </w:tc>
        <w:tc>
          <w:tcPr>
            <w:tcW w:w="992" w:type="dxa"/>
            <w:tcBorders>
              <w:top w:val="single" w:sz="12" w:space="0" w:color="auto"/>
            </w:tcBorders>
          </w:tcPr>
          <w:p w:rsidR="0026537B" w:rsidRPr="003A2CB2" w:rsidRDefault="0033290F" w:rsidP="00B66FDE">
            <w:pPr>
              <w:spacing w:line="276" w:lineRule="auto"/>
              <w:rPr>
                <w:sz w:val="20"/>
                <w:szCs w:val="20"/>
              </w:rPr>
            </w:pPr>
            <w:r w:rsidRPr="0033290F">
              <w:rPr>
                <w:sz w:val="20"/>
                <w:szCs w:val="20"/>
              </w:rPr>
              <w:t>40 000</w:t>
            </w:r>
          </w:p>
        </w:tc>
        <w:tc>
          <w:tcPr>
            <w:tcW w:w="1134" w:type="dxa"/>
            <w:tcBorders>
              <w:top w:val="single" w:sz="12" w:space="0" w:color="auto"/>
            </w:tcBorders>
          </w:tcPr>
          <w:p w:rsidR="0026537B" w:rsidRPr="003A2CB2" w:rsidRDefault="0033290F" w:rsidP="00B66FDE">
            <w:pPr>
              <w:spacing w:line="276" w:lineRule="auto"/>
              <w:rPr>
                <w:sz w:val="20"/>
                <w:szCs w:val="20"/>
              </w:rPr>
            </w:pPr>
            <w:r w:rsidRPr="0033290F">
              <w:rPr>
                <w:sz w:val="20"/>
                <w:szCs w:val="20"/>
              </w:rPr>
              <w:t>60 000</w:t>
            </w:r>
          </w:p>
        </w:tc>
        <w:tc>
          <w:tcPr>
            <w:tcW w:w="851" w:type="dxa"/>
            <w:tcBorders>
              <w:top w:val="single" w:sz="12" w:space="0" w:color="auto"/>
            </w:tcBorders>
          </w:tcPr>
          <w:p w:rsidR="0026537B" w:rsidRPr="003A2CB2" w:rsidRDefault="0033290F" w:rsidP="00B66FDE">
            <w:pPr>
              <w:spacing w:line="276" w:lineRule="auto"/>
              <w:rPr>
                <w:sz w:val="20"/>
                <w:szCs w:val="20"/>
              </w:rPr>
            </w:pPr>
            <w:r w:rsidRPr="0033290F">
              <w:rPr>
                <w:rFonts w:asciiTheme="majorHAnsi" w:hAnsiTheme="majorHAnsi"/>
                <w:bCs/>
                <w:sz w:val="20"/>
                <w:szCs w:val="20"/>
              </w:rPr>
              <w:t>Žadatel/příjemce</w:t>
            </w:r>
          </w:p>
        </w:tc>
        <w:tc>
          <w:tcPr>
            <w:tcW w:w="850" w:type="dxa"/>
            <w:tcBorders>
              <w:top w:val="single" w:sz="12" w:space="0" w:color="auto"/>
            </w:tcBorders>
          </w:tcPr>
          <w:p w:rsidR="0026537B" w:rsidRPr="003A2CB2" w:rsidRDefault="00994F8F" w:rsidP="00B66FDE">
            <w:pPr>
              <w:spacing w:line="276" w:lineRule="auto"/>
              <w:rPr>
                <w:sz w:val="20"/>
                <w:szCs w:val="20"/>
              </w:rPr>
            </w:pPr>
            <w:r>
              <w:rPr>
                <w:sz w:val="20"/>
                <w:szCs w:val="20"/>
              </w:rPr>
              <w:t>-</w:t>
            </w:r>
          </w:p>
        </w:tc>
      </w:tr>
      <w:tr w:rsidR="0026537B" w:rsidRPr="00F843CC" w:rsidTr="005472D1">
        <w:tc>
          <w:tcPr>
            <w:tcW w:w="567" w:type="dxa"/>
          </w:tcPr>
          <w:p w:rsidR="0026537B" w:rsidRPr="003A2CB2" w:rsidRDefault="0026537B" w:rsidP="00B66FDE">
            <w:pPr>
              <w:rPr>
                <w:sz w:val="20"/>
                <w:szCs w:val="20"/>
              </w:rPr>
            </w:pPr>
            <w:r w:rsidRPr="003A2CB2">
              <w:rPr>
                <w:rFonts w:asciiTheme="majorHAnsi" w:hAnsiTheme="majorHAnsi"/>
                <w:bCs/>
                <w:sz w:val="20"/>
                <w:szCs w:val="20"/>
              </w:rPr>
              <w:t>PO 1</w:t>
            </w:r>
          </w:p>
        </w:tc>
        <w:tc>
          <w:tcPr>
            <w:tcW w:w="1242" w:type="dxa"/>
          </w:tcPr>
          <w:p w:rsidR="0026537B" w:rsidRPr="003A2CB2" w:rsidRDefault="00D3212B" w:rsidP="00B66FDE">
            <w:pPr>
              <w:spacing w:line="276" w:lineRule="auto"/>
              <w:rPr>
                <w:sz w:val="20"/>
                <w:szCs w:val="20"/>
              </w:rPr>
            </w:pPr>
            <w:r>
              <w:rPr>
                <w:sz w:val="20"/>
                <w:szCs w:val="20"/>
              </w:rPr>
              <w:t>výsledkový</w:t>
            </w:r>
          </w:p>
        </w:tc>
        <w:tc>
          <w:tcPr>
            <w:tcW w:w="567" w:type="dxa"/>
          </w:tcPr>
          <w:p w:rsidR="0026537B" w:rsidRPr="003A2CB2" w:rsidRDefault="001225B7" w:rsidP="00B66FDE">
            <w:pPr>
              <w:spacing w:line="276" w:lineRule="auto"/>
              <w:rPr>
                <w:sz w:val="20"/>
                <w:szCs w:val="20"/>
              </w:rPr>
            </w:pPr>
            <w:r>
              <w:rPr>
                <w:sz w:val="20"/>
                <w:szCs w:val="20"/>
              </w:rPr>
              <w:t>432</w:t>
            </w:r>
            <w:r w:rsidRPr="008F4F34">
              <w:rPr>
                <w:sz w:val="20"/>
                <w:szCs w:val="20"/>
              </w:rPr>
              <w:t>00</w:t>
            </w:r>
          </w:p>
        </w:tc>
        <w:tc>
          <w:tcPr>
            <w:tcW w:w="993" w:type="dxa"/>
          </w:tcPr>
          <w:p w:rsidR="0026537B" w:rsidRPr="003A2CB2" w:rsidRDefault="0033290F" w:rsidP="00B66FDE">
            <w:pPr>
              <w:spacing w:line="276" w:lineRule="auto"/>
              <w:rPr>
                <w:sz w:val="20"/>
                <w:szCs w:val="20"/>
              </w:rPr>
            </w:pPr>
            <w:r w:rsidRPr="0033290F">
              <w:rPr>
                <w:sz w:val="20"/>
                <w:szCs w:val="20"/>
              </w:rPr>
              <w:t>Počet obyvatel chráněných opatřeními proti povodním</w:t>
            </w:r>
          </w:p>
        </w:tc>
        <w:tc>
          <w:tcPr>
            <w:tcW w:w="843" w:type="dxa"/>
          </w:tcPr>
          <w:p w:rsidR="0026537B" w:rsidRPr="003A2CB2" w:rsidRDefault="0033290F" w:rsidP="00B66FDE">
            <w:pPr>
              <w:spacing w:line="276" w:lineRule="auto"/>
              <w:rPr>
                <w:sz w:val="20"/>
                <w:szCs w:val="20"/>
              </w:rPr>
            </w:pPr>
            <w:r w:rsidRPr="0033290F">
              <w:rPr>
                <w:sz w:val="20"/>
                <w:szCs w:val="20"/>
              </w:rPr>
              <w:t xml:space="preserve">osoby </w:t>
            </w:r>
          </w:p>
        </w:tc>
        <w:tc>
          <w:tcPr>
            <w:tcW w:w="432" w:type="dxa"/>
          </w:tcPr>
          <w:p w:rsidR="0026537B" w:rsidRPr="003A2CB2" w:rsidRDefault="0033290F" w:rsidP="00B66FDE">
            <w:pPr>
              <w:spacing w:line="276" w:lineRule="auto"/>
              <w:rPr>
                <w:sz w:val="20"/>
                <w:szCs w:val="20"/>
              </w:rPr>
            </w:pPr>
            <w:r w:rsidRPr="0033290F">
              <w:rPr>
                <w:sz w:val="20"/>
                <w:szCs w:val="20"/>
              </w:rPr>
              <w:t>FS</w:t>
            </w:r>
          </w:p>
        </w:tc>
        <w:tc>
          <w:tcPr>
            <w:tcW w:w="709" w:type="dxa"/>
          </w:tcPr>
          <w:p w:rsidR="0026537B" w:rsidRPr="003A2CB2" w:rsidRDefault="0033290F" w:rsidP="00B66FDE">
            <w:pPr>
              <w:spacing w:line="276" w:lineRule="auto"/>
              <w:rPr>
                <w:sz w:val="20"/>
                <w:szCs w:val="20"/>
              </w:rPr>
            </w:pPr>
            <w:r w:rsidRPr="0033290F">
              <w:rPr>
                <w:sz w:val="20"/>
                <w:szCs w:val="20"/>
              </w:rPr>
              <w:t>Není relevantní</w:t>
            </w:r>
          </w:p>
        </w:tc>
        <w:tc>
          <w:tcPr>
            <w:tcW w:w="992" w:type="dxa"/>
          </w:tcPr>
          <w:p w:rsidR="0026537B" w:rsidRPr="003A2CB2" w:rsidRDefault="0033290F" w:rsidP="00B66FDE">
            <w:pPr>
              <w:spacing w:line="276" w:lineRule="auto"/>
              <w:rPr>
                <w:sz w:val="20"/>
                <w:szCs w:val="20"/>
              </w:rPr>
            </w:pPr>
            <w:r w:rsidRPr="0033290F">
              <w:rPr>
                <w:sz w:val="20"/>
                <w:szCs w:val="20"/>
              </w:rPr>
              <w:t>56 000</w:t>
            </w:r>
          </w:p>
        </w:tc>
        <w:tc>
          <w:tcPr>
            <w:tcW w:w="1134" w:type="dxa"/>
          </w:tcPr>
          <w:p w:rsidR="0026537B" w:rsidRPr="003A2CB2" w:rsidRDefault="0033290F" w:rsidP="00B66FDE">
            <w:pPr>
              <w:spacing w:line="276" w:lineRule="auto"/>
              <w:rPr>
                <w:sz w:val="20"/>
                <w:szCs w:val="20"/>
              </w:rPr>
            </w:pPr>
            <w:r w:rsidRPr="0033290F">
              <w:rPr>
                <w:sz w:val="20"/>
                <w:szCs w:val="20"/>
              </w:rPr>
              <w:t>80 000</w:t>
            </w:r>
          </w:p>
        </w:tc>
        <w:tc>
          <w:tcPr>
            <w:tcW w:w="851" w:type="dxa"/>
          </w:tcPr>
          <w:p w:rsidR="0026537B" w:rsidRPr="003A2CB2" w:rsidRDefault="0033290F" w:rsidP="00B66FDE">
            <w:pPr>
              <w:spacing w:line="276" w:lineRule="auto"/>
              <w:rPr>
                <w:sz w:val="20"/>
                <w:szCs w:val="20"/>
              </w:rPr>
            </w:pPr>
            <w:r w:rsidRPr="0033290F">
              <w:rPr>
                <w:rFonts w:asciiTheme="majorHAnsi" w:hAnsiTheme="majorHAnsi"/>
                <w:bCs/>
                <w:sz w:val="20"/>
                <w:szCs w:val="20"/>
              </w:rPr>
              <w:t>Žadatel/příjemce</w:t>
            </w:r>
          </w:p>
        </w:tc>
        <w:tc>
          <w:tcPr>
            <w:tcW w:w="850" w:type="dxa"/>
          </w:tcPr>
          <w:p w:rsidR="0026537B" w:rsidRPr="003A2CB2" w:rsidRDefault="0033290F" w:rsidP="00B66FDE">
            <w:pPr>
              <w:spacing w:line="276" w:lineRule="auto"/>
              <w:rPr>
                <w:sz w:val="20"/>
                <w:szCs w:val="20"/>
              </w:rPr>
            </w:pPr>
            <w:r w:rsidRPr="0033290F">
              <w:rPr>
                <w:sz w:val="20"/>
                <w:szCs w:val="20"/>
              </w:rPr>
              <w:t>Hodnoty budou známy po zveřejnění map povodňovým nebezpečí a povodňových rizik</w:t>
            </w:r>
          </w:p>
        </w:tc>
      </w:tr>
      <w:bookmarkEnd w:id="2334"/>
    </w:tbl>
    <w:p w:rsidR="00BB23A1" w:rsidRDefault="00BB23A1" w:rsidP="00B66FDE"/>
    <w:p w:rsidR="004B6C19" w:rsidRPr="004314F4" w:rsidRDefault="004B6C19" w:rsidP="00B66FDE"/>
    <w:p w:rsidR="00BD4553" w:rsidRPr="004314F4" w:rsidRDefault="00BB23A1" w:rsidP="00B66FDE">
      <w:pPr>
        <w:pStyle w:val="Nadpis3"/>
      </w:pPr>
      <w:r w:rsidRPr="004314F4">
        <w:lastRenderedPageBreak/>
        <w:t xml:space="preserve"> </w:t>
      </w:r>
      <w:bookmarkStart w:id="2335" w:name="_Toc392150995"/>
      <w:r w:rsidRPr="004314F4">
        <w:t xml:space="preserve">Kategorie </w:t>
      </w:r>
      <w:r w:rsidR="00B95662">
        <w:t>zásahů</w:t>
      </w:r>
      <w:bookmarkEnd w:id="2335"/>
    </w:p>
    <w:p w:rsidR="004B5D82" w:rsidRPr="004314F4" w:rsidRDefault="001C3898" w:rsidP="00ED0E7C">
      <w:pPr>
        <w:pStyle w:val="Titulek"/>
      </w:pPr>
      <w:bookmarkStart w:id="2336" w:name="_Toc384907346"/>
      <w:r>
        <w:t>Dimenze 1</w:t>
      </w:r>
      <w:r w:rsidR="00CE6538">
        <w:t xml:space="preserve"> </w:t>
      </w:r>
      <w:r>
        <w:t>-</w:t>
      </w:r>
      <w:r w:rsidR="00CE6538">
        <w:t xml:space="preserve"> </w:t>
      </w:r>
      <w:r>
        <w:t>Oblast zásahu</w:t>
      </w:r>
      <w:bookmarkEnd w:id="2336"/>
    </w:p>
    <w:tbl>
      <w:tblPr>
        <w:tblStyle w:val="Mkatabulky"/>
        <w:tblW w:w="0" w:type="auto"/>
        <w:tblLook w:val="04A0" w:firstRow="1" w:lastRow="0" w:firstColumn="1" w:lastColumn="0" w:noHBand="0" w:noVBand="1"/>
      </w:tblPr>
      <w:tblGrid>
        <w:gridCol w:w="3070"/>
        <w:gridCol w:w="3070"/>
        <w:gridCol w:w="2615"/>
      </w:tblGrid>
      <w:tr w:rsidR="005B6E3F" w:rsidTr="005472D1">
        <w:tc>
          <w:tcPr>
            <w:tcW w:w="3070" w:type="dxa"/>
          </w:tcPr>
          <w:p w:rsidR="005B6E3F" w:rsidRPr="002355B5" w:rsidRDefault="0033290F" w:rsidP="00B66FDE">
            <w:pPr>
              <w:spacing w:line="276" w:lineRule="auto"/>
            </w:pPr>
            <w:r w:rsidRPr="0033290F">
              <w:t>Fond</w:t>
            </w:r>
          </w:p>
        </w:tc>
        <w:tc>
          <w:tcPr>
            <w:tcW w:w="5685" w:type="dxa"/>
            <w:gridSpan w:val="2"/>
          </w:tcPr>
          <w:p w:rsidR="005B6E3F" w:rsidRPr="002355B5" w:rsidRDefault="0033290F" w:rsidP="00B66FDE">
            <w:pPr>
              <w:spacing w:line="276" w:lineRule="auto"/>
            </w:pPr>
            <w:r w:rsidRPr="0033290F">
              <w:t>Fond soudržnosti</w:t>
            </w:r>
          </w:p>
        </w:tc>
      </w:tr>
      <w:tr w:rsidR="005B6E3F" w:rsidTr="005472D1">
        <w:tc>
          <w:tcPr>
            <w:tcW w:w="3070" w:type="dxa"/>
          </w:tcPr>
          <w:p w:rsidR="005B6E3F" w:rsidRPr="002355B5" w:rsidRDefault="0033290F" w:rsidP="00B66FDE">
            <w:pPr>
              <w:spacing w:line="276" w:lineRule="auto"/>
            </w:pPr>
            <w:r w:rsidRPr="0033290F">
              <w:t>Kategorie regionů</w:t>
            </w:r>
          </w:p>
        </w:tc>
        <w:tc>
          <w:tcPr>
            <w:tcW w:w="5685" w:type="dxa"/>
            <w:gridSpan w:val="2"/>
          </w:tcPr>
          <w:p w:rsidR="005B6E3F" w:rsidRPr="002355B5" w:rsidRDefault="0033290F" w:rsidP="00B66FDE">
            <w:pPr>
              <w:spacing w:line="276" w:lineRule="auto"/>
            </w:pPr>
            <w:r w:rsidRPr="0033290F">
              <w:t>Není relevantní pro prioritní osu 1</w:t>
            </w:r>
          </w:p>
        </w:tc>
      </w:tr>
      <w:tr w:rsidR="001C3898" w:rsidTr="005472D1">
        <w:tc>
          <w:tcPr>
            <w:tcW w:w="3070" w:type="dxa"/>
          </w:tcPr>
          <w:p w:rsidR="001C3898" w:rsidRPr="002355B5" w:rsidRDefault="0033290F" w:rsidP="00B66FDE">
            <w:pPr>
              <w:spacing w:line="276" w:lineRule="auto"/>
            </w:pPr>
            <w:r w:rsidRPr="0033290F">
              <w:t>Prioritní osa</w:t>
            </w:r>
          </w:p>
        </w:tc>
        <w:tc>
          <w:tcPr>
            <w:tcW w:w="3070" w:type="dxa"/>
          </w:tcPr>
          <w:p w:rsidR="001C3898" w:rsidRPr="002355B5" w:rsidRDefault="0033290F" w:rsidP="00B66FDE">
            <w:pPr>
              <w:spacing w:line="276" w:lineRule="auto"/>
            </w:pPr>
            <w:r w:rsidRPr="0033290F">
              <w:t xml:space="preserve">Kód </w:t>
            </w:r>
          </w:p>
        </w:tc>
        <w:tc>
          <w:tcPr>
            <w:tcW w:w="2615" w:type="dxa"/>
          </w:tcPr>
          <w:p w:rsidR="001C3898" w:rsidRPr="002355B5" w:rsidRDefault="0033290F" w:rsidP="00B66FDE">
            <w:pPr>
              <w:spacing w:line="276" w:lineRule="auto"/>
            </w:pPr>
            <w:r w:rsidRPr="0033290F">
              <w:t xml:space="preserve">Částka (v </w:t>
            </w:r>
            <w:proofErr w:type="gramStart"/>
            <w:r w:rsidRPr="0033290F">
              <w:t>EUR</w:t>
            </w:r>
            <w:proofErr w:type="gramEnd"/>
            <w:r w:rsidRPr="0033290F">
              <w:t>)</w:t>
            </w:r>
          </w:p>
        </w:tc>
      </w:tr>
      <w:tr w:rsidR="00F47648" w:rsidTr="005472D1">
        <w:tc>
          <w:tcPr>
            <w:tcW w:w="3070" w:type="dxa"/>
          </w:tcPr>
          <w:p w:rsidR="00F47648" w:rsidRPr="002355B5" w:rsidRDefault="0033290F" w:rsidP="00B66FDE">
            <w:pPr>
              <w:spacing w:line="276" w:lineRule="auto"/>
            </w:pPr>
            <w:r w:rsidRPr="0033290F">
              <w:t>Prioritní osa 1</w:t>
            </w:r>
          </w:p>
        </w:tc>
        <w:tc>
          <w:tcPr>
            <w:tcW w:w="3070" w:type="dxa"/>
          </w:tcPr>
          <w:p w:rsidR="00F47648" w:rsidRPr="002355B5" w:rsidRDefault="0033290F" w:rsidP="00B66FDE">
            <w:pPr>
              <w:spacing w:line="276" w:lineRule="auto"/>
            </w:pPr>
            <w:r w:rsidRPr="0033290F">
              <w:rPr>
                <w:rFonts w:eastAsia="Times New Roman" w:cs="Times New Roman"/>
                <w:color w:val="000000"/>
              </w:rPr>
              <w:t>020</w:t>
            </w:r>
          </w:p>
        </w:tc>
        <w:tc>
          <w:tcPr>
            <w:tcW w:w="2615" w:type="dxa"/>
          </w:tcPr>
          <w:p w:rsidR="00F47648" w:rsidRPr="002355B5" w:rsidRDefault="00F47648" w:rsidP="00B66FDE">
            <w:pPr>
              <w:spacing w:line="276" w:lineRule="auto"/>
            </w:pPr>
            <w:r>
              <w:rPr>
                <w:color w:val="000000"/>
              </w:rPr>
              <w:t>107</w:t>
            </w:r>
            <w:r w:rsidR="00FE4C0F">
              <w:rPr>
                <w:color w:val="000000"/>
              </w:rPr>
              <w:t xml:space="preserve"> </w:t>
            </w:r>
            <w:r>
              <w:rPr>
                <w:color w:val="000000"/>
              </w:rPr>
              <w:t>748</w:t>
            </w:r>
            <w:r w:rsidR="00FE4C0F">
              <w:rPr>
                <w:color w:val="000000"/>
              </w:rPr>
              <w:t xml:space="preserve"> </w:t>
            </w:r>
            <w:r>
              <w:rPr>
                <w:color w:val="000000"/>
              </w:rPr>
              <w:t>439</w:t>
            </w:r>
          </w:p>
        </w:tc>
      </w:tr>
      <w:tr w:rsidR="00F47648" w:rsidTr="005472D1">
        <w:tc>
          <w:tcPr>
            <w:tcW w:w="3070" w:type="dxa"/>
          </w:tcPr>
          <w:p w:rsidR="00F47648" w:rsidRPr="002355B5" w:rsidRDefault="0033290F" w:rsidP="00B66FDE">
            <w:pPr>
              <w:spacing w:line="276" w:lineRule="auto"/>
            </w:pPr>
            <w:r w:rsidRPr="0033290F">
              <w:t>Prioritní osa 1</w:t>
            </w:r>
          </w:p>
        </w:tc>
        <w:tc>
          <w:tcPr>
            <w:tcW w:w="3070" w:type="dxa"/>
          </w:tcPr>
          <w:p w:rsidR="00F47648" w:rsidRPr="002355B5" w:rsidRDefault="0033290F" w:rsidP="00B66FDE">
            <w:pPr>
              <w:spacing w:line="276" w:lineRule="auto"/>
            </w:pPr>
            <w:r w:rsidRPr="0033290F">
              <w:rPr>
                <w:rFonts w:eastAsia="Times New Roman" w:cs="Times New Roman"/>
                <w:color w:val="000000"/>
              </w:rPr>
              <w:t>021</w:t>
            </w:r>
          </w:p>
        </w:tc>
        <w:tc>
          <w:tcPr>
            <w:tcW w:w="2615" w:type="dxa"/>
          </w:tcPr>
          <w:p w:rsidR="00F47648" w:rsidRPr="002355B5" w:rsidRDefault="00F47648" w:rsidP="00B66FDE">
            <w:pPr>
              <w:spacing w:line="276" w:lineRule="auto"/>
            </w:pPr>
            <w:r>
              <w:rPr>
                <w:color w:val="000000"/>
              </w:rPr>
              <w:t>71</w:t>
            </w:r>
            <w:r w:rsidR="00FE4C0F">
              <w:rPr>
                <w:color w:val="000000"/>
              </w:rPr>
              <w:t xml:space="preserve"> </w:t>
            </w:r>
            <w:r>
              <w:rPr>
                <w:color w:val="000000"/>
              </w:rPr>
              <w:t>832</w:t>
            </w:r>
            <w:r w:rsidR="00FE4C0F">
              <w:rPr>
                <w:color w:val="000000"/>
              </w:rPr>
              <w:t xml:space="preserve"> </w:t>
            </w:r>
            <w:r>
              <w:rPr>
                <w:color w:val="000000"/>
              </w:rPr>
              <w:t>293</w:t>
            </w:r>
          </w:p>
        </w:tc>
      </w:tr>
      <w:tr w:rsidR="00F47648" w:rsidTr="005472D1">
        <w:tc>
          <w:tcPr>
            <w:tcW w:w="3070" w:type="dxa"/>
          </w:tcPr>
          <w:p w:rsidR="00F47648" w:rsidRPr="002355B5" w:rsidRDefault="0033290F" w:rsidP="00B66FDE">
            <w:pPr>
              <w:spacing w:line="276" w:lineRule="auto"/>
            </w:pPr>
            <w:r w:rsidRPr="0033290F">
              <w:t>Prioritní osa 1</w:t>
            </w:r>
          </w:p>
        </w:tc>
        <w:tc>
          <w:tcPr>
            <w:tcW w:w="3070" w:type="dxa"/>
          </w:tcPr>
          <w:p w:rsidR="00F47648" w:rsidRPr="002355B5" w:rsidRDefault="0033290F" w:rsidP="00B66FDE">
            <w:pPr>
              <w:spacing w:line="276" w:lineRule="auto"/>
            </w:pPr>
            <w:r w:rsidRPr="0033290F">
              <w:rPr>
                <w:rFonts w:eastAsia="Times New Roman" w:cs="Times New Roman"/>
                <w:color w:val="000000"/>
              </w:rPr>
              <w:t>022</w:t>
            </w:r>
          </w:p>
        </w:tc>
        <w:tc>
          <w:tcPr>
            <w:tcW w:w="2615" w:type="dxa"/>
          </w:tcPr>
          <w:p w:rsidR="00F47648" w:rsidRPr="002355B5" w:rsidRDefault="00F47648" w:rsidP="00B66FDE">
            <w:pPr>
              <w:spacing w:line="276" w:lineRule="auto"/>
            </w:pPr>
            <w:r>
              <w:rPr>
                <w:color w:val="000000"/>
              </w:rPr>
              <w:t>251</w:t>
            </w:r>
            <w:r w:rsidR="00FE4C0F">
              <w:rPr>
                <w:color w:val="000000"/>
              </w:rPr>
              <w:t xml:space="preserve"> </w:t>
            </w:r>
            <w:r>
              <w:rPr>
                <w:color w:val="000000"/>
              </w:rPr>
              <w:t>413</w:t>
            </w:r>
            <w:r w:rsidR="00FE4C0F">
              <w:rPr>
                <w:color w:val="000000"/>
              </w:rPr>
              <w:t xml:space="preserve"> </w:t>
            </w:r>
            <w:r>
              <w:rPr>
                <w:color w:val="000000"/>
              </w:rPr>
              <w:t>024</w:t>
            </w:r>
          </w:p>
        </w:tc>
      </w:tr>
      <w:tr w:rsidR="00F47648" w:rsidTr="005472D1">
        <w:tc>
          <w:tcPr>
            <w:tcW w:w="3070" w:type="dxa"/>
          </w:tcPr>
          <w:p w:rsidR="00F47648" w:rsidRPr="002355B5" w:rsidRDefault="0033290F" w:rsidP="00B66FDE">
            <w:pPr>
              <w:spacing w:line="276" w:lineRule="auto"/>
            </w:pPr>
            <w:r w:rsidRPr="0033290F">
              <w:t>Prioritní osa 1</w:t>
            </w:r>
          </w:p>
        </w:tc>
        <w:tc>
          <w:tcPr>
            <w:tcW w:w="3070" w:type="dxa"/>
          </w:tcPr>
          <w:p w:rsidR="00F47648" w:rsidRPr="002355B5" w:rsidRDefault="0033290F" w:rsidP="00B66FDE">
            <w:pPr>
              <w:spacing w:line="276" w:lineRule="auto"/>
            </w:pPr>
            <w:r w:rsidRPr="0033290F">
              <w:rPr>
                <w:rFonts w:eastAsia="Times New Roman" w:cs="Times New Roman"/>
                <w:color w:val="000000"/>
              </w:rPr>
              <w:t>087</w:t>
            </w:r>
          </w:p>
        </w:tc>
        <w:tc>
          <w:tcPr>
            <w:tcW w:w="2615" w:type="dxa"/>
          </w:tcPr>
          <w:p w:rsidR="00F47648" w:rsidRPr="002355B5" w:rsidRDefault="00F47648" w:rsidP="00B66FDE">
            <w:pPr>
              <w:spacing w:line="276" w:lineRule="auto"/>
            </w:pPr>
            <w:r>
              <w:rPr>
                <w:color w:val="000000"/>
              </w:rPr>
              <w:t>6</w:t>
            </w:r>
            <w:r w:rsidR="00FE4C0F">
              <w:rPr>
                <w:color w:val="000000"/>
              </w:rPr>
              <w:t xml:space="preserve"> </w:t>
            </w:r>
            <w:r>
              <w:rPr>
                <w:color w:val="000000"/>
              </w:rPr>
              <w:t>464</w:t>
            </w:r>
            <w:r w:rsidR="00FE4C0F">
              <w:rPr>
                <w:color w:val="000000"/>
              </w:rPr>
              <w:t xml:space="preserve"> </w:t>
            </w:r>
            <w:r>
              <w:rPr>
                <w:color w:val="000000"/>
              </w:rPr>
              <w:t>906</w:t>
            </w:r>
          </w:p>
        </w:tc>
      </w:tr>
      <w:tr w:rsidR="00F47648" w:rsidTr="005472D1">
        <w:tc>
          <w:tcPr>
            <w:tcW w:w="3070" w:type="dxa"/>
          </w:tcPr>
          <w:p w:rsidR="00F47648" w:rsidRPr="002355B5" w:rsidRDefault="0033290F" w:rsidP="00B66FDE">
            <w:pPr>
              <w:spacing w:line="276" w:lineRule="auto"/>
            </w:pPr>
            <w:r w:rsidRPr="0033290F">
              <w:t>Prioritní osa 1</w:t>
            </w:r>
          </w:p>
        </w:tc>
        <w:tc>
          <w:tcPr>
            <w:tcW w:w="3070" w:type="dxa"/>
          </w:tcPr>
          <w:p w:rsidR="00F47648" w:rsidRPr="002355B5" w:rsidRDefault="0033290F" w:rsidP="00B66FDE">
            <w:pPr>
              <w:spacing w:line="276" w:lineRule="auto"/>
            </w:pPr>
            <w:r w:rsidRPr="0033290F">
              <w:rPr>
                <w:rFonts w:eastAsia="Times New Roman" w:cs="Times New Roman"/>
                <w:color w:val="000000"/>
              </w:rPr>
              <w:t>088</w:t>
            </w:r>
          </w:p>
        </w:tc>
        <w:tc>
          <w:tcPr>
            <w:tcW w:w="2615" w:type="dxa"/>
          </w:tcPr>
          <w:p w:rsidR="00F47648" w:rsidRPr="002355B5" w:rsidRDefault="00F47648" w:rsidP="00B66FDE">
            <w:pPr>
              <w:spacing w:line="276" w:lineRule="auto"/>
            </w:pPr>
            <w:r>
              <w:rPr>
                <w:color w:val="000000"/>
              </w:rPr>
              <w:t>280</w:t>
            </w:r>
            <w:r w:rsidR="00FE4C0F">
              <w:rPr>
                <w:color w:val="000000"/>
              </w:rPr>
              <w:t xml:space="preserve"> </w:t>
            </w:r>
            <w:r>
              <w:rPr>
                <w:color w:val="000000"/>
              </w:rPr>
              <w:t>864</w:t>
            </w:r>
            <w:r w:rsidR="00FE4C0F">
              <w:rPr>
                <w:color w:val="000000"/>
              </w:rPr>
              <w:t xml:space="preserve"> </w:t>
            </w:r>
            <w:r>
              <w:rPr>
                <w:color w:val="000000"/>
              </w:rPr>
              <w:t>264</w:t>
            </w:r>
          </w:p>
        </w:tc>
      </w:tr>
    </w:tbl>
    <w:p w:rsidR="001C3898" w:rsidRDefault="001C3898" w:rsidP="00B66FDE"/>
    <w:p w:rsidR="00674BC9" w:rsidRDefault="005B6E3F">
      <w:pPr>
        <w:pStyle w:val="Titulek"/>
      </w:pPr>
      <w:r>
        <w:t>Dimenze 2 – Forma financování</w:t>
      </w:r>
    </w:p>
    <w:tbl>
      <w:tblPr>
        <w:tblStyle w:val="Mkatabulky"/>
        <w:tblW w:w="0" w:type="auto"/>
        <w:tblLook w:val="04A0" w:firstRow="1" w:lastRow="0" w:firstColumn="1" w:lastColumn="0" w:noHBand="0" w:noVBand="1"/>
      </w:tblPr>
      <w:tblGrid>
        <w:gridCol w:w="3070"/>
        <w:gridCol w:w="3070"/>
        <w:gridCol w:w="2615"/>
      </w:tblGrid>
      <w:tr w:rsidR="005B6E3F" w:rsidTr="005472D1">
        <w:tc>
          <w:tcPr>
            <w:tcW w:w="3070" w:type="dxa"/>
          </w:tcPr>
          <w:p w:rsidR="005B6E3F" w:rsidRPr="002355B5" w:rsidRDefault="0033290F" w:rsidP="00867818">
            <w:pPr>
              <w:spacing w:line="276" w:lineRule="auto"/>
            </w:pPr>
            <w:r w:rsidRPr="0033290F">
              <w:t>Fond</w:t>
            </w:r>
          </w:p>
        </w:tc>
        <w:tc>
          <w:tcPr>
            <w:tcW w:w="5685" w:type="dxa"/>
            <w:gridSpan w:val="2"/>
          </w:tcPr>
          <w:p w:rsidR="005B6E3F" w:rsidRPr="002355B5" w:rsidRDefault="0033290F" w:rsidP="00867818">
            <w:pPr>
              <w:spacing w:line="276" w:lineRule="auto"/>
            </w:pPr>
            <w:r w:rsidRPr="0033290F">
              <w:t>Fond soudržnosti</w:t>
            </w:r>
          </w:p>
        </w:tc>
      </w:tr>
      <w:tr w:rsidR="005B6E3F" w:rsidTr="005472D1">
        <w:tc>
          <w:tcPr>
            <w:tcW w:w="3070" w:type="dxa"/>
          </w:tcPr>
          <w:p w:rsidR="005B6E3F" w:rsidRPr="002355B5" w:rsidRDefault="0033290F" w:rsidP="00867818">
            <w:pPr>
              <w:spacing w:line="276" w:lineRule="auto"/>
            </w:pPr>
            <w:r w:rsidRPr="0033290F">
              <w:t>Kategorie regionů</w:t>
            </w:r>
          </w:p>
        </w:tc>
        <w:tc>
          <w:tcPr>
            <w:tcW w:w="5685" w:type="dxa"/>
            <w:gridSpan w:val="2"/>
          </w:tcPr>
          <w:p w:rsidR="005B6E3F" w:rsidRPr="002355B5" w:rsidRDefault="0033290F" w:rsidP="00867818">
            <w:pPr>
              <w:spacing w:line="276" w:lineRule="auto"/>
            </w:pPr>
            <w:r w:rsidRPr="0033290F">
              <w:t>Není relevantní pro prioritní osu 1</w:t>
            </w:r>
          </w:p>
        </w:tc>
      </w:tr>
      <w:tr w:rsidR="005B6E3F" w:rsidTr="005472D1">
        <w:tc>
          <w:tcPr>
            <w:tcW w:w="3070" w:type="dxa"/>
          </w:tcPr>
          <w:p w:rsidR="005B6E3F" w:rsidRPr="002355B5" w:rsidRDefault="0033290F" w:rsidP="00867818">
            <w:pPr>
              <w:spacing w:line="276" w:lineRule="auto"/>
            </w:pPr>
            <w:r w:rsidRPr="0033290F">
              <w:t>Prioritní osa</w:t>
            </w:r>
          </w:p>
        </w:tc>
        <w:tc>
          <w:tcPr>
            <w:tcW w:w="3070" w:type="dxa"/>
          </w:tcPr>
          <w:p w:rsidR="005B6E3F" w:rsidRPr="002355B5" w:rsidRDefault="0033290F" w:rsidP="00867818">
            <w:pPr>
              <w:spacing w:line="276" w:lineRule="auto"/>
            </w:pPr>
            <w:r w:rsidRPr="0033290F">
              <w:t xml:space="preserve">Kód </w:t>
            </w:r>
          </w:p>
        </w:tc>
        <w:tc>
          <w:tcPr>
            <w:tcW w:w="2615" w:type="dxa"/>
          </w:tcPr>
          <w:p w:rsidR="005B6E3F" w:rsidRPr="002355B5" w:rsidRDefault="0033290F" w:rsidP="00867818">
            <w:pPr>
              <w:spacing w:line="276" w:lineRule="auto"/>
            </w:pPr>
            <w:r w:rsidRPr="0033290F">
              <w:t xml:space="preserve">Částka (v </w:t>
            </w:r>
            <w:proofErr w:type="gramStart"/>
            <w:r w:rsidRPr="0033290F">
              <w:t>EUR</w:t>
            </w:r>
            <w:proofErr w:type="gramEnd"/>
            <w:r w:rsidRPr="0033290F">
              <w:t>)</w:t>
            </w:r>
          </w:p>
        </w:tc>
      </w:tr>
      <w:tr w:rsidR="00F47648" w:rsidTr="005472D1">
        <w:tc>
          <w:tcPr>
            <w:tcW w:w="3070" w:type="dxa"/>
          </w:tcPr>
          <w:p w:rsidR="00F47648" w:rsidRPr="002355B5" w:rsidRDefault="0033290F" w:rsidP="00867818">
            <w:pPr>
              <w:spacing w:line="276" w:lineRule="auto"/>
            </w:pPr>
            <w:r w:rsidRPr="0033290F">
              <w:t>Prioritní osa 1</w:t>
            </w:r>
          </w:p>
        </w:tc>
        <w:tc>
          <w:tcPr>
            <w:tcW w:w="3070" w:type="dxa"/>
          </w:tcPr>
          <w:p w:rsidR="00F47648" w:rsidRPr="002355B5" w:rsidRDefault="0033290F" w:rsidP="00867818">
            <w:pPr>
              <w:spacing w:line="276" w:lineRule="auto"/>
            </w:pPr>
            <w:r w:rsidRPr="0033290F">
              <w:rPr>
                <w:rFonts w:eastAsia="Times New Roman" w:cs="Times New Roman"/>
                <w:color w:val="000000"/>
              </w:rPr>
              <w:t>01</w:t>
            </w:r>
          </w:p>
        </w:tc>
        <w:tc>
          <w:tcPr>
            <w:tcW w:w="2615" w:type="dxa"/>
          </w:tcPr>
          <w:p w:rsidR="00F47648" w:rsidRPr="002355B5" w:rsidRDefault="001E057E" w:rsidP="00867818">
            <w:pPr>
              <w:spacing w:line="276" w:lineRule="auto"/>
            </w:pPr>
            <w:r>
              <w:t>718</w:t>
            </w:r>
            <w:r w:rsidR="00FE4C0F">
              <w:t xml:space="preserve"> </w:t>
            </w:r>
            <w:r>
              <w:t>322</w:t>
            </w:r>
            <w:r w:rsidR="00FE4C0F">
              <w:t xml:space="preserve"> </w:t>
            </w:r>
            <w:r>
              <w:t>925</w:t>
            </w:r>
          </w:p>
        </w:tc>
      </w:tr>
    </w:tbl>
    <w:p w:rsidR="005B6E3F" w:rsidRDefault="005B6E3F" w:rsidP="005B6E3F"/>
    <w:p w:rsidR="00674BC9" w:rsidRDefault="00572159">
      <w:pPr>
        <w:pStyle w:val="Titulek"/>
      </w:pPr>
      <w:r>
        <w:t>Dimenze 3 – Typ území</w:t>
      </w:r>
    </w:p>
    <w:tbl>
      <w:tblPr>
        <w:tblStyle w:val="Mkatabulky"/>
        <w:tblW w:w="0" w:type="auto"/>
        <w:tblLook w:val="04A0" w:firstRow="1" w:lastRow="0" w:firstColumn="1" w:lastColumn="0" w:noHBand="0" w:noVBand="1"/>
      </w:tblPr>
      <w:tblGrid>
        <w:gridCol w:w="3070"/>
        <w:gridCol w:w="3070"/>
        <w:gridCol w:w="2615"/>
      </w:tblGrid>
      <w:tr w:rsidR="00572159" w:rsidTr="005472D1">
        <w:tc>
          <w:tcPr>
            <w:tcW w:w="3070" w:type="dxa"/>
          </w:tcPr>
          <w:p w:rsidR="00572159" w:rsidRPr="002355B5" w:rsidRDefault="0033290F" w:rsidP="00867818">
            <w:pPr>
              <w:spacing w:line="276" w:lineRule="auto"/>
            </w:pPr>
            <w:r w:rsidRPr="0033290F">
              <w:t>Fond</w:t>
            </w:r>
          </w:p>
        </w:tc>
        <w:tc>
          <w:tcPr>
            <w:tcW w:w="5685" w:type="dxa"/>
            <w:gridSpan w:val="2"/>
          </w:tcPr>
          <w:p w:rsidR="00572159" w:rsidRPr="002355B5" w:rsidRDefault="0033290F" w:rsidP="00867818">
            <w:pPr>
              <w:spacing w:line="276" w:lineRule="auto"/>
            </w:pPr>
            <w:r w:rsidRPr="0033290F">
              <w:t>Fond soudržnosti</w:t>
            </w:r>
          </w:p>
        </w:tc>
      </w:tr>
      <w:tr w:rsidR="00572159" w:rsidTr="005472D1">
        <w:tc>
          <w:tcPr>
            <w:tcW w:w="3070" w:type="dxa"/>
          </w:tcPr>
          <w:p w:rsidR="00572159" w:rsidRPr="002355B5" w:rsidRDefault="0033290F" w:rsidP="00867818">
            <w:pPr>
              <w:spacing w:line="276" w:lineRule="auto"/>
            </w:pPr>
            <w:r w:rsidRPr="0033290F">
              <w:t>Kategorie regionů</w:t>
            </w:r>
          </w:p>
        </w:tc>
        <w:tc>
          <w:tcPr>
            <w:tcW w:w="5685" w:type="dxa"/>
            <w:gridSpan w:val="2"/>
          </w:tcPr>
          <w:p w:rsidR="00572159" w:rsidRPr="002355B5" w:rsidRDefault="0033290F" w:rsidP="00867818">
            <w:pPr>
              <w:spacing w:line="276" w:lineRule="auto"/>
            </w:pPr>
            <w:r w:rsidRPr="0033290F">
              <w:t>Není relevantní pro prioritní osu 1</w:t>
            </w:r>
          </w:p>
        </w:tc>
      </w:tr>
      <w:tr w:rsidR="00572159" w:rsidTr="005472D1">
        <w:tc>
          <w:tcPr>
            <w:tcW w:w="3070" w:type="dxa"/>
          </w:tcPr>
          <w:p w:rsidR="00572159" w:rsidRPr="002355B5" w:rsidRDefault="0033290F" w:rsidP="00867818">
            <w:pPr>
              <w:spacing w:line="276" w:lineRule="auto"/>
            </w:pPr>
            <w:r w:rsidRPr="0033290F">
              <w:t>Prioritní osa</w:t>
            </w:r>
          </w:p>
        </w:tc>
        <w:tc>
          <w:tcPr>
            <w:tcW w:w="3070" w:type="dxa"/>
          </w:tcPr>
          <w:p w:rsidR="00572159" w:rsidRPr="002355B5" w:rsidRDefault="0033290F" w:rsidP="00867818">
            <w:pPr>
              <w:spacing w:line="276" w:lineRule="auto"/>
            </w:pPr>
            <w:r w:rsidRPr="0033290F">
              <w:t xml:space="preserve">Kód </w:t>
            </w:r>
          </w:p>
        </w:tc>
        <w:tc>
          <w:tcPr>
            <w:tcW w:w="2615" w:type="dxa"/>
          </w:tcPr>
          <w:p w:rsidR="00572159" w:rsidRPr="002355B5" w:rsidRDefault="0033290F" w:rsidP="00867818">
            <w:pPr>
              <w:spacing w:line="276" w:lineRule="auto"/>
            </w:pPr>
            <w:r w:rsidRPr="0033290F">
              <w:t xml:space="preserve">Částka (v </w:t>
            </w:r>
            <w:proofErr w:type="gramStart"/>
            <w:r w:rsidRPr="0033290F">
              <w:t>EUR</w:t>
            </w:r>
            <w:proofErr w:type="gramEnd"/>
            <w:r w:rsidRPr="0033290F">
              <w:t>)</w:t>
            </w:r>
          </w:p>
        </w:tc>
      </w:tr>
      <w:tr w:rsidR="00F47648" w:rsidTr="005472D1">
        <w:tc>
          <w:tcPr>
            <w:tcW w:w="3070" w:type="dxa"/>
          </w:tcPr>
          <w:p w:rsidR="00F47648" w:rsidRPr="002355B5" w:rsidRDefault="0033290F" w:rsidP="00867818">
            <w:pPr>
              <w:spacing w:line="276" w:lineRule="auto"/>
            </w:pPr>
            <w:r w:rsidRPr="0033290F">
              <w:t>Prioritní osa 1</w:t>
            </w:r>
          </w:p>
        </w:tc>
        <w:tc>
          <w:tcPr>
            <w:tcW w:w="3070" w:type="dxa"/>
          </w:tcPr>
          <w:p w:rsidR="00F47648" w:rsidRPr="002355B5" w:rsidRDefault="0033290F" w:rsidP="00867818">
            <w:pPr>
              <w:spacing w:line="276" w:lineRule="auto"/>
            </w:pPr>
            <w:r w:rsidRPr="0033290F">
              <w:t>01</w:t>
            </w:r>
          </w:p>
        </w:tc>
        <w:tc>
          <w:tcPr>
            <w:tcW w:w="2615" w:type="dxa"/>
          </w:tcPr>
          <w:p w:rsidR="00F47648" w:rsidRPr="002355B5" w:rsidRDefault="00F47648" w:rsidP="00867818">
            <w:pPr>
              <w:spacing w:line="276" w:lineRule="auto"/>
            </w:pPr>
            <w:r>
              <w:rPr>
                <w:color w:val="000000"/>
              </w:rPr>
              <w:t>35</w:t>
            </w:r>
            <w:r w:rsidR="00FE4C0F">
              <w:rPr>
                <w:color w:val="000000"/>
              </w:rPr>
              <w:t xml:space="preserve"> </w:t>
            </w:r>
            <w:r>
              <w:rPr>
                <w:color w:val="000000"/>
              </w:rPr>
              <w:t>916</w:t>
            </w:r>
            <w:r w:rsidR="00FE4C0F">
              <w:rPr>
                <w:color w:val="000000"/>
              </w:rPr>
              <w:t xml:space="preserve"> </w:t>
            </w:r>
            <w:r>
              <w:rPr>
                <w:color w:val="000000"/>
              </w:rPr>
              <w:t>146</w:t>
            </w:r>
          </w:p>
        </w:tc>
      </w:tr>
      <w:tr w:rsidR="00F47648" w:rsidTr="005472D1">
        <w:tc>
          <w:tcPr>
            <w:tcW w:w="3070" w:type="dxa"/>
          </w:tcPr>
          <w:p w:rsidR="00F47648" w:rsidRPr="002355B5" w:rsidRDefault="0033290F" w:rsidP="00867818">
            <w:pPr>
              <w:spacing w:line="276" w:lineRule="auto"/>
            </w:pPr>
            <w:r w:rsidRPr="0033290F">
              <w:t>Prioritní osa 1</w:t>
            </w:r>
          </w:p>
        </w:tc>
        <w:tc>
          <w:tcPr>
            <w:tcW w:w="3070" w:type="dxa"/>
          </w:tcPr>
          <w:p w:rsidR="00F47648" w:rsidRPr="002355B5" w:rsidRDefault="0033290F" w:rsidP="00867818">
            <w:pPr>
              <w:spacing w:line="276" w:lineRule="auto"/>
            </w:pPr>
            <w:r w:rsidRPr="0033290F">
              <w:t>02</w:t>
            </w:r>
          </w:p>
        </w:tc>
        <w:tc>
          <w:tcPr>
            <w:tcW w:w="2615" w:type="dxa"/>
          </w:tcPr>
          <w:p w:rsidR="00F47648" w:rsidRPr="002355B5" w:rsidRDefault="00F47648" w:rsidP="00867818">
            <w:pPr>
              <w:spacing w:line="276" w:lineRule="auto"/>
            </w:pPr>
            <w:r>
              <w:rPr>
                <w:color w:val="000000"/>
              </w:rPr>
              <w:t>71</w:t>
            </w:r>
            <w:r w:rsidR="00FE4C0F">
              <w:rPr>
                <w:color w:val="000000"/>
              </w:rPr>
              <w:t xml:space="preserve"> </w:t>
            </w:r>
            <w:r>
              <w:rPr>
                <w:color w:val="000000"/>
              </w:rPr>
              <w:t>832</w:t>
            </w:r>
            <w:r w:rsidR="00FE4C0F">
              <w:rPr>
                <w:color w:val="000000"/>
              </w:rPr>
              <w:t xml:space="preserve"> </w:t>
            </w:r>
            <w:r>
              <w:rPr>
                <w:color w:val="000000"/>
              </w:rPr>
              <w:t>293</w:t>
            </w:r>
          </w:p>
        </w:tc>
      </w:tr>
      <w:tr w:rsidR="00F47648" w:rsidTr="005472D1">
        <w:tc>
          <w:tcPr>
            <w:tcW w:w="3070" w:type="dxa"/>
          </w:tcPr>
          <w:p w:rsidR="00F47648" w:rsidRPr="002355B5" w:rsidRDefault="0033290F" w:rsidP="00867818">
            <w:pPr>
              <w:spacing w:line="276" w:lineRule="auto"/>
            </w:pPr>
            <w:r w:rsidRPr="0033290F">
              <w:t>Prioritní osa 1</w:t>
            </w:r>
          </w:p>
        </w:tc>
        <w:tc>
          <w:tcPr>
            <w:tcW w:w="3070" w:type="dxa"/>
          </w:tcPr>
          <w:p w:rsidR="00F47648" w:rsidRPr="002355B5" w:rsidRDefault="0033290F" w:rsidP="00867818">
            <w:pPr>
              <w:spacing w:line="276" w:lineRule="auto"/>
            </w:pPr>
            <w:r w:rsidRPr="0033290F">
              <w:t>03</w:t>
            </w:r>
          </w:p>
        </w:tc>
        <w:tc>
          <w:tcPr>
            <w:tcW w:w="2615" w:type="dxa"/>
          </w:tcPr>
          <w:p w:rsidR="00F47648" w:rsidRPr="002355B5" w:rsidRDefault="00F47648" w:rsidP="00867818">
            <w:pPr>
              <w:spacing w:line="276" w:lineRule="auto"/>
            </w:pPr>
            <w:r>
              <w:rPr>
                <w:color w:val="000000"/>
              </w:rPr>
              <w:t>610</w:t>
            </w:r>
            <w:r w:rsidR="00FE4C0F">
              <w:rPr>
                <w:color w:val="000000"/>
              </w:rPr>
              <w:t xml:space="preserve"> </w:t>
            </w:r>
            <w:r>
              <w:rPr>
                <w:color w:val="000000"/>
              </w:rPr>
              <w:t>574</w:t>
            </w:r>
            <w:r w:rsidR="00FE4C0F">
              <w:rPr>
                <w:color w:val="000000"/>
              </w:rPr>
              <w:t xml:space="preserve"> </w:t>
            </w:r>
            <w:r>
              <w:rPr>
                <w:color w:val="000000"/>
              </w:rPr>
              <w:t>486</w:t>
            </w:r>
          </w:p>
        </w:tc>
      </w:tr>
    </w:tbl>
    <w:p w:rsidR="00572159" w:rsidRDefault="00572159" w:rsidP="00572159"/>
    <w:p w:rsidR="00674BC9" w:rsidRDefault="00572159">
      <w:pPr>
        <w:pStyle w:val="Titulek"/>
      </w:pPr>
      <w:r>
        <w:t>Dimenze 4 – Mechanismus územního plnění</w:t>
      </w:r>
    </w:p>
    <w:tbl>
      <w:tblPr>
        <w:tblStyle w:val="Mkatabulky"/>
        <w:tblW w:w="0" w:type="auto"/>
        <w:tblLook w:val="04A0" w:firstRow="1" w:lastRow="0" w:firstColumn="1" w:lastColumn="0" w:noHBand="0" w:noVBand="1"/>
      </w:tblPr>
      <w:tblGrid>
        <w:gridCol w:w="3070"/>
        <w:gridCol w:w="3070"/>
        <w:gridCol w:w="2615"/>
      </w:tblGrid>
      <w:tr w:rsidR="00572159" w:rsidTr="005472D1">
        <w:tc>
          <w:tcPr>
            <w:tcW w:w="3070" w:type="dxa"/>
          </w:tcPr>
          <w:p w:rsidR="00572159" w:rsidRPr="002355B5" w:rsidRDefault="0033290F" w:rsidP="00867818">
            <w:pPr>
              <w:spacing w:line="276" w:lineRule="auto"/>
            </w:pPr>
            <w:r w:rsidRPr="0033290F">
              <w:t>Fond</w:t>
            </w:r>
          </w:p>
        </w:tc>
        <w:tc>
          <w:tcPr>
            <w:tcW w:w="5685" w:type="dxa"/>
            <w:gridSpan w:val="2"/>
          </w:tcPr>
          <w:p w:rsidR="00572159" w:rsidRPr="002355B5" w:rsidRDefault="0033290F" w:rsidP="00867818">
            <w:pPr>
              <w:spacing w:line="276" w:lineRule="auto"/>
            </w:pPr>
            <w:r w:rsidRPr="0033290F">
              <w:t>Fond soudržnosti</w:t>
            </w:r>
          </w:p>
        </w:tc>
      </w:tr>
      <w:tr w:rsidR="00572159" w:rsidTr="005472D1">
        <w:tc>
          <w:tcPr>
            <w:tcW w:w="3070" w:type="dxa"/>
          </w:tcPr>
          <w:p w:rsidR="00572159" w:rsidRPr="002355B5" w:rsidRDefault="0033290F" w:rsidP="00867818">
            <w:pPr>
              <w:spacing w:line="276" w:lineRule="auto"/>
            </w:pPr>
            <w:r w:rsidRPr="0033290F">
              <w:t>Kategorie regionů</w:t>
            </w:r>
          </w:p>
        </w:tc>
        <w:tc>
          <w:tcPr>
            <w:tcW w:w="5685" w:type="dxa"/>
            <w:gridSpan w:val="2"/>
          </w:tcPr>
          <w:p w:rsidR="00572159" w:rsidRPr="002355B5" w:rsidRDefault="0033290F" w:rsidP="00867818">
            <w:pPr>
              <w:spacing w:line="276" w:lineRule="auto"/>
            </w:pPr>
            <w:r w:rsidRPr="0033290F">
              <w:t>Není relevantní pro prioritní osu 1</w:t>
            </w:r>
          </w:p>
        </w:tc>
      </w:tr>
      <w:tr w:rsidR="00572159" w:rsidTr="005472D1">
        <w:tc>
          <w:tcPr>
            <w:tcW w:w="3070" w:type="dxa"/>
          </w:tcPr>
          <w:p w:rsidR="00572159" w:rsidRPr="002355B5" w:rsidRDefault="0033290F" w:rsidP="00867818">
            <w:pPr>
              <w:spacing w:line="276" w:lineRule="auto"/>
            </w:pPr>
            <w:r w:rsidRPr="0033290F">
              <w:t>Prioritní osa</w:t>
            </w:r>
          </w:p>
        </w:tc>
        <w:tc>
          <w:tcPr>
            <w:tcW w:w="3070" w:type="dxa"/>
          </w:tcPr>
          <w:p w:rsidR="00572159" w:rsidRPr="002355B5" w:rsidRDefault="0033290F" w:rsidP="00867818">
            <w:pPr>
              <w:spacing w:line="276" w:lineRule="auto"/>
            </w:pPr>
            <w:r w:rsidRPr="0033290F">
              <w:t xml:space="preserve">Kód </w:t>
            </w:r>
          </w:p>
        </w:tc>
        <w:tc>
          <w:tcPr>
            <w:tcW w:w="2615" w:type="dxa"/>
          </w:tcPr>
          <w:p w:rsidR="00572159" w:rsidRPr="002355B5" w:rsidRDefault="0033290F" w:rsidP="00867818">
            <w:pPr>
              <w:spacing w:line="276" w:lineRule="auto"/>
            </w:pPr>
            <w:r w:rsidRPr="0033290F">
              <w:t xml:space="preserve">Částka (v </w:t>
            </w:r>
            <w:proofErr w:type="gramStart"/>
            <w:r w:rsidRPr="0033290F">
              <w:t>EUR</w:t>
            </w:r>
            <w:proofErr w:type="gramEnd"/>
            <w:r w:rsidRPr="0033290F">
              <w:t>)</w:t>
            </w:r>
          </w:p>
        </w:tc>
      </w:tr>
      <w:tr w:rsidR="00572159" w:rsidTr="005472D1">
        <w:tc>
          <w:tcPr>
            <w:tcW w:w="3070" w:type="dxa"/>
          </w:tcPr>
          <w:p w:rsidR="00572159" w:rsidRPr="002355B5" w:rsidRDefault="0033290F" w:rsidP="00867818">
            <w:pPr>
              <w:spacing w:line="276" w:lineRule="auto"/>
            </w:pPr>
            <w:r w:rsidRPr="0033290F">
              <w:t>Prioritní osa 1</w:t>
            </w:r>
          </w:p>
        </w:tc>
        <w:tc>
          <w:tcPr>
            <w:tcW w:w="3070" w:type="dxa"/>
          </w:tcPr>
          <w:p w:rsidR="00572159" w:rsidRPr="002355B5" w:rsidRDefault="0033290F" w:rsidP="00867818">
            <w:pPr>
              <w:spacing w:line="276" w:lineRule="auto"/>
            </w:pPr>
            <w:r w:rsidRPr="0033290F">
              <w:rPr>
                <w:rFonts w:eastAsia="Times New Roman" w:cs="Times New Roman"/>
                <w:color w:val="000000"/>
              </w:rPr>
              <w:t>07</w:t>
            </w:r>
          </w:p>
        </w:tc>
        <w:tc>
          <w:tcPr>
            <w:tcW w:w="2615" w:type="dxa"/>
          </w:tcPr>
          <w:p w:rsidR="00572159" w:rsidRPr="002355B5" w:rsidRDefault="0033290F" w:rsidP="00867818">
            <w:pPr>
              <w:spacing w:line="276" w:lineRule="auto"/>
            </w:pPr>
            <w:r w:rsidRPr="0033290F">
              <w:rPr>
                <w:rFonts w:eastAsia="Times New Roman" w:cs="Times New Roman"/>
                <w:color w:val="000000"/>
              </w:rPr>
              <w:t>0</w:t>
            </w:r>
          </w:p>
        </w:tc>
      </w:tr>
    </w:tbl>
    <w:p w:rsidR="00572159" w:rsidRDefault="00572159" w:rsidP="00572159"/>
    <w:p w:rsidR="00674BC9" w:rsidRDefault="00572159">
      <w:pPr>
        <w:pStyle w:val="Titulek"/>
      </w:pPr>
      <w:r>
        <w:t>Dimenze 5 – Tematický cíl</w:t>
      </w:r>
    </w:p>
    <w:tbl>
      <w:tblPr>
        <w:tblStyle w:val="Mkatabulky"/>
        <w:tblW w:w="0" w:type="auto"/>
        <w:tblLook w:val="04A0" w:firstRow="1" w:lastRow="0" w:firstColumn="1" w:lastColumn="0" w:noHBand="0" w:noVBand="1"/>
      </w:tblPr>
      <w:tblGrid>
        <w:gridCol w:w="3070"/>
        <w:gridCol w:w="3070"/>
        <w:gridCol w:w="2615"/>
      </w:tblGrid>
      <w:tr w:rsidR="00572159" w:rsidTr="005472D1">
        <w:tc>
          <w:tcPr>
            <w:tcW w:w="3070" w:type="dxa"/>
          </w:tcPr>
          <w:p w:rsidR="00572159" w:rsidRPr="002355B5" w:rsidRDefault="0033290F" w:rsidP="00867818">
            <w:pPr>
              <w:spacing w:line="276" w:lineRule="auto"/>
            </w:pPr>
            <w:r w:rsidRPr="0033290F">
              <w:t>Fond</w:t>
            </w:r>
          </w:p>
        </w:tc>
        <w:tc>
          <w:tcPr>
            <w:tcW w:w="5685" w:type="dxa"/>
            <w:gridSpan w:val="2"/>
          </w:tcPr>
          <w:p w:rsidR="00572159" w:rsidRPr="002355B5" w:rsidRDefault="0033290F" w:rsidP="00867818">
            <w:pPr>
              <w:spacing w:line="276" w:lineRule="auto"/>
            </w:pPr>
            <w:r w:rsidRPr="0033290F">
              <w:t>Fond soudržnosti</w:t>
            </w:r>
          </w:p>
        </w:tc>
      </w:tr>
      <w:tr w:rsidR="00572159" w:rsidTr="005472D1">
        <w:tc>
          <w:tcPr>
            <w:tcW w:w="3070" w:type="dxa"/>
          </w:tcPr>
          <w:p w:rsidR="00572159" w:rsidRPr="002355B5" w:rsidRDefault="0033290F" w:rsidP="00867818">
            <w:pPr>
              <w:spacing w:line="276" w:lineRule="auto"/>
            </w:pPr>
            <w:r w:rsidRPr="0033290F">
              <w:t>Kategorie regionů</w:t>
            </w:r>
          </w:p>
        </w:tc>
        <w:tc>
          <w:tcPr>
            <w:tcW w:w="5685" w:type="dxa"/>
            <w:gridSpan w:val="2"/>
          </w:tcPr>
          <w:p w:rsidR="00572159" w:rsidRPr="002355B5" w:rsidRDefault="0033290F" w:rsidP="00867818">
            <w:pPr>
              <w:spacing w:line="276" w:lineRule="auto"/>
            </w:pPr>
            <w:r w:rsidRPr="0033290F">
              <w:t>Není relevantní pro prioritní osu 1</w:t>
            </w:r>
          </w:p>
        </w:tc>
      </w:tr>
      <w:tr w:rsidR="00572159" w:rsidTr="005472D1">
        <w:tc>
          <w:tcPr>
            <w:tcW w:w="3070" w:type="dxa"/>
          </w:tcPr>
          <w:p w:rsidR="00572159" w:rsidRPr="002355B5" w:rsidRDefault="0033290F" w:rsidP="00867818">
            <w:pPr>
              <w:spacing w:line="276" w:lineRule="auto"/>
            </w:pPr>
            <w:r w:rsidRPr="0033290F">
              <w:t>Prioritní osa</w:t>
            </w:r>
          </w:p>
        </w:tc>
        <w:tc>
          <w:tcPr>
            <w:tcW w:w="3070" w:type="dxa"/>
          </w:tcPr>
          <w:p w:rsidR="00572159" w:rsidRPr="002355B5" w:rsidRDefault="0033290F" w:rsidP="00867818">
            <w:pPr>
              <w:spacing w:line="276" w:lineRule="auto"/>
            </w:pPr>
            <w:r w:rsidRPr="0033290F">
              <w:t xml:space="preserve">Kód </w:t>
            </w:r>
          </w:p>
        </w:tc>
        <w:tc>
          <w:tcPr>
            <w:tcW w:w="2615" w:type="dxa"/>
          </w:tcPr>
          <w:p w:rsidR="00572159" w:rsidRPr="00F87145" w:rsidRDefault="0033290F" w:rsidP="00867818">
            <w:pPr>
              <w:spacing w:line="276" w:lineRule="auto"/>
            </w:pPr>
            <w:r w:rsidRPr="0033290F">
              <w:t xml:space="preserve">Částka (v </w:t>
            </w:r>
            <w:proofErr w:type="gramStart"/>
            <w:r w:rsidRPr="0033290F">
              <w:t>EUR</w:t>
            </w:r>
            <w:proofErr w:type="gramEnd"/>
            <w:r w:rsidRPr="0033290F">
              <w:t>)</w:t>
            </w:r>
          </w:p>
        </w:tc>
      </w:tr>
      <w:tr w:rsidR="00F87145" w:rsidTr="005472D1">
        <w:tc>
          <w:tcPr>
            <w:tcW w:w="3070" w:type="dxa"/>
          </w:tcPr>
          <w:p w:rsidR="00F87145" w:rsidRPr="002355B5" w:rsidRDefault="0033290F" w:rsidP="00867818">
            <w:pPr>
              <w:spacing w:line="276" w:lineRule="auto"/>
            </w:pPr>
            <w:r w:rsidRPr="0033290F">
              <w:t>Prioritní osa 1</w:t>
            </w:r>
          </w:p>
        </w:tc>
        <w:tc>
          <w:tcPr>
            <w:tcW w:w="3070" w:type="dxa"/>
          </w:tcPr>
          <w:p w:rsidR="00F87145" w:rsidRPr="002355B5" w:rsidRDefault="0033290F" w:rsidP="00504322">
            <w:pPr>
              <w:spacing w:line="276" w:lineRule="auto"/>
            </w:pPr>
            <w:r w:rsidRPr="0033290F">
              <w:rPr>
                <w:rFonts w:eastAsia="Times New Roman" w:cs="Times New Roman"/>
                <w:color w:val="000000"/>
              </w:rPr>
              <w:t>0</w:t>
            </w:r>
            <w:r w:rsidR="00F87145">
              <w:rPr>
                <w:rFonts w:eastAsia="Times New Roman" w:cs="Times New Roman"/>
                <w:color w:val="000000"/>
              </w:rPr>
              <w:t>5</w:t>
            </w:r>
          </w:p>
        </w:tc>
        <w:tc>
          <w:tcPr>
            <w:tcW w:w="2615" w:type="dxa"/>
          </w:tcPr>
          <w:p w:rsidR="00F87145" w:rsidRPr="00F87145" w:rsidRDefault="0033290F" w:rsidP="00867818">
            <w:pPr>
              <w:spacing w:line="276" w:lineRule="auto"/>
            </w:pPr>
            <w:r w:rsidRPr="0033290F">
              <w:rPr>
                <w:rFonts w:cstheme="minorHAnsi"/>
              </w:rPr>
              <w:t>287 329 170</w:t>
            </w:r>
          </w:p>
        </w:tc>
      </w:tr>
      <w:tr w:rsidR="00F87145" w:rsidTr="005472D1">
        <w:tc>
          <w:tcPr>
            <w:tcW w:w="3070" w:type="dxa"/>
          </w:tcPr>
          <w:p w:rsidR="00F87145" w:rsidRPr="002355B5" w:rsidRDefault="0033290F" w:rsidP="00867818">
            <w:pPr>
              <w:spacing w:line="276" w:lineRule="auto"/>
            </w:pPr>
            <w:r w:rsidRPr="0033290F">
              <w:t>Prioritní osa 1</w:t>
            </w:r>
          </w:p>
        </w:tc>
        <w:tc>
          <w:tcPr>
            <w:tcW w:w="3070" w:type="dxa"/>
          </w:tcPr>
          <w:p w:rsidR="00F87145" w:rsidRPr="002355B5" w:rsidRDefault="0033290F" w:rsidP="00867818">
            <w:pPr>
              <w:spacing w:line="276" w:lineRule="auto"/>
            </w:pPr>
            <w:r w:rsidRPr="0033290F">
              <w:rPr>
                <w:rFonts w:eastAsia="Times New Roman" w:cs="Times New Roman"/>
                <w:color w:val="000000"/>
              </w:rPr>
              <w:t>06</w:t>
            </w:r>
          </w:p>
        </w:tc>
        <w:tc>
          <w:tcPr>
            <w:tcW w:w="2615" w:type="dxa"/>
          </w:tcPr>
          <w:p w:rsidR="00F87145" w:rsidRPr="00F87145" w:rsidRDefault="0033290F" w:rsidP="00867818">
            <w:pPr>
              <w:spacing w:line="276" w:lineRule="auto"/>
            </w:pPr>
            <w:r w:rsidRPr="0033290F">
              <w:rPr>
                <w:color w:val="000000"/>
              </w:rPr>
              <w:t>430 993 755</w:t>
            </w:r>
          </w:p>
        </w:tc>
      </w:tr>
    </w:tbl>
    <w:p w:rsidR="00572159" w:rsidRPr="00572159" w:rsidRDefault="00572159" w:rsidP="00572159"/>
    <w:p w:rsidR="00B42271" w:rsidRDefault="00501020" w:rsidP="00165854">
      <w:pPr>
        <w:pStyle w:val="Nadpis2"/>
      </w:pPr>
      <w:bookmarkStart w:id="2337" w:name="_Toc390414220"/>
      <w:bookmarkStart w:id="2338" w:name="_Toc390414467"/>
      <w:bookmarkStart w:id="2339" w:name="_Toc390414711"/>
      <w:bookmarkStart w:id="2340" w:name="_Toc391014769"/>
      <w:bookmarkStart w:id="2341" w:name="_Toc391015920"/>
      <w:bookmarkStart w:id="2342" w:name="_Toc391016885"/>
      <w:bookmarkStart w:id="2343" w:name="_Toc391017998"/>
      <w:bookmarkStart w:id="2344" w:name="_Toc391019110"/>
      <w:bookmarkStart w:id="2345" w:name="_Toc392150996"/>
      <w:bookmarkEnd w:id="2337"/>
      <w:bookmarkEnd w:id="2338"/>
      <w:bookmarkEnd w:id="2339"/>
      <w:bookmarkEnd w:id="2340"/>
      <w:bookmarkEnd w:id="2341"/>
      <w:bookmarkEnd w:id="2342"/>
      <w:bookmarkEnd w:id="2343"/>
      <w:bookmarkEnd w:id="2344"/>
      <w:r w:rsidRPr="004314F4">
        <w:lastRenderedPageBreak/>
        <w:t xml:space="preserve">PRIORITNÍ OSA </w:t>
      </w:r>
      <w:r w:rsidR="00BC3BDB">
        <w:t>2: Zlepšování kvality ovzduší v </w:t>
      </w:r>
      <w:r w:rsidRPr="004314F4">
        <w:t>lidských sídlech</w:t>
      </w:r>
      <w:bookmarkEnd w:id="2345"/>
      <w:r w:rsidRPr="004314F4">
        <w:t xml:space="preserve"> </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1"/>
        <w:gridCol w:w="568"/>
      </w:tblGrid>
      <w:tr w:rsidR="000204AB" w:rsidRPr="0068667C" w:rsidTr="005472D1">
        <w:tc>
          <w:tcPr>
            <w:tcW w:w="4686" w:type="pct"/>
            <w:shd w:val="clear" w:color="auto" w:fill="auto"/>
            <w:vAlign w:val="center"/>
          </w:tcPr>
          <w:p w:rsidR="000204AB" w:rsidRPr="002355B5" w:rsidRDefault="0033290F" w:rsidP="00AA7492">
            <w:pPr>
              <w:pStyle w:val="Tabulka"/>
              <w:jc w:val="left"/>
              <w:rPr>
                <w:rFonts w:ascii="Cambria" w:hAnsi="Cambria" w:cs="Times New Roman"/>
              </w:rPr>
            </w:pPr>
            <w:r w:rsidRPr="0033290F">
              <w:rPr>
                <w:rFonts w:ascii="Cambria" w:hAnsi="Cambria" w:cs="Times New Roman"/>
              </w:rPr>
              <w:t>Celá prioritní osa bude realizována výhradně prostřednictvím finančních nástrojů</w:t>
            </w:r>
          </w:p>
        </w:tc>
        <w:tc>
          <w:tcPr>
            <w:tcW w:w="314" w:type="pct"/>
            <w:shd w:val="clear" w:color="auto" w:fill="auto"/>
            <w:vAlign w:val="center"/>
          </w:tcPr>
          <w:p w:rsidR="000204AB" w:rsidRPr="0068667C" w:rsidRDefault="000E07F9" w:rsidP="00AA7492">
            <w:pPr>
              <w:pStyle w:val="Tabulka"/>
            </w:pPr>
            <w:r w:rsidRPr="0068667C">
              <w:fldChar w:fldCharType="begin">
                <w:ffData>
                  <w:name w:val="Check1"/>
                  <w:enabled/>
                  <w:calcOnExit w:val="0"/>
                  <w:checkBox>
                    <w:sizeAuto/>
                    <w:default w:val="0"/>
                  </w:checkBox>
                </w:ffData>
              </w:fldChar>
            </w:r>
            <w:r w:rsidR="000204AB" w:rsidRPr="0068667C">
              <w:instrText xml:space="preserve"> FORMCHECKBOX </w:instrText>
            </w:r>
            <w:r w:rsidR="00332B77">
              <w:fldChar w:fldCharType="separate"/>
            </w:r>
            <w:r w:rsidRPr="0068667C">
              <w:fldChar w:fldCharType="end"/>
            </w:r>
          </w:p>
        </w:tc>
      </w:tr>
      <w:tr w:rsidR="000204AB" w:rsidRPr="0068667C" w:rsidTr="005472D1">
        <w:tc>
          <w:tcPr>
            <w:tcW w:w="4686" w:type="pct"/>
            <w:shd w:val="clear" w:color="auto" w:fill="auto"/>
            <w:vAlign w:val="center"/>
          </w:tcPr>
          <w:p w:rsidR="000204AB" w:rsidRPr="002355B5" w:rsidRDefault="0033290F" w:rsidP="00AA7492">
            <w:pPr>
              <w:pStyle w:val="Tabulka"/>
              <w:jc w:val="left"/>
              <w:rPr>
                <w:rFonts w:ascii="Cambria" w:hAnsi="Cambria" w:cs="Times New Roman"/>
              </w:rPr>
            </w:pPr>
            <w:r w:rsidRPr="0033290F">
              <w:rPr>
                <w:rFonts w:ascii="Cambria" w:hAnsi="Cambria" w:cs="Times New Roman"/>
              </w:rPr>
              <w:t>Celá prioritní osa bude realizována výhradně prostřednictvím finančních nástrojů zřízených na úrovni Unie</w:t>
            </w:r>
          </w:p>
        </w:tc>
        <w:tc>
          <w:tcPr>
            <w:tcW w:w="314" w:type="pct"/>
            <w:shd w:val="clear" w:color="auto" w:fill="auto"/>
            <w:vAlign w:val="center"/>
          </w:tcPr>
          <w:p w:rsidR="000204AB" w:rsidRPr="0068667C" w:rsidRDefault="000E07F9" w:rsidP="00AA7492">
            <w:pPr>
              <w:pStyle w:val="Tabulka"/>
            </w:pPr>
            <w:r w:rsidRPr="0068667C">
              <w:fldChar w:fldCharType="begin">
                <w:ffData>
                  <w:name w:val="Check1"/>
                  <w:enabled/>
                  <w:calcOnExit w:val="0"/>
                  <w:checkBox>
                    <w:sizeAuto/>
                    <w:default w:val="0"/>
                  </w:checkBox>
                </w:ffData>
              </w:fldChar>
            </w:r>
            <w:r w:rsidR="000204AB" w:rsidRPr="0068667C">
              <w:instrText xml:space="preserve"> FORMCHECKBOX </w:instrText>
            </w:r>
            <w:r w:rsidR="00332B77">
              <w:fldChar w:fldCharType="separate"/>
            </w:r>
            <w:r w:rsidRPr="0068667C">
              <w:fldChar w:fldCharType="end"/>
            </w:r>
          </w:p>
        </w:tc>
      </w:tr>
      <w:tr w:rsidR="000204AB" w:rsidRPr="0068667C" w:rsidTr="005472D1">
        <w:tc>
          <w:tcPr>
            <w:tcW w:w="4686" w:type="pct"/>
            <w:shd w:val="clear" w:color="auto" w:fill="auto"/>
            <w:vAlign w:val="center"/>
          </w:tcPr>
          <w:p w:rsidR="000204AB" w:rsidRPr="002355B5" w:rsidRDefault="0033290F" w:rsidP="00AA7492">
            <w:pPr>
              <w:pStyle w:val="Tabulka"/>
              <w:jc w:val="left"/>
              <w:rPr>
                <w:rFonts w:ascii="Cambria" w:hAnsi="Cambria" w:cs="Times New Roman"/>
              </w:rPr>
            </w:pPr>
            <w:r w:rsidRPr="0033290F">
              <w:rPr>
                <w:rFonts w:ascii="Cambria" w:hAnsi="Cambria" w:cs="Times New Roman"/>
              </w:rPr>
              <w:t>Celá prioritní osa bude realizována výhradně prostřednictvím komunitně vedeného místního rozvoje</w:t>
            </w:r>
          </w:p>
        </w:tc>
        <w:tc>
          <w:tcPr>
            <w:tcW w:w="314" w:type="pct"/>
            <w:shd w:val="clear" w:color="auto" w:fill="auto"/>
            <w:vAlign w:val="center"/>
          </w:tcPr>
          <w:p w:rsidR="000204AB" w:rsidRPr="0068667C" w:rsidRDefault="000E07F9" w:rsidP="00AA7492">
            <w:pPr>
              <w:pStyle w:val="Tabulka"/>
            </w:pPr>
            <w:r w:rsidRPr="0068667C">
              <w:fldChar w:fldCharType="begin">
                <w:ffData>
                  <w:name w:val="Check1"/>
                  <w:enabled/>
                  <w:calcOnExit w:val="0"/>
                  <w:checkBox>
                    <w:sizeAuto/>
                    <w:default w:val="0"/>
                  </w:checkBox>
                </w:ffData>
              </w:fldChar>
            </w:r>
            <w:r w:rsidR="000204AB" w:rsidRPr="0068667C">
              <w:instrText xml:space="preserve"> FORMCHECKBOX </w:instrText>
            </w:r>
            <w:r w:rsidR="00332B77">
              <w:fldChar w:fldCharType="separate"/>
            </w:r>
            <w:r w:rsidRPr="0068667C">
              <w:fldChar w:fldCharType="end"/>
            </w:r>
          </w:p>
        </w:tc>
      </w:tr>
    </w:tbl>
    <w:p w:rsidR="00674BC9" w:rsidRDefault="000204AB">
      <w:pPr>
        <w:pStyle w:val="Nadpis3"/>
      </w:pPr>
      <w:bookmarkStart w:id="2346" w:name="_Toc392150997"/>
      <w:r>
        <w:t>Odůvodnění pro vytvoření prioritní osy, která zahrnuje více než jednu kategorii regionů nebo více než jeden tematický cíl či fond</w:t>
      </w:r>
      <w:bookmarkEnd w:id="2346"/>
    </w:p>
    <w:p w:rsidR="00674BC9" w:rsidRDefault="00AA7492">
      <w:r>
        <w:t>Není relevantní pro prioritní osu 2.</w:t>
      </w:r>
    </w:p>
    <w:p w:rsidR="00674BC9" w:rsidRDefault="00973425">
      <w:pPr>
        <w:pStyle w:val="Nadpis3"/>
      </w:pPr>
      <w:bookmarkStart w:id="2347" w:name="_Toc392150998"/>
      <w:r>
        <w:t>Fond, kategorie regionů a základ pro výpočet podpory Unie</w:t>
      </w:r>
      <w:bookmarkEnd w:id="2347"/>
    </w:p>
    <w:tbl>
      <w:tblPr>
        <w:tblStyle w:val="Mkatabulky"/>
        <w:tblW w:w="0" w:type="auto"/>
        <w:tblLook w:val="04A0" w:firstRow="1" w:lastRow="0" w:firstColumn="1" w:lastColumn="0" w:noHBand="0" w:noVBand="1"/>
      </w:tblPr>
      <w:tblGrid>
        <w:gridCol w:w="4605"/>
        <w:gridCol w:w="4434"/>
      </w:tblGrid>
      <w:tr w:rsidR="00973425" w:rsidTr="005472D1">
        <w:tc>
          <w:tcPr>
            <w:tcW w:w="4605" w:type="dxa"/>
            <w:shd w:val="clear" w:color="auto" w:fill="A6A6A6" w:themeFill="background1" w:themeFillShade="A6"/>
          </w:tcPr>
          <w:p w:rsidR="00973425" w:rsidRPr="000225A5" w:rsidRDefault="00973425" w:rsidP="00EF7C55">
            <w:pPr>
              <w:rPr>
                <w:b/>
              </w:rPr>
            </w:pPr>
            <w:r w:rsidRPr="003971AB">
              <w:rPr>
                <w:b/>
              </w:rPr>
              <w:t>Fond</w:t>
            </w:r>
          </w:p>
        </w:tc>
        <w:tc>
          <w:tcPr>
            <w:tcW w:w="4434" w:type="dxa"/>
          </w:tcPr>
          <w:p w:rsidR="00973425" w:rsidRDefault="00973425" w:rsidP="00EF7C55">
            <w:r>
              <w:t>Fond soudržnosti</w:t>
            </w:r>
          </w:p>
        </w:tc>
      </w:tr>
      <w:tr w:rsidR="00973425" w:rsidTr="005472D1">
        <w:tc>
          <w:tcPr>
            <w:tcW w:w="4605" w:type="dxa"/>
            <w:shd w:val="clear" w:color="auto" w:fill="A6A6A6" w:themeFill="background1" w:themeFillShade="A6"/>
          </w:tcPr>
          <w:p w:rsidR="00973425" w:rsidRPr="000225A5" w:rsidRDefault="00973425" w:rsidP="00EF7C55">
            <w:pPr>
              <w:rPr>
                <w:b/>
              </w:rPr>
            </w:pPr>
            <w:r w:rsidRPr="003971AB">
              <w:rPr>
                <w:b/>
              </w:rPr>
              <w:t>Kategorie regionů</w:t>
            </w:r>
          </w:p>
        </w:tc>
        <w:tc>
          <w:tcPr>
            <w:tcW w:w="4434" w:type="dxa"/>
          </w:tcPr>
          <w:p w:rsidR="00973425" w:rsidRDefault="00973425" w:rsidP="00973425">
            <w:r>
              <w:t>Není relevantní pro prioritní osu 2</w:t>
            </w:r>
          </w:p>
        </w:tc>
      </w:tr>
      <w:tr w:rsidR="00973425" w:rsidTr="005472D1">
        <w:tc>
          <w:tcPr>
            <w:tcW w:w="4605" w:type="dxa"/>
            <w:shd w:val="clear" w:color="auto" w:fill="A6A6A6" w:themeFill="background1" w:themeFillShade="A6"/>
          </w:tcPr>
          <w:p w:rsidR="00973425" w:rsidRPr="000225A5" w:rsidRDefault="00973425" w:rsidP="00EF7C55">
            <w:pPr>
              <w:rPr>
                <w:b/>
              </w:rPr>
            </w:pPr>
            <w:r w:rsidRPr="003971AB">
              <w:rPr>
                <w:b/>
              </w:rPr>
              <w:t>Základ pro výpočet (celkové způsobilé výdaje nebo způsobilé veřejné výdaje)</w:t>
            </w:r>
          </w:p>
        </w:tc>
        <w:tc>
          <w:tcPr>
            <w:tcW w:w="4434" w:type="dxa"/>
          </w:tcPr>
          <w:p w:rsidR="00973425" w:rsidRDefault="00572159" w:rsidP="00EF7C55">
            <w:r>
              <w:t>Celkové způsobilé výdaje</w:t>
            </w:r>
          </w:p>
        </w:tc>
      </w:tr>
    </w:tbl>
    <w:p w:rsidR="00674BC9" w:rsidRDefault="00674BC9"/>
    <w:p w:rsidR="00B55A7B" w:rsidRPr="004314F4" w:rsidRDefault="000A2077" w:rsidP="00B66FDE">
      <w:r w:rsidRPr="004314F4">
        <w:t xml:space="preserve">Globálním cílem </w:t>
      </w:r>
      <w:r>
        <w:t xml:space="preserve">prioritní osy 2 </w:t>
      </w:r>
      <w:r w:rsidRPr="004314F4">
        <w:t xml:space="preserve">pro období 2014-2020 je zlepšení kvality ovzduší tam, kde jsou překračovány imisní limity a udržení kvality ovzduší tam, kde je kvalita dobrá. </w:t>
      </w:r>
    </w:p>
    <w:p w:rsidR="00A51361" w:rsidRPr="00F07946" w:rsidRDefault="00A51361" w:rsidP="00165854">
      <w:pPr>
        <w:pStyle w:val="Nadpis3"/>
      </w:pPr>
      <w:bookmarkStart w:id="2348" w:name="_Toc392150999"/>
      <w:r w:rsidRPr="004314F4">
        <w:t xml:space="preserve">INVESTIČNÍ PRIORITA 1 prioritní osy 2: </w:t>
      </w:r>
      <w:r w:rsidR="0083184C">
        <w:t>Zachování a ochrana životního prostředí a podporování účinného využívání zdrojů p</w:t>
      </w:r>
      <w:r w:rsidR="00127B71" w:rsidRPr="00127B71">
        <w:t>řijímání</w:t>
      </w:r>
      <w:r w:rsidR="0083184C">
        <w:t>m</w:t>
      </w:r>
      <w:r w:rsidR="00E83B79">
        <w:t xml:space="preserve"> opatření ke </w:t>
      </w:r>
      <w:r w:rsidR="00127B71" w:rsidRPr="00127B71">
        <w:t xml:space="preserve">zlepšování městského prostředí, </w:t>
      </w:r>
      <w:r w:rsidR="00E83B79">
        <w:t>revitalizaci měst, regeneraci a </w:t>
      </w:r>
      <w:r w:rsidR="00127B71" w:rsidRPr="00127B71">
        <w:t xml:space="preserve">dekontaminaci dříve </w:t>
      </w:r>
      <w:r w:rsidR="00D3254F">
        <w:t>zastavěných území (</w:t>
      </w:r>
      <w:proofErr w:type="spellStart"/>
      <w:proofErr w:type="gramStart"/>
      <w:r w:rsidR="00D3254F">
        <w:t>brownfields</w:t>
      </w:r>
      <w:proofErr w:type="spellEnd"/>
      <w:r w:rsidR="00D3254F">
        <w:t>)</w:t>
      </w:r>
      <w:r w:rsidR="00127B71" w:rsidRPr="00127B71">
        <w:t>(včetně</w:t>
      </w:r>
      <w:proofErr w:type="gramEnd"/>
      <w:r w:rsidR="00127B71" w:rsidRPr="00127B71">
        <w:t xml:space="preserve"> bývalých vojenských oblastí), snížení znečištění</w:t>
      </w:r>
      <w:r w:rsidR="00E83B79">
        <w:t xml:space="preserve"> ovzduší a podporou opatření ke </w:t>
      </w:r>
      <w:r w:rsidR="00127B71" w:rsidRPr="00127B71">
        <w:t>snížení hluku</w:t>
      </w:r>
      <w:r w:rsidR="00C73C53">
        <w:t xml:space="preserve"> (Dle nařízení</w:t>
      </w:r>
      <w:r w:rsidR="0096405F">
        <w:t xml:space="preserve"> Evropského p</w:t>
      </w:r>
      <w:r w:rsidR="00C73C53">
        <w:t xml:space="preserve">arlamentu a Rady </w:t>
      </w:r>
      <w:r w:rsidR="0096405F">
        <w:t>(EU) č.</w:t>
      </w:r>
      <w:r w:rsidR="00E83B79">
        <w:t> </w:t>
      </w:r>
      <w:r w:rsidR="0096405F">
        <w:t>1300/2013</w:t>
      </w:r>
      <w:r w:rsidR="00C73C53">
        <w:t xml:space="preserve"> čl. </w:t>
      </w:r>
      <w:r w:rsidR="00FC35A7">
        <w:t xml:space="preserve">4 odst. c) písm. </w:t>
      </w:r>
      <w:proofErr w:type="spellStart"/>
      <w:r w:rsidR="00FC35A7">
        <w:t>iv</w:t>
      </w:r>
      <w:proofErr w:type="spellEnd"/>
      <w:r w:rsidR="00FC35A7">
        <w:t>))</w:t>
      </w:r>
      <w:bookmarkEnd w:id="2348"/>
    </w:p>
    <w:p w:rsidR="00A51361" w:rsidRPr="004314F4" w:rsidRDefault="00A51361" w:rsidP="009F2D6E">
      <w:pPr>
        <w:pStyle w:val="Nadpis4"/>
      </w:pPr>
      <w:bookmarkStart w:id="2349" w:name="_Toc392151000"/>
      <w:r w:rsidRPr="004314F4">
        <w:t>Specifické cíle odpovída</w:t>
      </w:r>
      <w:r w:rsidR="00BC3BDB">
        <w:t>jící dané investiční prioritě a </w:t>
      </w:r>
      <w:r w:rsidR="00B16BE2">
        <w:t>očekávané</w:t>
      </w:r>
      <w:r w:rsidR="00B16BE2" w:rsidRPr="004314F4">
        <w:t xml:space="preserve"> </w:t>
      </w:r>
      <w:r w:rsidRPr="004314F4">
        <w:t>výsledky</w:t>
      </w:r>
      <w:bookmarkEnd w:id="2349"/>
    </w:p>
    <w:p w:rsidR="00A51361" w:rsidRDefault="00AA3539" w:rsidP="00165854">
      <w:pPr>
        <w:pStyle w:val="Nadpis6"/>
      </w:pPr>
      <w:r>
        <w:t xml:space="preserve">Specifický cíl 1: </w:t>
      </w:r>
      <w:r w:rsidR="001859FF" w:rsidRPr="004314F4">
        <w:t>Snížit emise</w:t>
      </w:r>
      <w:r w:rsidR="001859FF">
        <w:t xml:space="preserve"> z lokálního vytápění domácností </w:t>
      </w:r>
      <w:r w:rsidR="001859FF" w:rsidRPr="004314F4">
        <w:t>podílející se na expozici obyvatelstva</w:t>
      </w:r>
      <w:r w:rsidR="001859FF">
        <w:t xml:space="preserve"> nadlimitním koncentracím znečišťujících látek</w:t>
      </w:r>
    </w:p>
    <w:p w:rsidR="00ED69E8" w:rsidRDefault="00856858" w:rsidP="00B66FDE">
      <w:r>
        <w:t>Nezbytným krokem</w:t>
      </w:r>
      <w:r w:rsidRPr="004314F4">
        <w:t xml:space="preserve"> </w:t>
      </w:r>
      <w:r>
        <w:t xml:space="preserve">pro snížení úrovně znečištění ovzduší v České republice je </w:t>
      </w:r>
      <w:r w:rsidRPr="004314F4">
        <w:t xml:space="preserve">omezení primárních emisí znečišťujících látek </w:t>
      </w:r>
      <w:r>
        <w:t>z</w:t>
      </w:r>
      <w:r w:rsidRPr="004314F4">
        <w:t xml:space="preserve"> </w:t>
      </w:r>
      <w:r>
        <w:t xml:space="preserve">lokálního vytápění domácností. Toto opatření přispěje nejen k dosažení cílů v oblasti kvality ovzduší, ale je nezbytné rovněž z důvodu nutnosti dosažení národních emisních stropů navržených v rámci </w:t>
      </w:r>
      <w:r w:rsidRPr="008B54E2">
        <w:t>Program</w:t>
      </w:r>
      <w:r>
        <w:t>u</w:t>
      </w:r>
      <w:r w:rsidRPr="008B54E2">
        <w:t xml:space="preserve"> Čisté ovzduší pro Evropu</w:t>
      </w:r>
      <w:r>
        <w:t xml:space="preserve"> zveřejněného Evropskou komisí v roce 2012.</w:t>
      </w:r>
    </w:p>
    <w:p w:rsidR="00674BC9" w:rsidRDefault="00856858">
      <w:pPr>
        <w:spacing w:line="240" w:lineRule="auto"/>
      </w:pPr>
      <w:r>
        <w:lastRenderedPageBreak/>
        <w:t>Opatření přispěje rovněž k dosažení cílů České republiky v oblasti zvyšování energetické účinnosti</w:t>
      </w:r>
      <w:r w:rsidR="006C52F2">
        <w:t xml:space="preserve"> a energetických úspor. Vyhodnocení těchto přínosů bude sledováno v rámci navrženého ENVI indikátoru „Snížení konečné spotřeby energie u podpořených subjektů“</w:t>
      </w:r>
      <w:r w:rsidR="0095269D">
        <w:t>.</w:t>
      </w:r>
    </w:p>
    <w:p w:rsidR="00FF7B87" w:rsidRDefault="00856858" w:rsidP="00B66FDE">
      <w:r>
        <w:t>Specifického cíle bude dosaženo prostřednictvím náhrady</w:t>
      </w:r>
      <w:r w:rsidRPr="004314F4">
        <w:t xml:space="preserve"> zast</w:t>
      </w:r>
      <w:r w:rsidR="00BC3BDB">
        <w:t>aralých spalovacích zařízení na </w:t>
      </w:r>
      <w:r w:rsidRPr="004314F4">
        <w:t>pevná paliva za nov</w:t>
      </w:r>
      <w:r>
        <w:t>é</w:t>
      </w:r>
      <w:r w:rsidRPr="004314F4">
        <w:t xml:space="preserve"> environmentálně šetrn</w:t>
      </w:r>
      <w:r>
        <w:t>é způsoby vytápění.</w:t>
      </w:r>
      <w:r w:rsidR="00FF7B87">
        <w:t xml:space="preserve"> </w:t>
      </w:r>
      <w:r w:rsidR="00FF7B87" w:rsidRPr="00E83B79">
        <w:t>Současně bude kladen důraz na maximální účinnost podporovaných zdrojů tepla.</w:t>
      </w:r>
    </w:p>
    <w:p w:rsidR="00D1356A" w:rsidRPr="00E83B79" w:rsidRDefault="00D1356A" w:rsidP="00B66FDE">
      <w:r>
        <w:t>Na specifický cíl 1 je kladen zásadní důraz, na podporu aktivit v rámci tohoto cíle bude podle předběžného odhadu vyhrazeno až 75 % alokace prioritní osy 2.</w:t>
      </w:r>
    </w:p>
    <w:p w:rsidR="00384612" w:rsidRPr="00E83B79" w:rsidRDefault="00384612" w:rsidP="00B66FDE">
      <w:r w:rsidRPr="00E83B79">
        <w:t>Realizace tohoto specifického cíle může probíhat prostřednictvím krajů formou globálního grantu.</w:t>
      </w:r>
    </w:p>
    <w:p w:rsidR="004661C8" w:rsidRPr="003D10F9" w:rsidRDefault="004661C8" w:rsidP="00E83B79">
      <w:pPr>
        <w:spacing w:after="0" w:afterAutospacing="0"/>
        <w:rPr>
          <w:b/>
        </w:rPr>
      </w:pPr>
      <w:bookmarkStart w:id="2350" w:name="_Toc384907351"/>
      <w:r w:rsidRPr="003D10F9">
        <w:rPr>
          <w:b/>
        </w:rPr>
        <w:t>Stav, který chceme dosáhnout k roku 2020:</w:t>
      </w:r>
      <w:bookmarkEnd w:id="2350"/>
    </w:p>
    <w:p w:rsidR="001A7CDE" w:rsidRDefault="008374B6" w:rsidP="00495FC1">
      <w:pPr>
        <w:pStyle w:val="Odstavecseseznamem"/>
        <w:numPr>
          <w:ilvl w:val="0"/>
          <w:numId w:val="9"/>
        </w:numPr>
        <w:spacing w:after="0" w:afterAutospacing="0"/>
        <w:rPr>
          <w:rFonts w:cs="Times New Roman"/>
        </w:rPr>
      </w:pPr>
      <w:r w:rsidRPr="009F2D6E">
        <w:rPr>
          <w:rFonts w:cs="Times New Roman"/>
        </w:rPr>
        <w:t>Cílovým stavem je plnění imisních limitů stanovených národní i evropskou legislativou (směrnice 2008/50/ES a 2004/107/ES, zákon č. 201</w:t>
      </w:r>
      <w:r w:rsidR="00BC3BDB" w:rsidRPr="009F2D6E">
        <w:rPr>
          <w:rFonts w:cs="Times New Roman"/>
        </w:rPr>
        <w:t>/2012 Sb., o ochraně ovzduší) a </w:t>
      </w:r>
      <w:r w:rsidRPr="009F2D6E">
        <w:rPr>
          <w:rFonts w:cs="Times New Roman"/>
        </w:rPr>
        <w:t>národních emisních stropů (směrnice 2001/80/ES</w:t>
      </w:r>
      <w:r w:rsidR="00BC3BDB" w:rsidRPr="009F2D6E">
        <w:rPr>
          <w:rFonts w:cs="Times New Roman"/>
        </w:rPr>
        <w:t xml:space="preserve"> a Göteborský protokol Úmluvy o </w:t>
      </w:r>
      <w:r w:rsidRPr="009F2D6E">
        <w:rPr>
          <w:rFonts w:cs="Times New Roman"/>
        </w:rPr>
        <w:t xml:space="preserve">omezování znečišťování ovzduší přecházejícím hranice států). </w:t>
      </w:r>
    </w:p>
    <w:p w:rsidR="00E83B79" w:rsidRPr="00203F79" w:rsidRDefault="00E83B79" w:rsidP="00E83B79">
      <w:pPr>
        <w:pStyle w:val="Odstavecseseznamem"/>
        <w:spacing w:after="0" w:afterAutospacing="0"/>
        <w:rPr>
          <w:rFonts w:cs="Times New Roman"/>
        </w:rPr>
      </w:pPr>
    </w:p>
    <w:p w:rsidR="004479EC" w:rsidRPr="004314F4" w:rsidRDefault="004479EC" w:rsidP="00203F79">
      <w:pPr>
        <w:pStyle w:val="Titulek"/>
      </w:pPr>
      <w:r w:rsidRPr="004314F4">
        <w:t xml:space="preserve">Specifické </w:t>
      </w:r>
      <w:r w:rsidR="00973425">
        <w:t>programové ukazatele</w:t>
      </w:r>
      <w:r w:rsidRPr="004314F4">
        <w:t xml:space="preserve"> výsledků pro SC 2.1</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690"/>
        <w:gridCol w:w="1578"/>
        <w:gridCol w:w="795"/>
        <w:gridCol w:w="1025"/>
        <w:gridCol w:w="23"/>
        <w:gridCol w:w="709"/>
        <w:gridCol w:w="850"/>
        <w:gridCol w:w="632"/>
        <w:gridCol w:w="1495"/>
        <w:gridCol w:w="11"/>
        <w:gridCol w:w="1264"/>
      </w:tblGrid>
      <w:tr w:rsidR="00973425" w:rsidRPr="00F37B1C" w:rsidTr="002355B5">
        <w:tc>
          <w:tcPr>
            <w:tcW w:w="690" w:type="dxa"/>
            <w:tcBorders>
              <w:bottom w:val="single" w:sz="12" w:space="0" w:color="auto"/>
            </w:tcBorders>
            <w:shd w:val="clear" w:color="auto" w:fill="BFBFBF" w:themeFill="background1" w:themeFillShade="BF"/>
            <w:vAlign w:val="center"/>
          </w:tcPr>
          <w:p w:rsidR="00973425" w:rsidRPr="003A2CB2" w:rsidRDefault="00973425" w:rsidP="00B66FDE">
            <w:pPr>
              <w:rPr>
                <w:b/>
                <w:sz w:val="20"/>
                <w:szCs w:val="20"/>
              </w:rPr>
            </w:pPr>
            <w:r w:rsidRPr="003A2CB2">
              <w:rPr>
                <w:b/>
                <w:sz w:val="20"/>
                <w:szCs w:val="20"/>
              </w:rPr>
              <w:t>ID</w:t>
            </w:r>
          </w:p>
        </w:tc>
        <w:tc>
          <w:tcPr>
            <w:tcW w:w="1578" w:type="dxa"/>
            <w:tcBorders>
              <w:bottom w:val="single" w:sz="12" w:space="0" w:color="auto"/>
            </w:tcBorders>
            <w:shd w:val="clear" w:color="auto" w:fill="BFBFBF" w:themeFill="background1" w:themeFillShade="BF"/>
            <w:vAlign w:val="center"/>
          </w:tcPr>
          <w:p w:rsidR="00973425" w:rsidRPr="003A2CB2" w:rsidRDefault="00973425" w:rsidP="00B66FDE">
            <w:pPr>
              <w:rPr>
                <w:b/>
                <w:sz w:val="20"/>
                <w:szCs w:val="20"/>
              </w:rPr>
            </w:pPr>
            <w:r w:rsidRPr="003A2CB2">
              <w:rPr>
                <w:b/>
                <w:sz w:val="20"/>
                <w:szCs w:val="20"/>
              </w:rPr>
              <w:t>Ukazatel</w:t>
            </w:r>
          </w:p>
        </w:tc>
        <w:tc>
          <w:tcPr>
            <w:tcW w:w="795" w:type="dxa"/>
            <w:tcBorders>
              <w:bottom w:val="single" w:sz="12" w:space="0" w:color="auto"/>
            </w:tcBorders>
            <w:shd w:val="clear" w:color="auto" w:fill="BFBFBF" w:themeFill="background1" w:themeFillShade="BF"/>
            <w:vAlign w:val="center"/>
          </w:tcPr>
          <w:p w:rsidR="00973425" w:rsidRPr="003A2CB2" w:rsidRDefault="0033290F" w:rsidP="00B66FDE">
            <w:pPr>
              <w:rPr>
                <w:b/>
                <w:sz w:val="20"/>
                <w:szCs w:val="20"/>
              </w:rPr>
            </w:pPr>
            <w:r w:rsidRPr="0033290F">
              <w:rPr>
                <w:b/>
                <w:sz w:val="20"/>
                <w:szCs w:val="20"/>
              </w:rPr>
              <w:t>Měrná jednotka</w:t>
            </w:r>
          </w:p>
        </w:tc>
        <w:tc>
          <w:tcPr>
            <w:tcW w:w="1025" w:type="dxa"/>
            <w:tcBorders>
              <w:bottom w:val="single" w:sz="12" w:space="0" w:color="auto"/>
            </w:tcBorders>
            <w:shd w:val="clear" w:color="auto" w:fill="BFBFBF" w:themeFill="background1" w:themeFillShade="BF"/>
          </w:tcPr>
          <w:p w:rsidR="00973425" w:rsidRPr="003A2CB2" w:rsidRDefault="0033290F" w:rsidP="00B66FDE">
            <w:pPr>
              <w:rPr>
                <w:b/>
                <w:sz w:val="20"/>
                <w:szCs w:val="20"/>
              </w:rPr>
            </w:pPr>
            <w:r w:rsidRPr="0033290F">
              <w:rPr>
                <w:b/>
                <w:sz w:val="20"/>
                <w:szCs w:val="20"/>
              </w:rPr>
              <w:t>Kategorie regionů</w:t>
            </w:r>
          </w:p>
        </w:tc>
        <w:tc>
          <w:tcPr>
            <w:tcW w:w="732" w:type="dxa"/>
            <w:gridSpan w:val="2"/>
            <w:tcBorders>
              <w:bottom w:val="single" w:sz="12" w:space="0" w:color="auto"/>
            </w:tcBorders>
            <w:shd w:val="clear" w:color="auto" w:fill="BFBFBF" w:themeFill="background1" w:themeFillShade="BF"/>
            <w:vAlign w:val="center"/>
          </w:tcPr>
          <w:p w:rsidR="00973425" w:rsidRPr="003A2CB2" w:rsidRDefault="0033290F" w:rsidP="00B66FDE">
            <w:pPr>
              <w:rPr>
                <w:b/>
                <w:sz w:val="20"/>
                <w:szCs w:val="20"/>
              </w:rPr>
            </w:pPr>
            <w:r w:rsidRPr="0033290F">
              <w:rPr>
                <w:b/>
                <w:sz w:val="20"/>
                <w:szCs w:val="20"/>
              </w:rPr>
              <w:t>Výchozí hodnota</w:t>
            </w:r>
          </w:p>
        </w:tc>
        <w:tc>
          <w:tcPr>
            <w:tcW w:w="850" w:type="dxa"/>
            <w:tcBorders>
              <w:bottom w:val="single" w:sz="12" w:space="0" w:color="auto"/>
            </w:tcBorders>
            <w:shd w:val="clear" w:color="auto" w:fill="BFBFBF" w:themeFill="background1" w:themeFillShade="BF"/>
            <w:vAlign w:val="center"/>
          </w:tcPr>
          <w:p w:rsidR="00973425" w:rsidRPr="003A2CB2" w:rsidRDefault="0033290F" w:rsidP="00B66FDE">
            <w:pPr>
              <w:rPr>
                <w:b/>
                <w:sz w:val="20"/>
                <w:szCs w:val="20"/>
              </w:rPr>
            </w:pPr>
            <w:r w:rsidRPr="0033290F">
              <w:rPr>
                <w:b/>
                <w:sz w:val="20"/>
                <w:szCs w:val="20"/>
              </w:rPr>
              <w:t>Výchozí rok</w:t>
            </w:r>
          </w:p>
        </w:tc>
        <w:tc>
          <w:tcPr>
            <w:tcW w:w="632" w:type="dxa"/>
            <w:tcBorders>
              <w:bottom w:val="single" w:sz="12" w:space="0" w:color="auto"/>
            </w:tcBorders>
            <w:shd w:val="clear" w:color="auto" w:fill="BFBFBF" w:themeFill="background1" w:themeFillShade="BF"/>
            <w:vAlign w:val="center"/>
          </w:tcPr>
          <w:p w:rsidR="00973425" w:rsidRPr="003A2CB2" w:rsidRDefault="0033290F" w:rsidP="00B66FDE">
            <w:pPr>
              <w:rPr>
                <w:b/>
                <w:sz w:val="20"/>
                <w:szCs w:val="20"/>
              </w:rPr>
            </w:pPr>
            <w:r w:rsidRPr="0033290F">
              <w:rPr>
                <w:b/>
                <w:sz w:val="20"/>
                <w:szCs w:val="20"/>
              </w:rPr>
              <w:t>Cílová hodnota (2023)</w:t>
            </w:r>
          </w:p>
        </w:tc>
        <w:tc>
          <w:tcPr>
            <w:tcW w:w="1495" w:type="dxa"/>
            <w:tcBorders>
              <w:bottom w:val="single" w:sz="12" w:space="0" w:color="auto"/>
            </w:tcBorders>
            <w:shd w:val="clear" w:color="auto" w:fill="BFBFBF" w:themeFill="background1" w:themeFillShade="BF"/>
            <w:vAlign w:val="center"/>
          </w:tcPr>
          <w:p w:rsidR="00973425" w:rsidRPr="003A2CB2" w:rsidRDefault="0033290F" w:rsidP="00B66FDE">
            <w:pPr>
              <w:rPr>
                <w:b/>
                <w:sz w:val="20"/>
                <w:szCs w:val="20"/>
              </w:rPr>
            </w:pPr>
            <w:r w:rsidRPr="0033290F">
              <w:rPr>
                <w:b/>
                <w:sz w:val="20"/>
                <w:szCs w:val="20"/>
              </w:rPr>
              <w:t>Zdroj údajů</w:t>
            </w:r>
          </w:p>
        </w:tc>
        <w:tc>
          <w:tcPr>
            <w:tcW w:w="1275" w:type="dxa"/>
            <w:gridSpan w:val="2"/>
            <w:tcBorders>
              <w:bottom w:val="single" w:sz="12" w:space="0" w:color="auto"/>
            </w:tcBorders>
            <w:shd w:val="clear" w:color="auto" w:fill="BFBFBF" w:themeFill="background1" w:themeFillShade="BF"/>
            <w:vAlign w:val="center"/>
          </w:tcPr>
          <w:p w:rsidR="00973425" w:rsidRPr="003A2CB2" w:rsidRDefault="0033290F" w:rsidP="00B66FDE">
            <w:pPr>
              <w:rPr>
                <w:b/>
                <w:sz w:val="20"/>
                <w:szCs w:val="20"/>
              </w:rPr>
            </w:pPr>
            <w:r w:rsidRPr="0033290F">
              <w:rPr>
                <w:b/>
                <w:sz w:val="20"/>
                <w:szCs w:val="20"/>
              </w:rPr>
              <w:t>Četnost podávání zpráv</w:t>
            </w:r>
          </w:p>
        </w:tc>
      </w:tr>
      <w:tr w:rsidR="006C52F2" w:rsidRPr="00F37B1C" w:rsidTr="002355B5">
        <w:trPr>
          <w:trHeight w:val="2333"/>
        </w:trPr>
        <w:tc>
          <w:tcPr>
            <w:tcW w:w="690" w:type="dxa"/>
            <w:tcBorders>
              <w:top w:val="single" w:sz="12" w:space="0" w:color="auto"/>
              <w:bottom w:val="single" w:sz="12" w:space="0" w:color="auto"/>
            </w:tcBorders>
            <w:vAlign w:val="center"/>
          </w:tcPr>
          <w:p w:rsidR="006C52F2" w:rsidRPr="003A2CB2" w:rsidRDefault="006C52F2" w:rsidP="00B66FDE">
            <w:pPr>
              <w:rPr>
                <w:sz w:val="20"/>
                <w:szCs w:val="20"/>
              </w:rPr>
            </w:pPr>
            <w:r w:rsidRPr="003A2CB2">
              <w:rPr>
                <w:sz w:val="20"/>
                <w:szCs w:val="20"/>
              </w:rPr>
              <w:t> </w:t>
            </w:r>
            <w:r w:rsidR="0001146D">
              <w:rPr>
                <w:sz w:val="20"/>
                <w:szCs w:val="20"/>
              </w:rPr>
              <w:t>361</w:t>
            </w:r>
            <w:r w:rsidR="0001146D" w:rsidRPr="0001146D">
              <w:rPr>
                <w:sz w:val="20"/>
                <w:szCs w:val="20"/>
              </w:rPr>
              <w:t>10</w:t>
            </w:r>
          </w:p>
        </w:tc>
        <w:tc>
          <w:tcPr>
            <w:tcW w:w="1578" w:type="dxa"/>
            <w:tcBorders>
              <w:top w:val="single" w:sz="12" w:space="0" w:color="auto"/>
              <w:bottom w:val="single" w:sz="12" w:space="0" w:color="auto"/>
            </w:tcBorders>
            <w:vAlign w:val="center"/>
          </w:tcPr>
          <w:p w:rsidR="00674BC9" w:rsidRDefault="006C52F2">
            <w:pPr>
              <w:jc w:val="center"/>
              <w:rPr>
                <w:rFonts w:ascii="Times New Roman" w:eastAsia="Times New Roman" w:hAnsi="Times New Roman" w:cs="Times New Roman"/>
                <w:b/>
                <w:sz w:val="20"/>
                <w:szCs w:val="20"/>
                <w:lang w:val="en-GB" w:eastAsia="fr-BE"/>
              </w:rPr>
            </w:pPr>
            <w:r w:rsidRPr="003A2CB2">
              <w:rPr>
                <w:sz w:val="20"/>
                <w:szCs w:val="20"/>
              </w:rPr>
              <w:t>Snížení emisí PM</w:t>
            </w:r>
            <w:r w:rsidRPr="003A2CB2">
              <w:rPr>
                <w:sz w:val="20"/>
                <w:szCs w:val="20"/>
                <w:vertAlign w:val="subscript"/>
              </w:rPr>
              <w:t xml:space="preserve">10 </w:t>
            </w:r>
            <w:r w:rsidRPr="003A2CB2">
              <w:rPr>
                <w:sz w:val="20"/>
                <w:szCs w:val="20"/>
              </w:rPr>
              <w:t>z lokálního vytápění domácností</w:t>
            </w:r>
          </w:p>
        </w:tc>
        <w:tc>
          <w:tcPr>
            <w:tcW w:w="795" w:type="dxa"/>
            <w:tcBorders>
              <w:top w:val="single" w:sz="12" w:space="0" w:color="auto"/>
              <w:bottom w:val="single" w:sz="12" w:space="0" w:color="auto"/>
            </w:tcBorders>
            <w:vAlign w:val="center"/>
          </w:tcPr>
          <w:p w:rsidR="00674BC9" w:rsidRDefault="0033290F">
            <w:pPr>
              <w:jc w:val="center"/>
              <w:rPr>
                <w:rFonts w:ascii="Times New Roman" w:eastAsia="Times New Roman" w:hAnsi="Times New Roman" w:cs="Times New Roman"/>
                <w:b/>
                <w:sz w:val="20"/>
                <w:szCs w:val="20"/>
                <w:lang w:val="en-GB" w:eastAsia="fr-BE"/>
              </w:rPr>
            </w:pPr>
            <w:r w:rsidRPr="0033290F">
              <w:rPr>
                <w:sz w:val="20"/>
                <w:szCs w:val="20"/>
              </w:rPr>
              <w:t>t/rok</w:t>
            </w:r>
          </w:p>
        </w:tc>
        <w:tc>
          <w:tcPr>
            <w:tcW w:w="1048" w:type="dxa"/>
            <w:gridSpan w:val="2"/>
            <w:tcBorders>
              <w:top w:val="single" w:sz="12" w:space="0" w:color="auto"/>
              <w:bottom w:val="single" w:sz="12" w:space="0" w:color="auto"/>
            </w:tcBorders>
            <w:vAlign w:val="center"/>
          </w:tcPr>
          <w:p w:rsidR="00674BC9" w:rsidRDefault="0033290F">
            <w:pPr>
              <w:jc w:val="center"/>
              <w:rPr>
                <w:rFonts w:ascii="Times New Roman" w:eastAsia="Times New Roman" w:hAnsi="Times New Roman" w:cs="Times New Roman"/>
                <w:b/>
                <w:sz w:val="20"/>
                <w:szCs w:val="20"/>
                <w:lang w:val="en-GB" w:eastAsia="fr-BE"/>
              </w:rPr>
            </w:pPr>
            <w:r w:rsidRPr="0033290F">
              <w:rPr>
                <w:sz w:val="20"/>
                <w:szCs w:val="20"/>
              </w:rPr>
              <w:t>Není relevantní</w:t>
            </w:r>
          </w:p>
        </w:tc>
        <w:tc>
          <w:tcPr>
            <w:tcW w:w="709" w:type="dxa"/>
            <w:tcBorders>
              <w:top w:val="single" w:sz="12" w:space="0" w:color="auto"/>
              <w:bottom w:val="single" w:sz="12" w:space="0" w:color="auto"/>
            </w:tcBorders>
            <w:vAlign w:val="center"/>
          </w:tcPr>
          <w:p w:rsidR="00674BC9" w:rsidRDefault="0033290F">
            <w:pPr>
              <w:jc w:val="center"/>
              <w:rPr>
                <w:rFonts w:ascii="Times New Roman" w:eastAsia="Times New Roman" w:hAnsi="Times New Roman" w:cs="Times New Roman"/>
                <w:b/>
                <w:sz w:val="20"/>
                <w:szCs w:val="20"/>
                <w:lang w:val="en-GB" w:eastAsia="fr-BE"/>
              </w:rPr>
            </w:pPr>
            <w:r w:rsidRPr="0033290F">
              <w:rPr>
                <w:sz w:val="20"/>
                <w:szCs w:val="20"/>
              </w:rPr>
              <w:t>12 456</w:t>
            </w:r>
          </w:p>
        </w:tc>
        <w:tc>
          <w:tcPr>
            <w:tcW w:w="850" w:type="dxa"/>
            <w:tcBorders>
              <w:top w:val="single" w:sz="12" w:space="0" w:color="auto"/>
              <w:bottom w:val="single" w:sz="12" w:space="0" w:color="auto"/>
            </w:tcBorders>
            <w:vAlign w:val="center"/>
          </w:tcPr>
          <w:p w:rsidR="00674BC9" w:rsidRDefault="0033290F">
            <w:pPr>
              <w:jc w:val="center"/>
              <w:rPr>
                <w:rFonts w:ascii="Times New Roman" w:eastAsia="Times New Roman" w:hAnsi="Times New Roman" w:cs="Times New Roman"/>
                <w:b/>
                <w:sz w:val="20"/>
                <w:szCs w:val="20"/>
                <w:lang w:val="en-GB" w:eastAsia="fr-BE"/>
              </w:rPr>
            </w:pPr>
            <w:r w:rsidRPr="0033290F">
              <w:rPr>
                <w:sz w:val="20"/>
                <w:szCs w:val="20"/>
              </w:rPr>
              <w:t>2011</w:t>
            </w:r>
          </w:p>
        </w:tc>
        <w:tc>
          <w:tcPr>
            <w:tcW w:w="632" w:type="dxa"/>
            <w:tcBorders>
              <w:top w:val="single" w:sz="12" w:space="0" w:color="auto"/>
              <w:bottom w:val="single" w:sz="12" w:space="0" w:color="auto"/>
            </w:tcBorders>
            <w:vAlign w:val="center"/>
          </w:tcPr>
          <w:p w:rsidR="00674BC9" w:rsidRDefault="0033290F">
            <w:pPr>
              <w:jc w:val="center"/>
              <w:rPr>
                <w:rFonts w:ascii="Times New Roman" w:eastAsia="Times New Roman" w:hAnsi="Times New Roman" w:cs="Times New Roman"/>
                <w:b/>
                <w:sz w:val="20"/>
                <w:szCs w:val="20"/>
                <w:lang w:val="en-GB" w:eastAsia="fr-BE"/>
              </w:rPr>
            </w:pPr>
            <w:r w:rsidRPr="0033290F">
              <w:rPr>
                <w:sz w:val="20"/>
                <w:szCs w:val="20"/>
              </w:rPr>
              <w:t>10 126</w:t>
            </w:r>
          </w:p>
        </w:tc>
        <w:tc>
          <w:tcPr>
            <w:tcW w:w="1506" w:type="dxa"/>
            <w:gridSpan w:val="2"/>
            <w:tcBorders>
              <w:top w:val="single" w:sz="12" w:space="0" w:color="auto"/>
              <w:bottom w:val="single" w:sz="12" w:space="0" w:color="auto"/>
            </w:tcBorders>
            <w:vAlign w:val="center"/>
          </w:tcPr>
          <w:p w:rsidR="00674BC9" w:rsidRDefault="0033290F">
            <w:pPr>
              <w:jc w:val="center"/>
              <w:rPr>
                <w:rFonts w:ascii="Times New Roman" w:eastAsia="Times New Roman" w:hAnsi="Times New Roman" w:cs="Times New Roman"/>
                <w:b/>
                <w:sz w:val="20"/>
                <w:szCs w:val="20"/>
                <w:lang w:val="en-GB" w:eastAsia="fr-BE"/>
              </w:rPr>
            </w:pPr>
            <w:r w:rsidRPr="0033290F">
              <w:rPr>
                <w:sz w:val="20"/>
                <w:szCs w:val="20"/>
              </w:rPr>
              <w:t>žadatel/příjemce</w:t>
            </w:r>
          </w:p>
        </w:tc>
        <w:tc>
          <w:tcPr>
            <w:tcW w:w="1264" w:type="dxa"/>
            <w:tcBorders>
              <w:top w:val="single" w:sz="12" w:space="0" w:color="auto"/>
              <w:bottom w:val="single" w:sz="12" w:space="0" w:color="auto"/>
            </w:tcBorders>
            <w:vAlign w:val="center"/>
          </w:tcPr>
          <w:p w:rsidR="00674BC9" w:rsidRDefault="0033290F">
            <w:pPr>
              <w:jc w:val="center"/>
              <w:rPr>
                <w:rFonts w:ascii="Times New Roman" w:eastAsia="Times New Roman" w:hAnsi="Times New Roman" w:cs="Times New Roman"/>
                <w:b/>
                <w:sz w:val="20"/>
                <w:szCs w:val="20"/>
                <w:lang w:val="en-GB" w:eastAsia="fr-BE"/>
              </w:rPr>
            </w:pPr>
            <w:r w:rsidRPr="0033290F">
              <w:rPr>
                <w:rFonts w:asciiTheme="majorHAnsi" w:hAnsiTheme="majorHAnsi"/>
                <w:bCs/>
                <w:sz w:val="20"/>
                <w:szCs w:val="20"/>
              </w:rPr>
              <w:t>Průběžně</w:t>
            </w:r>
          </w:p>
        </w:tc>
      </w:tr>
    </w:tbl>
    <w:p w:rsidR="00A51361" w:rsidRDefault="00A51361" w:rsidP="00B66FDE">
      <w:pPr>
        <w:rPr>
          <w:rFonts w:eastAsiaTheme="majorEastAsia"/>
          <w:b/>
          <w:bCs/>
          <w:color w:val="4F81BD" w:themeColor="accent1"/>
          <w:sz w:val="24"/>
        </w:rPr>
      </w:pPr>
    </w:p>
    <w:p w:rsidR="005F119E" w:rsidRDefault="005F119E" w:rsidP="00165854">
      <w:pPr>
        <w:pStyle w:val="Nadpis6"/>
      </w:pPr>
      <w:r w:rsidRPr="004314F4">
        <w:t xml:space="preserve">Specifický cíl 2: </w:t>
      </w:r>
      <w:r w:rsidR="00452722" w:rsidRPr="00452722">
        <w:rPr>
          <w:rFonts w:eastAsia="Times New Roman"/>
        </w:rPr>
        <w:t>Snížit emise stacio</w:t>
      </w:r>
      <w:r w:rsidR="00BC3BDB">
        <w:rPr>
          <w:rFonts w:eastAsia="Times New Roman"/>
        </w:rPr>
        <w:t>nárních zdrojů podílející se na </w:t>
      </w:r>
      <w:r w:rsidR="00452722" w:rsidRPr="00452722">
        <w:rPr>
          <w:rFonts w:eastAsia="Times New Roman"/>
        </w:rPr>
        <w:t>expozici obyvatelstva nadlimitním koncentracím znečišťujících látek</w:t>
      </w:r>
      <w:r w:rsidR="00452722" w:rsidRPr="00F03377" w:rsidDel="00D15499">
        <w:t xml:space="preserve"> </w:t>
      </w:r>
    </w:p>
    <w:p w:rsidR="00455554" w:rsidRDefault="00455554" w:rsidP="00B66FDE">
      <w:r>
        <w:t>Vysoká expozice obyvatelstva plošným i lokálním nadlimitním koncentracím znečišťujících látek v ovzduší musí být snížena</w:t>
      </w:r>
      <w:r w:rsidRPr="004314F4">
        <w:t xml:space="preserve"> </w:t>
      </w:r>
      <w:r>
        <w:t xml:space="preserve">prostřednictvím </w:t>
      </w:r>
      <w:r w:rsidRPr="004314F4">
        <w:t xml:space="preserve">omezení </w:t>
      </w:r>
      <w:proofErr w:type="spellStart"/>
      <w:r>
        <w:t>resuspenze</w:t>
      </w:r>
      <w:proofErr w:type="spellEnd"/>
      <w:r>
        <w:t xml:space="preserve"> a </w:t>
      </w:r>
      <w:r w:rsidRPr="004314F4">
        <w:t xml:space="preserve">emisí znečišťujících látek </w:t>
      </w:r>
      <w:r w:rsidR="00BC3BDB">
        <w:t>ze </w:t>
      </w:r>
      <w:r>
        <w:t>stacionárních zdrojů, které se podílejí na překračování přípustných úrovní znečištění ovzduší. Tato skupina stacionárních zdrojů představuje širokou skupinu technologicky rozmanitých zařízení a je detailně identifikována v rámci koncepčních a strategických dokume</w:t>
      </w:r>
      <w:r w:rsidR="00536378">
        <w:t xml:space="preserve">ntů v oblasti </w:t>
      </w:r>
      <w:r w:rsidR="00536378">
        <w:lastRenderedPageBreak/>
        <w:t>ochrany ovzduší (</w:t>
      </w:r>
      <w:r>
        <w:t xml:space="preserve">projekt přípravy těchto dokumentů „Střednědobá strategie (do roku </w:t>
      </w:r>
      <w:r>
        <w:rPr>
          <w:lang w:val="en-US"/>
        </w:rPr>
        <w:t>2020</w:t>
      </w:r>
      <w:r>
        <w:t>) zlepšení kvality ovzduší v ČR“).</w:t>
      </w:r>
    </w:p>
    <w:p w:rsidR="00455554" w:rsidRDefault="00455554" w:rsidP="00B66FDE">
      <w:r>
        <w:t xml:space="preserve">Specifického cíle bude dosaženo prostřednictvím realizace vhodných opatření ke snížení </w:t>
      </w:r>
      <w:proofErr w:type="spellStart"/>
      <w:r>
        <w:t>resuspenze</w:t>
      </w:r>
      <w:proofErr w:type="spellEnd"/>
      <w:r>
        <w:t xml:space="preserve"> a emisí znečišťujících látek ze stacionárních zdrojů, které se výraznou měrou podílejí na vysoké úrovni znečištění ovzduší.</w:t>
      </w:r>
    </w:p>
    <w:p w:rsidR="00674BC9" w:rsidRDefault="006C52F2">
      <w:pPr>
        <w:spacing w:line="240" w:lineRule="auto"/>
      </w:pPr>
      <w:r>
        <w:t>Některé typy podporovaných opatření přispějí rovněž k dosažení cílů České republiky v oblasti zvyšování energetické účinnosti a energetických úspor. Vyhodnocení těchto přínosů bude sledováno v rámci navrženého ENVI indikátoru „Sní</w:t>
      </w:r>
      <w:r w:rsidR="008E6B35">
        <w:t>žení konečné spotřeby energie u </w:t>
      </w:r>
      <w:r>
        <w:t>podpořených subjektů“.</w:t>
      </w:r>
    </w:p>
    <w:p w:rsidR="005F119E" w:rsidRPr="003D10F9" w:rsidRDefault="005F119E" w:rsidP="00FB515E">
      <w:pPr>
        <w:tabs>
          <w:tab w:val="left" w:pos="5625"/>
        </w:tabs>
        <w:spacing w:after="0" w:afterAutospacing="0"/>
        <w:rPr>
          <w:b/>
        </w:rPr>
      </w:pPr>
      <w:bookmarkStart w:id="2351" w:name="_Toc384907353"/>
      <w:r w:rsidRPr="003D10F9">
        <w:rPr>
          <w:b/>
        </w:rPr>
        <w:t>Stav, který chceme dosáhnout k roku 2020:</w:t>
      </w:r>
      <w:bookmarkEnd w:id="2351"/>
      <w:r w:rsidR="00FB515E">
        <w:rPr>
          <w:b/>
        </w:rPr>
        <w:tab/>
      </w:r>
    </w:p>
    <w:p w:rsidR="00C311A3" w:rsidRDefault="005F119E" w:rsidP="00495FC1">
      <w:pPr>
        <w:pStyle w:val="Odstavecseseznamem"/>
        <w:numPr>
          <w:ilvl w:val="0"/>
          <w:numId w:val="9"/>
        </w:numPr>
        <w:spacing w:after="0" w:afterAutospacing="0"/>
      </w:pPr>
      <w:r w:rsidRPr="004661C8">
        <w:t xml:space="preserve">Cílovým stavem je plnění imisních limitů stanovených národní i evropskou legislativou (směrnice 2008/50/ES a 2004/107/ES, zákon č. </w:t>
      </w:r>
      <w:r w:rsidRPr="00FF30BF">
        <w:t>201</w:t>
      </w:r>
      <w:r w:rsidR="00BC3BDB">
        <w:t>/2012 Sb., o ochraně ovzduší) a </w:t>
      </w:r>
      <w:r w:rsidRPr="00FF30BF">
        <w:t>národních emisních stropů (směrnice 2001/80/ES</w:t>
      </w:r>
      <w:r w:rsidR="00BC3BDB">
        <w:t xml:space="preserve"> a Göteborský protokol Úmluvy o </w:t>
      </w:r>
      <w:r w:rsidRPr="00FF30BF">
        <w:t xml:space="preserve">omezování znečišťování ovzduší přecházejícím hranice států). </w:t>
      </w:r>
    </w:p>
    <w:p w:rsidR="00E83B79" w:rsidRPr="004314F4" w:rsidRDefault="00E83B79" w:rsidP="00E83B79">
      <w:pPr>
        <w:pStyle w:val="Odstavecseseznamem"/>
        <w:spacing w:after="0" w:afterAutospacing="0"/>
      </w:pPr>
    </w:p>
    <w:p w:rsidR="005F119E" w:rsidRPr="004314F4" w:rsidRDefault="005F119E" w:rsidP="00CB78B6">
      <w:pPr>
        <w:pStyle w:val="Titulek"/>
      </w:pPr>
      <w:r w:rsidRPr="004314F4">
        <w:t xml:space="preserve">Specifické </w:t>
      </w:r>
      <w:r w:rsidR="00973425">
        <w:t>programové ukazatele</w:t>
      </w:r>
      <w:r>
        <w:t xml:space="preserve"> výsledků pro SC 2.2</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A0" w:firstRow="1" w:lastRow="0" w:firstColumn="1" w:lastColumn="0" w:noHBand="0" w:noVBand="0"/>
      </w:tblPr>
      <w:tblGrid>
        <w:gridCol w:w="682"/>
        <w:gridCol w:w="1285"/>
        <w:gridCol w:w="944"/>
        <w:gridCol w:w="1024"/>
        <w:gridCol w:w="893"/>
        <w:gridCol w:w="845"/>
        <w:gridCol w:w="893"/>
        <w:gridCol w:w="1594"/>
        <w:gridCol w:w="980"/>
      </w:tblGrid>
      <w:tr w:rsidR="00973425" w:rsidRPr="00F37B1C" w:rsidTr="005472D1">
        <w:tc>
          <w:tcPr>
            <w:tcW w:w="718" w:type="dxa"/>
            <w:tcBorders>
              <w:bottom w:val="single" w:sz="12" w:space="0" w:color="auto"/>
            </w:tcBorders>
            <w:shd w:val="clear" w:color="auto" w:fill="BFBFBF" w:themeFill="background1" w:themeFillShade="BF"/>
            <w:vAlign w:val="center"/>
          </w:tcPr>
          <w:p w:rsidR="00973425" w:rsidRPr="003A2CB2" w:rsidRDefault="00973425" w:rsidP="00B66FDE">
            <w:pPr>
              <w:rPr>
                <w:b/>
                <w:sz w:val="20"/>
                <w:szCs w:val="20"/>
              </w:rPr>
            </w:pPr>
            <w:r w:rsidRPr="003A2CB2">
              <w:rPr>
                <w:b/>
                <w:sz w:val="20"/>
                <w:szCs w:val="20"/>
              </w:rPr>
              <w:t>ID</w:t>
            </w:r>
          </w:p>
        </w:tc>
        <w:tc>
          <w:tcPr>
            <w:tcW w:w="0" w:type="auto"/>
            <w:tcBorders>
              <w:bottom w:val="single" w:sz="12" w:space="0" w:color="auto"/>
            </w:tcBorders>
            <w:shd w:val="clear" w:color="auto" w:fill="BFBFBF" w:themeFill="background1" w:themeFillShade="BF"/>
            <w:vAlign w:val="center"/>
          </w:tcPr>
          <w:p w:rsidR="00973425" w:rsidRPr="003A2CB2" w:rsidRDefault="00973425" w:rsidP="00B66FDE">
            <w:pPr>
              <w:rPr>
                <w:b/>
                <w:sz w:val="20"/>
                <w:szCs w:val="20"/>
              </w:rPr>
            </w:pPr>
            <w:r w:rsidRPr="003A2CB2">
              <w:rPr>
                <w:b/>
                <w:sz w:val="20"/>
                <w:szCs w:val="20"/>
              </w:rPr>
              <w:t>Ukazatel</w:t>
            </w:r>
          </w:p>
        </w:tc>
        <w:tc>
          <w:tcPr>
            <w:tcW w:w="0" w:type="auto"/>
            <w:tcBorders>
              <w:bottom w:val="single" w:sz="12" w:space="0" w:color="auto"/>
            </w:tcBorders>
            <w:shd w:val="clear" w:color="auto" w:fill="BFBFBF" w:themeFill="background1" w:themeFillShade="BF"/>
            <w:vAlign w:val="center"/>
          </w:tcPr>
          <w:p w:rsidR="00973425" w:rsidRPr="003A2CB2" w:rsidRDefault="0033290F" w:rsidP="00B66FDE">
            <w:pPr>
              <w:rPr>
                <w:b/>
                <w:sz w:val="20"/>
                <w:szCs w:val="20"/>
              </w:rPr>
            </w:pPr>
            <w:r w:rsidRPr="0033290F">
              <w:rPr>
                <w:b/>
                <w:sz w:val="20"/>
                <w:szCs w:val="20"/>
              </w:rPr>
              <w:t>Měrná jednotka</w:t>
            </w:r>
          </w:p>
        </w:tc>
        <w:tc>
          <w:tcPr>
            <w:tcW w:w="904" w:type="dxa"/>
            <w:tcBorders>
              <w:bottom w:val="single" w:sz="12" w:space="0" w:color="auto"/>
            </w:tcBorders>
            <w:shd w:val="clear" w:color="auto" w:fill="BFBFBF" w:themeFill="background1" w:themeFillShade="BF"/>
          </w:tcPr>
          <w:p w:rsidR="00973425" w:rsidRPr="003A2CB2" w:rsidRDefault="0033290F" w:rsidP="00B66FDE">
            <w:pPr>
              <w:rPr>
                <w:b/>
                <w:sz w:val="20"/>
                <w:szCs w:val="20"/>
              </w:rPr>
            </w:pPr>
            <w:r w:rsidRPr="0033290F">
              <w:rPr>
                <w:b/>
                <w:sz w:val="20"/>
                <w:szCs w:val="20"/>
              </w:rPr>
              <w:t>Kategorie regionů</w:t>
            </w:r>
          </w:p>
        </w:tc>
        <w:tc>
          <w:tcPr>
            <w:tcW w:w="790" w:type="dxa"/>
            <w:tcBorders>
              <w:bottom w:val="single" w:sz="12" w:space="0" w:color="auto"/>
            </w:tcBorders>
            <w:shd w:val="clear" w:color="auto" w:fill="BFBFBF" w:themeFill="background1" w:themeFillShade="BF"/>
            <w:vAlign w:val="center"/>
          </w:tcPr>
          <w:p w:rsidR="00973425" w:rsidRPr="003A2CB2" w:rsidRDefault="0033290F" w:rsidP="00B66FDE">
            <w:pPr>
              <w:rPr>
                <w:b/>
                <w:sz w:val="20"/>
                <w:szCs w:val="20"/>
              </w:rPr>
            </w:pPr>
            <w:r w:rsidRPr="0033290F">
              <w:rPr>
                <w:b/>
                <w:sz w:val="20"/>
                <w:szCs w:val="20"/>
              </w:rPr>
              <w:t>Výchozí hodnota</w:t>
            </w:r>
          </w:p>
        </w:tc>
        <w:tc>
          <w:tcPr>
            <w:tcW w:w="0" w:type="auto"/>
            <w:tcBorders>
              <w:bottom w:val="single" w:sz="12" w:space="0" w:color="auto"/>
            </w:tcBorders>
            <w:shd w:val="clear" w:color="auto" w:fill="BFBFBF" w:themeFill="background1" w:themeFillShade="BF"/>
            <w:vAlign w:val="center"/>
          </w:tcPr>
          <w:p w:rsidR="00973425" w:rsidRPr="003A2CB2" w:rsidRDefault="0033290F" w:rsidP="00B66FDE">
            <w:pPr>
              <w:rPr>
                <w:b/>
                <w:sz w:val="20"/>
                <w:szCs w:val="20"/>
              </w:rPr>
            </w:pPr>
            <w:r w:rsidRPr="0033290F">
              <w:rPr>
                <w:b/>
                <w:sz w:val="20"/>
                <w:szCs w:val="20"/>
              </w:rPr>
              <w:t>Výchozí rok</w:t>
            </w:r>
          </w:p>
        </w:tc>
        <w:tc>
          <w:tcPr>
            <w:tcW w:w="0" w:type="auto"/>
            <w:tcBorders>
              <w:bottom w:val="single" w:sz="12" w:space="0" w:color="auto"/>
            </w:tcBorders>
            <w:shd w:val="clear" w:color="auto" w:fill="BFBFBF" w:themeFill="background1" w:themeFillShade="BF"/>
            <w:vAlign w:val="center"/>
          </w:tcPr>
          <w:p w:rsidR="00973425" w:rsidRPr="003A2CB2" w:rsidRDefault="0033290F" w:rsidP="00B66FDE">
            <w:pPr>
              <w:rPr>
                <w:b/>
                <w:sz w:val="20"/>
                <w:szCs w:val="20"/>
              </w:rPr>
            </w:pPr>
            <w:r w:rsidRPr="0033290F">
              <w:rPr>
                <w:b/>
                <w:sz w:val="20"/>
                <w:szCs w:val="20"/>
              </w:rPr>
              <w:t>Cílová hodnota (2023)</w:t>
            </w:r>
          </w:p>
        </w:tc>
        <w:tc>
          <w:tcPr>
            <w:tcW w:w="0" w:type="auto"/>
            <w:tcBorders>
              <w:bottom w:val="single" w:sz="12" w:space="0" w:color="auto"/>
            </w:tcBorders>
            <w:shd w:val="clear" w:color="auto" w:fill="BFBFBF" w:themeFill="background1" w:themeFillShade="BF"/>
            <w:vAlign w:val="center"/>
          </w:tcPr>
          <w:p w:rsidR="00973425" w:rsidRPr="003A2CB2" w:rsidRDefault="0033290F" w:rsidP="00B66FDE">
            <w:pPr>
              <w:rPr>
                <w:b/>
                <w:sz w:val="20"/>
                <w:szCs w:val="20"/>
              </w:rPr>
            </w:pPr>
            <w:r w:rsidRPr="0033290F">
              <w:rPr>
                <w:b/>
                <w:sz w:val="20"/>
                <w:szCs w:val="20"/>
              </w:rPr>
              <w:t>Zdroj údajů</w:t>
            </w:r>
          </w:p>
        </w:tc>
        <w:tc>
          <w:tcPr>
            <w:tcW w:w="0" w:type="auto"/>
            <w:tcBorders>
              <w:bottom w:val="single" w:sz="12" w:space="0" w:color="auto"/>
            </w:tcBorders>
            <w:shd w:val="clear" w:color="auto" w:fill="BFBFBF" w:themeFill="background1" w:themeFillShade="BF"/>
            <w:vAlign w:val="center"/>
          </w:tcPr>
          <w:p w:rsidR="00973425" w:rsidRPr="003A2CB2" w:rsidRDefault="0033290F" w:rsidP="00973425">
            <w:pPr>
              <w:rPr>
                <w:b/>
                <w:sz w:val="20"/>
                <w:szCs w:val="20"/>
              </w:rPr>
            </w:pPr>
            <w:r w:rsidRPr="0033290F">
              <w:rPr>
                <w:b/>
                <w:sz w:val="20"/>
                <w:szCs w:val="20"/>
              </w:rPr>
              <w:t>Četnost podávání zpráv</w:t>
            </w:r>
          </w:p>
        </w:tc>
      </w:tr>
      <w:tr w:rsidR="00973425" w:rsidRPr="00F37B1C" w:rsidTr="005472D1">
        <w:trPr>
          <w:trHeight w:val="1373"/>
        </w:trPr>
        <w:tc>
          <w:tcPr>
            <w:tcW w:w="718" w:type="dxa"/>
            <w:tcBorders>
              <w:top w:val="single" w:sz="12" w:space="0" w:color="auto"/>
            </w:tcBorders>
            <w:vAlign w:val="center"/>
          </w:tcPr>
          <w:p w:rsidR="00674BC9" w:rsidRDefault="0001146D">
            <w:pPr>
              <w:jc w:val="center"/>
              <w:rPr>
                <w:sz w:val="20"/>
                <w:szCs w:val="20"/>
              </w:rPr>
            </w:pPr>
            <w:r>
              <w:rPr>
                <w:sz w:val="20"/>
                <w:szCs w:val="20"/>
              </w:rPr>
              <w:t>3</w:t>
            </w:r>
            <w:r w:rsidRPr="0001146D">
              <w:rPr>
                <w:sz w:val="20"/>
                <w:szCs w:val="20"/>
              </w:rPr>
              <w:t>6111</w:t>
            </w:r>
          </w:p>
        </w:tc>
        <w:tc>
          <w:tcPr>
            <w:tcW w:w="0" w:type="auto"/>
            <w:tcBorders>
              <w:top w:val="single" w:sz="12" w:space="0" w:color="auto"/>
            </w:tcBorders>
            <w:vAlign w:val="center"/>
          </w:tcPr>
          <w:p w:rsidR="00674BC9" w:rsidRDefault="00973425">
            <w:pPr>
              <w:jc w:val="center"/>
              <w:rPr>
                <w:rFonts w:ascii="Times New Roman" w:eastAsia="Times New Roman" w:hAnsi="Times New Roman" w:cs="Times New Roman"/>
                <w:b/>
                <w:sz w:val="20"/>
                <w:szCs w:val="20"/>
                <w:lang w:val="en-GB" w:eastAsia="fr-BE"/>
              </w:rPr>
            </w:pPr>
            <w:r w:rsidRPr="003A2CB2">
              <w:rPr>
                <w:sz w:val="20"/>
                <w:szCs w:val="20"/>
              </w:rPr>
              <w:t>Snížení emisí primárních částic a prekurzorů sekundárních částic</w:t>
            </w:r>
          </w:p>
        </w:tc>
        <w:tc>
          <w:tcPr>
            <w:tcW w:w="0" w:type="auto"/>
            <w:tcBorders>
              <w:top w:val="single" w:sz="12" w:space="0" w:color="auto"/>
            </w:tcBorders>
            <w:noWrap/>
            <w:vAlign w:val="center"/>
          </w:tcPr>
          <w:p w:rsidR="00674BC9" w:rsidRDefault="0033290F">
            <w:pPr>
              <w:jc w:val="center"/>
              <w:rPr>
                <w:rFonts w:ascii="Times New Roman" w:eastAsia="Times New Roman" w:hAnsi="Times New Roman" w:cs="Times New Roman"/>
                <w:b/>
                <w:sz w:val="20"/>
                <w:szCs w:val="20"/>
                <w:lang w:val="en-GB" w:eastAsia="fr-BE"/>
              </w:rPr>
            </w:pPr>
            <w:r w:rsidRPr="0033290F">
              <w:rPr>
                <w:bCs/>
                <w:sz w:val="20"/>
                <w:szCs w:val="20"/>
              </w:rPr>
              <w:t>t/rok</w:t>
            </w:r>
          </w:p>
        </w:tc>
        <w:tc>
          <w:tcPr>
            <w:tcW w:w="904" w:type="dxa"/>
            <w:tcBorders>
              <w:top w:val="single" w:sz="12" w:space="0" w:color="auto"/>
            </w:tcBorders>
            <w:vAlign w:val="center"/>
          </w:tcPr>
          <w:p w:rsidR="00674BC9" w:rsidRDefault="0033290F">
            <w:pPr>
              <w:jc w:val="center"/>
              <w:rPr>
                <w:rFonts w:ascii="Times New Roman" w:eastAsia="Times New Roman" w:hAnsi="Times New Roman" w:cs="Times New Roman"/>
                <w:b/>
                <w:bCs/>
                <w:sz w:val="20"/>
                <w:szCs w:val="20"/>
                <w:lang w:val="en-GB" w:eastAsia="fr-BE"/>
              </w:rPr>
            </w:pPr>
            <w:r w:rsidRPr="0033290F">
              <w:rPr>
                <w:sz w:val="20"/>
                <w:szCs w:val="20"/>
              </w:rPr>
              <w:t>Není relevantní</w:t>
            </w:r>
          </w:p>
        </w:tc>
        <w:tc>
          <w:tcPr>
            <w:tcW w:w="790" w:type="dxa"/>
            <w:tcBorders>
              <w:top w:val="single" w:sz="12" w:space="0" w:color="auto"/>
            </w:tcBorders>
            <w:vAlign w:val="center"/>
          </w:tcPr>
          <w:p w:rsidR="00674BC9" w:rsidRDefault="0033290F">
            <w:pPr>
              <w:jc w:val="center"/>
              <w:rPr>
                <w:rFonts w:ascii="Times New Roman" w:eastAsia="Times New Roman" w:hAnsi="Times New Roman" w:cs="Times New Roman"/>
                <w:b/>
                <w:sz w:val="20"/>
                <w:szCs w:val="20"/>
                <w:lang w:val="en-GB" w:eastAsia="fr-BE"/>
              </w:rPr>
            </w:pPr>
            <w:r w:rsidRPr="0033290F">
              <w:rPr>
                <w:bCs/>
                <w:sz w:val="20"/>
                <w:szCs w:val="20"/>
              </w:rPr>
              <w:t>341 000</w:t>
            </w:r>
          </w:p>
        </w:tc>
        <w:tc>
          <w:tcPr>
            <w:tcW w:w="0" w:type="auto"/>
            <w:tcBorders>
              <w:top w:val="single" w:sz="12" w:space="0" w:color="auto"/>
            </w:tcBorders>
            <w:vAlign w:val="center"/>
          </w:tcPr>
          <w:p w:rsidR="00674BC9" w:rsidRDefault="0033290F">
            <w:pPr>
              <w:jc w:val="center"/>
              <w:rPr>
                <w:rFonts w:ascii="Times New Roman" w:eastAsia="Times New Roman" w:hAnsi="Times New Roman" w:cs="Times New Roman"/>
                <w:b/>
                <w:sz w:val="20"/>
                <w:szCs w:val="20"/>
                <w:lang w:val="en-GB" w:eastAsia="fr-BE"/>
              </w:rPr>
            </w:pPr>
            <w:r w:rsidRPr="0033290F">
              <w:rPr>
                <w:sz w:val="20"/>
                <w:szCs w:val="20"/>
              </w:rPr>
              <w:t>2011</w:t>
            </w:r>
          </w:p>
        </w:tc>
        <w:tc>
          <w:tcPr>
            <w:tcW w:w="0" w:type="auto"/>
            <w:tcBorders>
              <w:top w:val="single" w:sz="12" w:space="0" w:color="auto"/>
            </w:tcBorders>
            <w:vAlign w:val="center"/>
          </w:tcPr>
          <w:p w:rsidR="00674BC9" w:rsidRDefault="0033290F">
            <w:pPr>
              <w:jc w:val="center"/>
              <w:rPr>
                <w:rFonts w:ascii="Times New Roman" w:eastAsia="Times New Roman" w:hAnsi="Times New Roman" w:cs="Times New Roman"/>
                <w:b/>
                <w:sz w:val="20"/>
                <w:szCs w:val="20"/>
                <w:lang w:val="en-GB" w:eastAsia="fr-BE"/>
              </w:rPr>
            </w:pPr>
            <w:r w:rsidRPr="0033290F">
              <w:rPr>
                <w:bCs/>
                <w:sz w:val="20"/>
                <w:szCs w:val="20"/>
              </w:rPr>
              <w:t>338 000</w:t>
            </w:r>
          </w:p>
        </w:tc>
        <w:tc>
          <w:tcPr>
            <w:tcW w:w="0" w:type="auto"/>
            <w:tcBorders>
              <w:top w:val="single" w:sz="12" w:space="0" w:color="auto"/>
            </w:tcBorders>
            <w:vAlign w:val="center"/>
          </w:tcPr>
          <w:p w:rsidR="00674BC9" w:rsidRDefault="0033290F">
            <w:pPr>
              <w:jc w:val="center"/>
              <w:rPr>
                <w:rFonts w:ascii="Times New Roman" w:eastAsia="Times New Roman" w:hAnsi="Times New Roman" w:cs="Times New Roman"/>
                <w:b/>
                <w:sz w:val="20"/>
                <w:szCs w:val="20"/>
                <w:lang w:val="en-GB" w:eastAsia="fr-BE"/>
              </w:rPr>
            </w:pPr>
            <w:r w:rsidRPr="0033290F">
              <w:rPr>
                <w:sz w:val="20"/>
                <w:szCs w:val="20"/>
              </w:rPr>
              <w:t>Žadatel/příjemce</w:t>
            </w:r>
          </w:p>
        </w:tc>
        <w:tc>
          <w:tcPr>
            <w:tcW w:w="0" w:type="auto"/>
            <w:tcBorders>
              <w:top w:val="single" w:sz="12" w:space="0" w:color="auto"/>
            </w:tcBorders>
            <w:vAlign w:val="center"/>
          </w:tcPr>
          <w:p w:rsidR="00674BC9" w:rsidRDefault="0033290F">
            <w:pPr>
              <w:jc w:val="center"/>
              <w:rPr>
                <w:rFonts w:ascii="Times New Roman" w:eastAsia="Times New Roman" w:hAnsi="Times New Roman" w:cs="Times New Roman"/>
                <w:b/>
                <w:sz w:val="20"/>
                <w:szCs w:val="20"/>
                <w:lang w:val="en-GB" w:eastAsia="fr-BE"/>
              </w:rPr>
            </w:pPr>
            <w:r w:rsidRPr="0033290F">
              <w:rPr>
                <w:rFonts w:asciiTheme="majorHAnsi" w:hAnsiTheme="majorHAnsi"/>
                <w:bCs/>
                <w:sz w:val="20"/>
                <w:szCs w:val="20"/>
              </w:rPr>
              <w:t>Průběžně</w:t>
            </w:r>
          </w:p>
        </w:tc>
      </w:tr>
      <w:tr w:rsidR="00973425" w:rsidRPr="00F37B1C" w:rsidTr="005472D1">
        <w:trPr>
          <w:trHeight w:val="258"/>
        </w:trPr>
        <w:tc>
          <w:tcPr>
            <w:tcW w:w="718" w:type="dxa"/>
            <w:vAlign w:val="center"/>
          </w:tcPr>
          <w:p w:rsidR="00674BC9" w:rsidRDefault="0001146D">
            <w:pPr>
              <w:jc w:val="center"/>
              <w:rPr>
                <w:sz w:val="20"/>
                <w:szCs w:val="20"/>
              </w:rPr>
            </w:pPr>
            <w:r>
              <w:rPr>
                <w:rFonts w:asciiTheme="majorHAnsi" w:hAnsiTheme="majorHAnsi"/>
                <w:sz w:val="20"/>
                <w:szCs w:val="20"/>
              </w:rPr>
              <w:t>3</w:t>
            </w:r>
            <w:r w:rsidRPr="0001146D">
              <w:rPr>
                <w:rFonts w:asciiTheme="majorHAnsi" w:hAnsiTheme="majorHAnsi"/>
                <w:sz w:val="20"/>
                <w:szCs w:val="20"/>
              </w:rPr>
              <w:t>6112</w:t>
            </w:r>
          </w:p>
        </w:tc>
        <w:tc>
          <w:tcPr>
            <w:tcW w:w="0" w:type="auto"/>
            <w:vAlign w:val="center"/>
          </w:tcPr>
          <w:p w:rsidR="00674BC9" w:rsidRDefault="0033290F">
            <w:pPr>
              <w:jc w:val="center"/>
              <w:rPr>
                <w:rFonts w:ascii="Times New Roman" w:eastAsia="Times New Roman" w:hAnsi="Times New Roman" w:cs="Times New Roman"/>
                <w:b/>
                <w:sz w:val="20"/>
                <w:szCs w:val="20"/>
                <w:lang w:val="en-GB" w:eastAsia="fr-BE"/>
              </w:rPr>
            </w:pPr>
            <w:r w:rsidRPr="0033290F">
              <w:rPr>
                <w:sz w:val="20"/>
                <w:szCs w:val="20"/>
              </w:rPr>
              <w:t>Snížení emisí ostatních látek</w:t>
            </w:r>
          </w:p>
        </w:tc>
        <w:tc>
          <w:tcPr>
            <w:tcW w:w="0" w:type="auto"/>
            <w:noWrap/>
            <w:vAlign w:val="center"/>
          </w:tcPr>
          <w:p w:rsidR="00674BC9" w:rsidRDefault="0033290F">
            <w:pPr>
              <w:jc w:val="center"/>
              <w:rPr>
                <w:rFonts w:ascii="Times New Roman" w:eastAsia="Times New Roman" w:hAnsi="Times New Roman" w:cs="Times New Roman"/>
                <w:b/>
                <w:sz w:val="20"/>
                <w:szCs w:val="20"/>
                <w:lang w:val="en-GB" w:eastAsia="fr-BE"/>
              </w:rPr>
            </w:pPr>
            <w:r w:rsidRPr="0033290F">
              <w:rPr>
                <w:bCs/>
                <w:sz w:val="20"/>
                <w:szCs w:val="20"/>
              </w:rPr>
              <w:t>t/rok</w:t>
            </w:r>
          </w:p>
        </w:tc>
        <w:tc>
          <w:tcPr>
            <w:tcW w:w="904" w:type="dxa"/>
            <w:vAlign w:val="center"/>
          </w:tcPr>
          <w:p w:rsidR="00674BC9" w:rsidRDefault="0033290F">
            <w:pPr>
              <w:jc w:val="center"/>
              <w:rPr>
                <w:rFonts w:ascii="Times New Roman" w:eastAsia="Times New Roman" w:hAnsi="Times New Roman" w:cs="Arial"/>
                <w:b/>
                <w:bCs/>
                <w:sz w:val="20"/>
                <w:szCs w:val="20"/>
                <w:lang w:val="en-GB" w:eastAsia="fr-BE"/>
              </w:rPr>
            </w:pPr>
            <w:r w:rsidRPr="0033290F">
              <w:rPr>
                <w:sz w:val="20"/>
                <w:szCs w:val="20"/>
              </w:rPr>
              <w:t>Není relevantní</w:t>
            </w:r>
          </w:p>
        </w:tc>
        <w:tc>
          <w:tcPr>
            <w:tcW w:w="790" w:type="dxa"/>
            <w:vAlign w:val="center"/>
          </w:tcPr>
          <w:p w:rsidR="00674BC9" w:rsidRDefault="0033290F">
            <w:pPr>
              <w:jc w:val="center"/>
              <w:rPr>
                <w:rFonts w:ascii="Times New Roman" w:eastAsia="Times New Roman" w:hAnsi="Times New Roman" w:cs="Times New Roman"/>
                <w:b/>
                <w:sz w:val="20"/>
                <w:szCs w:val="20"/>
                <w:lang w:val="en-GB" w:eastAsia="fr-BE"/>
              </w:rPr>
            </w:pPr>
            <w:r w:rsidRPr="0033290F">
              <w:rPr>
                <w:rFonts w:cs="Arial"/>
                <w:bCs/>
                <w:sz w:val="20"/>
                <w:szCs w:val="20"/>
              </w:rPr>
              <w:t>140 000</w:t>
            </w:r>
          </w:p>
        </w:tc>
        <w:tc>
          <w:tcPr>
            <w:tcW w:w="0" w:type="auto"/>
            <w:vAlign w:val="center"/>
          </w:tcPr>
          <w:p w:rsidR="00674BC9" w:rsidRDefault="0033290F">
            <w:pPr>
              <w:jc w:val="center"/>
              <w:rPr>
                <w:rFonts w:ascii="Times New Roman" w:eastAsia="Times New Roman" w:hAnsi="Times New Roman" w:cs="Times New Roman"/>
                <w:b/>
                <w:sz w:val="20"/>
                <w:szCs w:val="20"/>
                <w:lang w:val="en-GB" w:eastAsia="fr-BE"/>
              </w:rPr>
            </w:pPr>
            <w:r w:rsidRPr="0033290F">
              <w:rPr>
                <w:sz w:val="20"/>
                <w:szCs w:val="20"/>
              </w:rPr>
              <w:t>2011</w:t>
            </w:r>
          </w:p>
        </w:tc>
        <w:tc>
          <w:tcPr>
            <w:tcW w:w="0" w:type="auto"/>
            <w:vAlign w:val="center"/>
          </w:tcPr>
          <w:p w:rsidR="00674BC9" w:rsidRDefault="0033290F">
            <w:pPr>
              <w:jc w:val="center"/>
              <w:rPr>
                <w:rFonts w:ascii="Times New Roman" w:eastAsia="Times New Roman" w:hAnsi="Times New Roman" w:cs="Times New Roman"/>
                <w:b/>
                <w:sz w:val="20"/>
                <w:szCs w:val="20"/>
                <w:lang w:val="en-GB" w:eastAsia="fr-BE"/>
              </w:rPr>
            </w:pPr>
            <w:r w:rsidRPr="0033290F">
              <w:rPr>
                <w:rFonts w:cs="Arial"/>
                <w:bCs/>
                <w:sz w:val="20"/>
                <w:szCs w:val="20"/>
              </w:rPr>
              <w:t>13 8000</w:t>
            </w:r>
          </w:p>
        </w:tc>
        <w:tc>
          <w:tcPr>
            <w:tcW w:w="0" w:type="auto"/>
            <w:vAlign w:val="center"/>
          </w:tcPr>
          <w:p w:rsidR="00674BC9" w:rsidRDefault="0033290F">
            <w:pPr>
              <w:jc w:val="center"/>
              <w:rPr>
                <w:rFonts w:ascii="Times New Roman" w:eastAsia="Times New Roman" w:hAnsi="Times New Roman" w:cs="Times New Roman"/>
                <w:b/>
                <w:sz w:val="20"/>
                <w:szCs w:val="20"/>
                <w:lang w:val="en-GB" w:eastAsia="fr-BE"/>
              </w:rPr>
            </w:pPr>
            <w:r w:rsidRPr="0033290F">
              <w:rPr>
                <w:sz w:val="20"/>
                <w:szCs w:val="20"/>
              </w:rPr>
              <w:t>Žadatel/příjemce</w:t>
            </w:r>
          </w:p>
        </w:tc>
        <w:tc>
          <w:tcPr>
            <w:tcW w:w="0" w:type="auto"/>
            <w:vAlign w:val="center"/>
          </w:tcPr>
          <w:p w:rsidR="00674BC9" w:rsidRDefault="0033290F">
            <w:pPr>
              <w:jc w:val="center"/>
              <w:rPr>
                <w:rFonts w:ascii="Times New Roman" w:eastAsia="Times New Roman" w:hAnsi="Times New Roman" w:cs="Times New Roman"/>
                <w:b/>
                <w:sz w:val="20"/>
                <w:szCs w:val="20"/>
                <w:lang w:val="en-GB" w:eastAsia="fr-BE"/>
              </w:rPr>
            </w:pPr>
            <w:r w:rsidRPr="0033290F">
              <w:rPr>
                <w:rFonts w:asciiTheme="majorHAnsi" w:hAnsiTheme="majorHAnsi"/>
                <w:bCs/>
                <w:sz w:val="20"/>
                <w:szCs w:val="20"/>
              </w:rPr>
              <w:t>Průběžně</w:t>
            </w:r>
          </w:p>
        </w:tc>
      </w:tr>
    </w:tbl>
    <w:p w:rsidR="005F119E" w:rsidRPr="003E213F" w:rsidRDefault="005F119E" w:rsidP="00B66FDE"/>
    <w:p w:rsidR="005F119E" w:rsidRDefault="005F119E" w:rsidP="00165854">
      <w:pPr>
        <w:pStyle w:val="Nadpis6"/>
      </w:pPr>
      <w:r>
        <w:t xml:space="preserve">Specifický cíl 3: </w:t>
      </w:r>
      <w:r w:rsidR="00127B71" w:rsidRPr="00127B71">
        <w:t>Zlepšit systém</w:t>
      </w:r>
      <w:r w:rsidR="00127B71" w:rsidRPr="00127B71">
        <w:rPr>
          <w:rFonts w:cs="Calibri"/>
          <w:sz w:val="20"/>
          <w:szCs w:val="20"/>
        </w:rPr>
        <w:t xml:space="preserve"> </w:t>
      </w:r>
      <w:r w:rsidR="00127B71" w:rsidRPr="00127B71">
        <w:t>sledování, hodnocení a předpovídání vývoje kvality ovzduší, počasí a klimatu a ozonové vrstvy Země</w:t>
      </w:r>
    </w:p>
    <w:p w:rsidR="00303E79" w:rsidRPr="00814D76" w:rsidRDefault="00303E79" w:rsidP="00303E79">
      <w:r w:rsidRPr="00617430">
        <w:t>Systémy sledování, hodnocení a předpovídání vývoje kvality ovzduší,</w:t>
      </w:r>
      <w:r w:rsidRPr="00AD339F">
        <w:t xml:space="preserve"> počasí a klimatu a ozonové vrstvy Země slouží k vyhodnocování současného stavu, předpovědi budoucího vývoje v krátkodobém </w:t>
      </w:r>
      <w:r w:rsidR="00C527DD">
        <w:t>i</w:t>
      </w:r>
      <w:r w:rsidRPr="00AD339F">
        <w:t xml:space="preserve"> dlouhodobém horizontu a </w:t>
      </w:r>
      <w:r w:rsidR="00C95AFB">
        <w:t xml:space="preserve">také k vyhodnocování účinnosti </w:t>
      </w:r>
      <w:r w:rsidRPr="00AD339F">
        <w:t>opatření ke zlepšení kvality ovzduší.</w:t>
      </w:r>
      <w:r w:rsidRPr="00814D76">
        <w:t xml:space="preserve"> Přínosem je zacílení prioritní osy na</w:t>
      </w:r>
      <w:r w:rsidR="007D184D">
        <w:t> </w:t>
      </w:r>
      <w:r w:rsidRPr="00814D76">
        <w:t>komplexní problematiku emisně – imisně – meteorologických vazeb.</w:t>
      </w:r>
    </w:p>
    <w:p w:rsidR="00303E79" w:rsidRPr="00A9413B" w:rsidRDefault="00303E79" w:rsidP="00303E79">
      <w:r w:rsidRPr="00A9413B">
        <w:t xml:space="preserve">Na základě balíčku EK „Čisté ovzduší pro Evropu“ vznikají další požadavky na monitoring kvality ovzduší a účinků znečištěného ovzduší nad rámec současné legislativy. Tyto požadavky bude nutné reflektovat v nastavení </w:t>
      </w:r>
      <w:r w:rsidR="00C527DD">
        <w:t xml:space="preserve">monitorovací </w:t>
      </w:r>
      <w:r w:rsidRPr="00A9413B">
        <w:t>sítě. Plánovaný rozvoj měřicích i</w:t>
      </w:r>
      <w:r w:rsidR="007D184D">
        <w:t> </w:t>
      </w:r>
      <w:r w:rsidRPr="00A9413B">
        <w:t xml:space="preserve">hodnotících </w:t>
      </w:r>
      <w:r w:rsidRPr="00A9413B">
        <w:lastRenderedPageBreak/>
        <w:t>nástrojů je veden snahou o zkvalitnění popisu znečištění ovzduší a přesnější zacílení nápravných opatření.</w:t>
      </w:r>
    </w:p>
    <w:p w:rsidR="00303E79" w:rsidRPr="00A9413B" w:rsidRDefault="00303E79" w:rsidP="00303E79">
      <w:r w:rsidRPr="00A9413B">
        <w:t>Sledování počasí a klimatu ve vazbě na sledování a hodnocení kvali</w:t>
      </w:r>
      <w:r w:rsidR="00533E44">
        <w:t xml:space="preserve">ty ovzduší je důležité zejména </w:t>
      </w:r>
      <w:r w:rsidRPr="00A9413B">
        <w:t>z důvodů hodnocení rozptylových, meteorologických a klimatických podmínek, které přímo ovlivňují kvalitu ovzduší. Podmínky transportu a rozptylu znečištění ovzduší jsou do</w:t>
      </w:r>
      <w:r w:rsidR="007D184D">
        <w:t> </w:t>
      </w:r>
      <w:r w:rsidRPr="00A9413B">
        <w:t>značné míry závislé na konkrétní meteorologické situaci. Velikost emise znečišťujících látek zejména z lokálních topenišť je významně ovlivněna variabilitou teploty a tím i změnami klimatického systému Země. Kvalita ovzduší souvisí také s ochranou ozonové vrstvy Země, a</w:t>
      </w:r>
      <w:r w:rsidR="007D184D">
        <w:t> </w:t>
      </w:r>
      <w:r w:rsidRPr="00A9413B">
        <w:t>to</w:t>
      </w:r>
      <w:r w:rsidR="007D184D">
        <w:t> </w:t>
      </w:r>
      <w:r w:rsidRPr="00A9413B">
        <w:t>mimo jiné z toho důvodu, že reakce probíhající v troposféře jsou závislé na intenzitě slunečního svitu. Jeho intenzita je zpětně ovlivňována i koncentracemi částic v atmosféře.</w:t>
      </w:r>
    </w:p>
    <w:p w:rsidR="00303E79" w:rsidRPr="00A9413B" w:rsidRDefault="00303E79" w:rsidP="00303E79">
      <w:r w:rsidRPr="00A9413B">
        <w:t>Na významu nabývá klimatick</w:t>
      </w:r>
      <w:r w:rsidR="00C527DD">
        <w:t>á</w:t>
      </w:r>
      <w:r w:rsidRPr="00A9413B">
        <w:t xml:space="preserve"> změn</w:t>
      </w:r>
      <w:r w:rsidR="00C527DD">
        <w:t>a</w:t>
      </w:r>
      <w:r w:rsidRPr="00A9413B">
        <w:t xml:space="preserve"> ve vazbě na znečištění ovzduší v síd</w:t>
      </w:r>
      <w:r w:rsidR="00C527DD">
        <w:t>lech</w:t>
      </w:r>
      <w:r w:rsidRPr="00A9413B">
        <w:t>. Zejména narůstající teplota, klesající vlhkost vzduchu a zesilující intenzita slunečního záření vč</w:t>
      </w:r>
      <w:r w:rsidR="00C527DD">
        <w:t>.</w:t>
      </w:r>
      <w:r w:rsidRPr="00A9413B">
        <w:t xml:space="preserve"> zvyšující se délky trvání slunečního svitu vytváří rizika zvyšování koncentrací přízemního ozónu oxidací těkavých organických látek ve znečištěných územích. Uvede</w:t>
      </w:r>
      <w:r w:rsidR="00D84262">
        <w:t>ná hlavní rizika jsou důvodem k </w:t>
      </w:r>
      <w:r w:rsidRPr="00A9413B">
        <w:t>tomu, aby byly v ko</w:t>
      </w:r>
      <w:r w:rsidR="00D84262">
        <w:t>ntextu stávající EU legislativy</w:t>
      </w:r>
      <w:r w:rsidRPr="00A9413B">
        <w:t xml:space="preserve"> akcentovány integrované analýzy kvality ovzduší a klimatu, zvláště v síd</w:t>
      </w:r>
      <w:r w:rsidR="00C527DD">
        <w:t>lech</w:t>
      </w:r>
      <w:r w:rsidRPr="00A9413B">
        <w:t>. T</w:t>
      </w:r>
      <w:r w:rsidR="00C527DD">
        <w:t>yto</w:t>
      </w:r>
      <w:r w:rsidRPr="00A9413B">
        <w:t xml:space="preserve"> analýzy vyžadují propojení kvalitních meteorologických a klimatologických databází s databázemi emisními a imisními.</w:t>
      </w:r>
    </w:p>
    <w:p w:rsidR="00303E79" w:rsidRDefault="00303E79">
      <w:r w:rsidRPr="00A9413B">
        <w:t>Další důležitou aktivitou v oblasti monitoringu je zdokonalování nástrojů pro modelování procesů probíhajících v atmosféře, které povede k lepší prostorové interpretaci naměřených dat a modelování v oblastech, kde není kvalita ovzduší sledována měřením. Meteorologické podmínky podchycené modelem jak v analýzách, tak v předpovědích, jsou určující nejen pro</w:t>
      </w:r>
      <w:r w:rsidR="007D184D">
        <w:t> </w:t>
      </w:r>
      <w:r w:rsidRPr="00A9413B">
        <w:t>výpočet transportu sledovaných látek, ale také pro jejich další transformace a zpětné interakce s počasím. Předpověď počasí a následná předpověď znečištění ovzduší je jednou ze</w:t>
      </w:r>
      <w:r w:rsidR="007D184D">
        <w:t> </w:t>
      </w:r>
      <w:r w:rsidRPr="00A9413B">
        <w:t>základních podmínek pro korektní vyhlašov</w:t>
      </w:r>
      <w:r w:rsidR="00533E44">
        <w:t>á</w:t>
      </w:r>
      <w:r w:rsidRPr="00A9413B">
        <w:t>ní signálů Smogového varovného a regulačního systému na území ČR a tím plnění krátkodobých akčních plánů ke zlepšení kvality ovzduší. Pro</w:t>
      </w:r>
      <w:r w:rsidR="007D184D">
        <w:t> </w:t>
      </w:r>
      <w:r w:rsidRPr="00A9413B">
        <w:t>přípravu dlouhodobých výhledů pravděpodobného klimatu v regionálním měřítku jsou nutné konzistentní časové řady jednotlivých klimatologických charakteristik, vycházející z</w:t>
      </w:r>
      <w:r w:rsidR="007D184D">
        <w:t> </w:t>
      </w:r>
      <w:r w:rsidRPr="00A9413B">
        <w:t>měření staničních sítí meteorologických a klimatologických stanic.</w:t>
      </w:r>
    </w:p>
    <w:p w:rsidR="00D1356A" w:rsidRPr="00BD4553" w:rsidRDefault="00D1356A">
      <w:r>
        <w:t xml:space="preserve">V neposlední řadě je nutné věnovat pozornost tak identifikaci zdrojů znečišťování ovzduší, která povede ke správnému zacílení řízení kvality ovzduší a monitoringu účinků. Správná identifikace zdrojů vyžaduje propojení </w:t>
      </w:r>
      <w:r w:rsidRPr="00A9413B">
        <w:t>kvalitních meteorologickýc</w:t>
      </w:r>
      <w:r>
        <w:t>h a klimatologických databází s </w:t>
      </w:r>
      <w:r w:rsidRPr="00A9413B">
        <w:t>databázemi emisními a imisními</w:t>
      </w:r>
      <w:r>
        <w:t>.</w:t>
      </w:r>
    </w:p>
    <w:p w:rsidR="005F119E" w:rsidRPr="003D10F9" w:rsidRDefault="005F119E" w:rsidP="007D184D">
      <w:pPr>
        <w:spacing w:after="0" w:afterAutospacing="0"/>
        <w:rPr>
          <w:b/>
          <w:iCs/>
        </w:rPr>
      </w:pPr>
      <w:bookmarkStart w:id="2352" w:name="_Toc384907355"/>
      <w:r w:rsidRPr="003D10F9">
        <w:rPr>
          <w:b/>
        </w:rPr>
        <w:t>Stav, který chceme dosáhnout k roku 2020:</w:t>
      </w:r>
      <w:bookmarkEnd w:id="2352"/>
    </w:p>
    <w:p w:rsidR="005F119E" w:rsidRDefault="005F119E" w:rsidP="00495FC1">
      <w:pPr>
        <w:pStyle w:val="Odstavecseseznamem"/>
        <w:numPr>
          <w:ilvl w:val="0"/>
          <w:numId w:val="9"/>
        </w:numPr>
        <w:spacing w:after="0" w:afterAutospacing="0"/>
        <w:rPr>
          <w:rFonts w:cs="Times New Roman"/>
        </w:rPr>
      </w:pPr>
      <w:r w:rsidRPr="009F4BA6">
        <w:rPr>
          <w:rFonts w:cs="Cambria"/>
          <w:color w:val="000000"/>
        </w:rPr>
        <w:t>Získat relevantní data o stavu atmosféry na místech s nejvyšší vypovídající schopností</w:t>
      </w:r>
      <w:r w:rsidRPr="009F4BA6">
        <w:rPr>
          <w:rFonts w:cs="Times New Roman"/>
        </w:rPr>
        <w:t>.</w:t>
      </w:r>
    </w:p>
    <w:p w:rsidR="004B6C19" w:rsidRDefault="004B6C19" w:rsidP="004B6C19">
      <w:pPr>
        <w:spacing w:after="0" w:afterAutospacing="0"/>
        <w:rPr>
          <w:rFonts w:cs="Times New Roman"/>
        </w:rPr>
      </w:pPr>
    </w:p>
    <w:p w:rsidR="004B6C19" w:rsidRDefault="004B6C19" w:rsidP="004B6C19">
      <w:pPr>
        <w:spacing w:after="0" w:afterAutospacing="0"/>
        <w:rPr>
          <w:rFonts w:cs="Times New Roman"/>
        </w:rPr>
      </w:pPr>
    </w:p>
    <w:p w:rsidR="004B6C19" w:rsidRDefault="004B6C19" w:rsidP="004B6C19">
      <w:pPr>
        <w:spacing w:after="0" w:afterAutospacing="0"/>
        <w:rPr>
          <w:rFonts w:cs="Times New Roman"/>
        </w:rPr>
      </w:pPr>
    </w:p>
    <w:p w:rsidR="004B6C19" w:rsidRDefault="004B6C19" w:rsidP="004B6C19">
      <w:pPr>
        <w:spacing w:after="0" w:afterAutospacing="0"/>
        <w:rPr>
          <w:rFonts w:cs="Times New Roman"/>
        </w:rPr>
      </w:pPr>
    </w:p>
    <w:p w:rsidR="004B6C19" w:rsidRPr="004B6C19" w:rsidRDefault="004B6C19" w:rsidP="004B6C19">
      <w:pPr>
        <w:spacing w:after="0" w:afterAutospacing="0"/>
        <w:rPr>
          <w:rFonts w:cs="Times New Roman"/>
        </w:rPr>
      </w:pPr>
    </w:p>
    <w:p w:rsidR="007D184D" w:rsidRPr="00CB78B6" w:rsidRDefault="007D184D" w:rsidP="007D184D">
      <w:pPr>
        <w:pStyle w:val="Odstavecseseznamem"/>
        <w:spacing w:after="0" w:afterAutospacing="0"/>
        <w:rPr>
          <w:rFonts w:cs="Times New Roman"/>
        </w:rPr>
      </w:pPr>
    </w:p>
    <w:p w:rsidR="005F119E" w:rsidRPr="004314F4" w:rsidRDefault="005F119E" w:rsidP="00165854">
      <w:pPr>
        <w:pStyle w:val="Titulek"/>
      </w:pPr>
      <w:bookmarkStart w:id="2353" w:name="_Toc384907356"/>
      <w:r w:rsidRPr="004314F4">
        <w:lastRenderedPageBreak/>
        <w:t xml:space="preserve">Specifické </w:t>
      </w:r>
      <w:r w:rsidR="00973425">
        <w:t>programové ukazatele</w:t>
      </w:r>
      <w:r w:rsidRPr="004314F4">
        <w:t xml:space="preserve"> výsledků pro SC 2.</w:t>
      </w:r>
      <w:r w:rsidR="009A0BF5">
        <w:t>3</w:t>
      </w:r>
      <w:bookmarkEnd w:id="2353"/>
    </w:p>
    <w:tbl>
      <w:tblPr>
        <w:tblStyle w:val="Mkatabulky"/>
        <w:tblW w:w="9072" w:type="dxa"/>
        <w:tblInd w:w="108" w:type="dxa"/>
        <w:tblLayout w:type="fixed"/>
        <w:tblLook w:val="04A0" w:firstRow="1" w:lastRow="0" w:firstColumn="1" w:lastColumn="0" w:noHBand="0" w:noVBand="1"/>
      </w:tblPr>
      <w:tblGrid>
        <w:gridCol w:w="709"/>
        <w:gridCol w:w="1559"/>
        <w:gridCol w:w="993"/>
        <w:gridCol w:w="850"/>
        <w:gridCol w:w="992"/>
        <w:gridCol w:w="851"/>
        <w:gridCol w:w="850"/>
        <w:gridCol w:w="1134"/>
        <w:gridCol w:w="1134"/>
      </w:tblGrid>
      <w:tr w:rsidR="00973425" w:rsidRPr="008E48B9" w:rsidTr="005472D1">
        <w:tc>
          <w:tcPr>
            <w:tcW w:w="709" w:type="dxa"/>
            <w:tcBorders>
              <w:bottom w:val="single" w:sz="12" w:space="0" w:color="auto"/>
            </w:tcBorders>
            <w:shd w:val="clear" w:color="auto" w:fill="BFBFBF" w:themeFill="background1" w:themeFillShade="BF"/>
            <w:hideMark/>
          </w:tcPr>
          <w:p w:rsidR="00973425" w:rsidRPr="003A2CB2" w:rsidRDefault="00973425" w:rsidP="00B66FDE">
            <w:pPr>
              <w:rPr>
                <w:rFonts w:eastAsia="Times New Roman" w:cs="Times New Roman"/>
                <w:b/>
                <w:sz w:val="20"/>
                <w:szCs w:val="20"/>
              </w:rPr>
            </w:pPr>
            <w:r w:rsidRPr="003A2CB2">
              <w:rPr>
                <w:rFonts w:eastAsia="Times New Roman" w:cs="Times New Roman"/>
                <w:b/>
                <w:sz w:val="20"/>
                <w:szCs w:val="20"/>
              </w:rPr>
              <w:t>ID</w:t>
            </w:r>
          </w:p>
        </w:tc>
        <w:tc>
          <w:tcPr>
            <w:tcW w:w="1559" w:type="dxa"/>
            <w:tcBorders>
              <w:bottom w:val="single" w:sz="12" w:space="0" w:color="auto"/>
            </w:tcBorders>
            <w:shd w:val="clear" w:color="auto" w:fill="BFBFBF" w:themeFill="background1" w:themeFillShade="BF"/>
            <w:hideMark/>
          </w:tcPr>
          <w:p w:rsidR="00973425" w:rsidRPr="003A2CB2" w:rsidRDefault="00973425" w:rsidP="00B66FDE">
            <w:pPr>
              <w:spacing w:line="276" w:lineRule="auto"/>
              <w:rPr>
                <w:rFonts w:eastAsia="Times New Roman" w:cs="Times New Roman"/>
                <w:b/>
                <w:sz w:val="20"/>
                <w:szCs w:val="20"/>
              </w:rPr>
            </w:pPr>
            <w:r w:rsidRPr="003A2CB2">
              <w:rPr>
                <w:rFonts w:eastAsia="Times New Roman" w:cs="Times New Roman"/>
                <w:b/>
                <w:sz w:val="20"/>
                <w:szCs w:val="20"/>
              </w:rPr>
              <w:t>Ukazatel</w:t>
            </w:r>
          </w:p>
        </w:tc>
        <w:tc>
          <w:tcPr>
            <w:tcW w:w="993" w:type="dxa"/>
            <w:tcBorders>
              <w:bottom w:val="single" w:sz="12" w:space="0" w:color="auto"/>
            </w:tcBorders>
            <w:shd w:val="clear" w:color="auto" w:fill="BFBFBF" w:themeFill="background1" w:themeFillShade="BF"/>
            <w:hideMark/>
          </w:tcPr>
          <w:p w:rsidR="00973425" w:rsidRPr="003A2CB2" w:rsidRDefault="0033290F" w:rsidP="00B66FDE">
            <w:pPr>
              <w:spacing w:line="276" w:lineRule="auto"/>
              <w:rPr>
                <w:rFonts w:eastAsia="Times New Roman" w:cs="Times New Roman"/>
                <w:b/>
                <w:sz w:val="20"/>
                <w:szCs w:val="20"/>
              </w:rPr>
            </w:pPr>
            <w:r w:rsidRPr="0033290F">
              <w:rPr>
                <w:rFonts w:eastAsia="Times New Roman" w:cs="Times New Roman"/>
                <w:b/>
                <w:sz w:val="20"/>
                <w:szCs w:val="20"/>
              </w:rPr>
              <w:t>Měrná jednotka</w:t>
            </w:r>
          </w:p>
        </w:tc>
        <w:tc>
          <w:tcPr>
            <w:tcW w:w="850" w:type="dxa"/>
            <w:tcBorders>
              <w:bottom w:val="single" w:sz="12" w:space="0" w:color="auto"/>
            </w:tcBorders>
            <w:shd w:val="clear" w:color="auto" w:fill="BFBFBF" w:themeFill="background1" w:themeFillShade="BF"/>
          </w:tcPr>
          <w:p w:rsidR="00973425" w:rsidRPr="003A2CB2" w:rsidRDefault="0033290F" w:rsidP="00B66FDE">
            <w:pPr>
              <w:spacing w:line="276" w:lineRule="auto"/>
              <w:rPr>
                <w:rFonts w:eastAsia="Times New Roman" w:cs="Times New Roman"/>
                <w:b/>
                <w:sz w:val="20"/>
                <w:szCs w:val="20"/>
              </w:rPr>
            </w:pPr>
            <w:r w:rsidRPr="0033290F">
              <w:rPr>
                <w:rFonts w:eastAsia="Times New Roman" w:cs="Times New Roman"/>
                <w:b/>
                <w:sz w:val="20"/>
                <w:szCs w:val="20"/>
              </w:rPr>
              <w:t>Kategorie regionů</w:t>
            </w:r>
          </w:p>
        </w:tc>
        <w:tc>
          <w:tcPr>
            <w:tcW w:w="992" w:type="dxa"/>
            <w:tcBorders>
              <w:bottom w:val="single" w:sz="12" w:space="0" w:color="auto"/>
            </w:tcBorders>
            <w:shd w:val="clear" w:color="auto" w:fill="BFBFBF" w:themeFill="background1" w:themeFillShade="BF"/>
            <w:hideMark/>
          </w:tcPr>
          <w:p w:rsidR="00973425" w:rsidRPr="003A2CB2" w:rsidRDefault="0033290F" w:rsidP="00B66FDE">
            <w:pPr>
              <w:spacing w:line="276" w:lineRule="auto"/>
              <w:rPr>
                <w:rFonts w:eastAsia="Times New Roman" w:cs="Times New Roman"/>
                <w:b/>
                <w:sz w:val="20"/>
                <w:szCs w:val="20"/>
              </w:rPr>
            </w:pPr>
            <w:r w:rsidRPr="0033290F">
              <w:rPr>
                <w:rFonts w:eastAsia="Times New Roman" w:cs="Times New Roman"/>
                <w:b/>
                <w:sz w:val="20"/>
                <w:szCs w:val="20"/>
              </w:rPr>
              <w:t>Výchozí hodnota</w:t>
            </w:r>
          </w:p>
        </w:tc>
        <w:tc>
          <w:tcPr>
            <w:tcW w:w="851" w:type="dxa"/>
            <w:tcBorders>
              <w:bottom w:val="single" w:sz="12" w:space="0" w:color="auto"/>
            </w:tcBorders>
            <w:shd w:val="clear" w:color="auto" w:fill="BFBFBF" w:themeFill="background1" w:themeFillShade="BF"/>
            <w:hideMark/>
          </w:tcPr>
          <w:p w:rsidR="00973425" w:rsidRPr="003A2CB2" w:rsidRDefault="0033290F" w:rsidP="00B66FDE">
            <w:pPr>
              <w:spacing w:line="276" w:lineRule="auto"/>
              <w:rPr>
                <w:rFonts w:eastAsia="Times New Roman" w:cs="Times New Roman"/>
                <w:b/>
                <w:sz w:val="20"/>
                <w:szCs w:val="20"/>
              </w:rPr>
            </w:pPr>
            <w:r w:rsidRPr="0033290F">
              <w:rPr>
                <w:rFonts w:eastAsia="Times New Roman" w:cs="Times New Roman"/>
                <w:b/>
                <w:sz w:val="20"/>
                <w:szCs w:val="20"/>
              </w:rPr>
              <w:t>Výchozí rok</w:t>
            </w:r>
          </w:p>
        </w:tc>
        <w:tc>
          <w:tcPr>
            <w:tcW w:w="850" w:type="dxa"/>
            <w:tcBorders>
              <w:bottom w:val="single" w:sz="12" w:space="0" w:color="auto"/>
            </w:tcBorders>
            <w:shd w:val="clear" w:color="auto" w:fill="BFBFBF" w:themeFill="background1" w:themeFillShade="BF"/>
            <w:hideMark/>
          </w:tcPr>
          <w:p w:rsidR="00973425" w:rsidRPr="003A2CB2" w:rsidRDefault="0033290F" w:rsidP="00B66FDE">
            <w:pPr>
              <w:spacing w:line="276" w:lineRule="auto"/>
              <w:rPr>
                <w:rFonts w:eastAsia="Times New Roman" w:cs="Times New Roman"/>
                <w:b/>
                <w:sz w:val="20"/>
                <w:szCs w:val="20"/>
              </w:rPr>
            </w:pPr>
            <w:r w:rsidRPr="0033290F">
              <w:rPr>
                <w:rFonts w:eastAsia="Times New Roman" w:cs="Times New Roman"/>
                <w:b/>
                <w:sz w:val="20"/>
                <w:szCs w:val="20"/>
              </w:rPr>
              <w:t>Cílová hodnota (2023)</w:t>
            </w:r>
          </w:p>
        </w:tc>
        <w:tc>
          <w:tcPr>
            <w:tcW w:w="1134" w:type="dxa"/>
            <w:tcBorders>
              <w:bottom w:val="single" w:sz="12" w:space="0" w:color="auto"/>
            </w:tcBorders>
            <w:shd w:val="clear" w:color="auto" w:fill="BFBFBF" w:themeFill="background1" w:themeFillShade="BF"/>
            <w:hideMark/>
          </w:tcPr>
          <w:p w:rsidR="00973425" w:rsidRPr="003A2CB2" w:rsidRDefault="0033290F" w:rsidP="00B66FDE">
            <w:pPr>
              <w:spacing w:line="276" w:lineRule="auto"/>
              <w:rPr>
                <w:rFonts w:eastAsia="Times New Roman" w:cs="Times New Roman"/>
                <w:b/>
                <w:sz w:val="20"/>
                <w:szCs w:val="20"/>
              </w:rPr>
            </w:pPr>
            <w:r w:rsidRPr="0033290F">
              <w:rPr>
                <w:rFonts w:eastAsia="Times New Roman" w:cs="Times New Roman"/>
                <w:b/>
                <w:sz w:val="20"/>
                <w:szCs w:val="20"/>
              </w:rPr>
              <w:t>Zdroj údajů</w:t>
            </w:r>
          </w:p>
        </w:tc>
        <w:tc>
          <w:tcPr>
            <w:tcW w:w="1134" w:type="dxa"/>
            <w:tcBorders>
              <w:bottom w:val="single" w:sz="12" w:space="0" w:color="auto"/>
            </w:tcBorders>
            <w:shd w:val="clear" w:color="auto" w:fill="BFBFBF" w:themeFill="background1" w:themeFillShade="BF"/>
            <w:hideMark/>
          </w:tcPr>
          <w:p w:rsidR="00973425" w:rsidRPr="003A2CB2" w:rsidRDefault="0033290F" w:rsidP="00B66FDE">
            <w:pPr>
              <w:spacing w:line="276" w:lineRule="auto"/>
              <w:rPr>
                <w:rFonts w:eastAsia="Times New Roman" w:cs="Times New Roman"/>
                <w:b/>
                <w:sz w:val="20"/>
                <w:szCs w:val="20"/>
              </w:rPr>
            </w:pPr>
            <w:r w:rsidRPr="0033290F">
              <w:rPr>
                <w:rFonts w:eastAsia="Times New Roman" w:cs="Times New Roman"/>
                <w:b/>
                <w:sz w:val="20"/>
                <w:szCs w:val="20"/>
              </w:rPr>
              <w:t>Četnost podávání zpráv</w:t>
            </w:r>
          </w:p>
        </w:tc>
      </w:tr>
      <w:tr w:rsidR="00973425" w:rsidRPr="008E48B9" w:rsidTr="005472D1">
        <w:tc>
          <w:tcPr>
            <w:tcW w:w="709" w:type="dxa"/>
            <w:tcBorders>
              <w:top w:val="single" w:sz="12" w:space="0" w:color="auto"/>
            </w:tcBorders>
          </w:tcPr>
          <w:p w:rsidR="00973425" w:rsidRPr="003A2CB2" w:rsidRDefault="0001146D" w:rsidP="0001146D">
            <w:pPr>
              <w:rPr>
                <w:rFonts w:eastAsia="Times New Roman" w:cs="Times New Roman"/>
                <w:sz w:val="20"/>
                <w:szCs w:val="20"/>
              </w:rPr>
            </w:pPr>
            <w:r>
              <w:rPr>
                <w:rFonts w:eastAsia="Times New Roman" w:cs="Times New Roman"/>
                <w:sz w:val="20"/>
                <w:szCs w:val="20"/>
              </w:rPr>
              <w:t>3</w:t>
            </w:r>
            <w:r w:rsidRPr="0001146D">
              <w:rPr>
                <w:rFonts w:eastAsia="Times New Roman" w:cs="Times New Roman"/>
                <w:sz w:val="20"/>
                <w:szCs w:val="20"/>
              </w:rPr>
              <w:t>7010</w:t>
            </w:r>
          </w:p>
        </w:tc>
        <w:tc>
          <w:tcPr>
            <w:tcW w:w="1559" w:type="dxa"/>
            <w:tcBorders>
              <w:top w:val="single" w:sz="12" w:space="0" w:color="auto"/>
            </w:tcBorders>
          </w:tcPr>
          <w:p w:rsidR="00973425" w:rsidRPr="003A2CB2" w:rsidRDefault="00973425" w:rsidP="00B66FDE">
            <w:pPr>
              <w:spacing w:line="276" w:lineRule="auto"/>
              <w:rPr>
                <w:rFonts w:ascii="Times New Roman" w:hAnsi="Times New Roman" w:cs="Times New Roman"/>
                <w:sz w:val="20"/>
                <w:szCs w:val="20"/>
              </w:rPr>
            </w:pPr>
            <w:r w:rsidRPr="003A2CB2">
              <w:rPr>
                <w:sz w:val="20"/>
                <w:szCs w:val="20"/>
              </w:rPr>
              <w:t>Zvýšení celkového počtu pracovišť a zmodernizovaných pracovišť pro sledování, hodnocení a předpovídání vývoje kvality ovzduší, počasí, klimatu a ozonové vrstvy Země</w:t>
            </w:r>
          </w:p>
        </w:tc>
        <w:tc>
          <w:tcPr>
            <w:tcW w:w="993" w:type="dxa"/>
            <w:tcBorders>
              <w:top w:val="single" w:sz="12" w:space="0" w:color="auto"/>
            </w:tcBorders>
          </w:tcPr>
          <w:p w:rsidR="00973425" w:rsidRPr="003A2CB2" w:rsidRDefault="0033290F" w:rsidP="00B66FDE">
            <w:pPr>
              <w:spacing w:line="276" w:lineRule="auto"/>
              <w:rPr>
                <w:rFonts w:ascii="Times New Roman" w:hAnsi="Times New Roman" w:cs="Times New Roman"/>
                <w:sz w:val="20"/>
                <w:szCs w:val="20"/>
              </w:rPr>
            </w:pPr>
            <w:r w:rsidRPr="0033290F">
              <w:rPr>
                <w:sz w:val="20"/>
                <w:szCs w:val="20"/>
              </w:rPr>
              <w:t>Pracoviště</w:t>
            </w:r>
          </w:p>
        </w:tc>
        <w:tc>
          <w:tcPr>
            <w:tcW w:w="850" w:type="dxa"/>
            <w:tcBorders>
              <w:top w:val="single" w:sz="12" w:space="0" w:color="auto"/>
            </w:tcBorders>
          </w:tcPr>
          <w:p w:rsidR="00973425" w:rsidRPr="003A2CB2" w:rsidRDefault="0033290F" w:rsidP="00B66FDE">
            <w:pPr>
              <w:spacing w:line="276" w:lineRule="auto"/>
              <w:rPr>
                <w:rFonts w:ascii="Times New Roman" w:hAnsi="Times New Roman" w:cs="Times New Roman"/>
                <w:sz w:val="20"/>
                <w:szCs w:val="20"/>
              </w:rPr>
            </w:pPr>
            <w:r w:rsidRPr="0033290F">
              <w:rPr>
                <w:sz w:val="20"/>
                <w:szCs w:val="20"/>
              </w:rPr>
              <w:t>Není relevantní</w:t>
            </w:r>
          </w:p>
        </w:tc>
        <w:tc>
          <w:tcPr>
            <w:tcW w:w="992" w:type="dxa"/>
            <w:tcBorders>
              <w:top w:val="single" w:sz="12" w:space="0" w:color="auto"/>
            </w:tcBorders>
          </w:tcPr>
          <w:p w:rsidR="00973425" w:rsidRPr="003A2CB2" w:rsidRDefault="0033290F" w:rsidP="00B66FDE">
            <w:pPr>
              <w:spacing w:line="276" w:lineRule="auto"/>
              <w:rPr>
                <w:rFonts w:ascii="Times New Roman" w:hAnsi="Times New Roman" w:cs="Times New Roman"/>
                <w:sz w:val="20"/>
                <w:szCs w:val="20"/>
              </w:rPr>
            </w:pPr>
            <w:r w:rsidRPr="0033290F">
              <w:rPr>
                <w:rFonts w:ascii="Times New Roman" w:hAnsi="Times New Roman" w:cs="Times New Roman"/>
                <w:sz w:val="20"/>
                <w:szCs w:val="20"/>
              </w:rPr>
              <w:t>0</w:t>
            </w:r>
          </w:p>
        </w:tc>
        <w:tc>
          <w:tcPr>
            <w:tcW w:w="851" w:type="dxa"/>
            <w:tcBorders>
              <w:top w:val="single" w:sz="12" w:space="0" w:color="auto"/>
            </w:tcBorders>
          </w:tcPr>
          <w:p w:rsidR="00973425" w:rsidRPr="003A2CB2" w:rsidRDefault="0033290F" w:rsidP="00B66FDE">
            <w:pPr>
              <w:spacing w:line="276" w:lineRule="auto"/>
              <w:rPr>
                <w:rFonts w:ascii="Times New Roman" w:hAnsi="Times New Roman" w:cs="Times New Roman"/>
                <w:sz w:val="20"/>
                <w:szCs w:val="20"/>
              </w:rPr>
            </w:pPr>
            <w:r w:rsidRPr="0033290F">
              <w:rPr>
                <w:sz w:val="20"/>
                <w:szCs w:val="20"/>
              </w:rPr>
              <w:t>2014</w:t>
            </w:r>
          </w:p>
        </w:tc>
        <w:tc>
          <w:tcPr>
            <w:tcW w:w="850" w:type="dxa"/>
            <w:tcBorders>
              <w:top w:val="single" w:sz="12" w:space="0" w:color="auto"/>
            </w:tcBorders>
          </w:tcPr>
          <w:p w:rsidR="00973425" w:rsidRPr="003A2CB2" w:rsidRDefault="0033290F" w:rsidP="00B66FDE">
            <w:pPr>
              <w:spacing w:line="276" w:lineRule="auto"/>
              <w:rPr>
                <w:rFonts w:ascii="Times New Roman" w:hAnsi="Times New Roman" w:cs="Times New Roman"/>
                <w:sz w:val="20"/>
                <w:szCs w:val="20"/>
              </w:rPr>
            </w:pPr>
            <w:r w:rsidRPr="0033290F">
              <w:rPr>
                <w:sz w:val="20"/>
                <w:szCs w:val="20"/>
              </w:rPr>
              <w:t>20 </w:t>
            </w:r>
          </w:p>
        </w:tc>
        <w:tc>
          <w:tcPr>
            <w:tcW w:w="1134" w:type="dxa"/>
            <w:tcBorders>
              <w:top w:val="single" w:sz="12" w:space="0" w:color="auto"/>
            </w:tcBorders>
          </w:tcPr>
          <w:p w:rsidR="00973425" w:rsidRPr="003A2CB2" w:rsidRDefault="0033290F" w:rsidP="00B66FDE">
            <w:pPr>
              <w:spacing w:line="276" w:lineRule="auto"/>
              <w:rPr>
                <w:rFonts w:ascii="Times New Roman" w:hAnsi="Times New Roman" w:cs="Times New Roman"/>
                <w:sz w:val="20"/>
                <w:szCs w:val="20"/>
              </w:rPr>
            </w:pPr>
            <w:r w:rsidRPr="0033290F">
              <w:rPr>
                <w:sz w:val="20"/>
                <w:szCs w:val="20"/>
              </w:rPr>
              <w:t>Žadatel/příjemce</w:t>
            </w:r>
          </w:p>
        </w:tc>
        <w:tc>
          <w:tcPr>
            <w:tcW w:w="1134" w:type="dxa"/>
            <w:tcBorders>
              <w:top w:val="single" w:sz="12" w:space="0" w:color="auto"/>
            </w:tcBorders>
          </w:tcPr>
          <w:p w:rsidR="00973425" w:rsidRPr="003A2CB2" w:rsidRDefault="0033290F" w:rsidP="00B66FDE">
            <w:pPr>
              <w:spacing w:line="276" w:lineRule="auto"/>
              <w:rPr>
                <w:rFonts w:ascii="Times New Roman" w:hAnsi="Times New Roman" w:cs="Times New Roman"/>
                <w:sz w:val="20"/>
                <w:szCs w:val="20"/>
              </w:rPr>
            </w:pPr>
            <w:r w:rsidRPr="0033290F">
              <w:rPr>
                <w:sz w:val="20"/>
                <w:szCs w:val="20"/>
              </w:rPr>
              <w:t>Průběžně </w:t>
            </w:r>
          </w:p>
        </w:tc>
      </w:tr>
      <w:tr w:rsidR="00973425" w:rsidRPr="008E48B9" w:rsidTr="005472D1">
        <w:tc>
          <w:tcPr>
            <w:tcW w:w="709" w:type="dxa"/>
          </w:tcPr>
          <w:p w:rsidR="00973425" w:rsidRPr="003A2CB2" w:rsidRDefault="0001146D" w:rsidP="0001146D">
            <w:pPr>
              <w:rPr>
                <w:rFonts w:eastAsia="Times New Roman" w:cs="Times New Roman"/>
                <w:sz w:val="20"/>
                <w:szCs w:val="20"/>
              </w:rPr>
            </w:pPr>
            <w:r>
              <w:rPr>
                <w:rFonts w:eastAsia="Times New Roman" w:cs="Times New Roman"/>
                <w:sz w:val="20"/>
                <w:szCs w:val="20"/>
              </w:rPr>
              <w:t>3</w:t>
            </w:r>
            <w:r w:rsidRPr="0001146D">
              <w:rPr>
                <w:rFonts w:eastAsia="Times New Roman" w:cs="Times New Roman"/>
                <w:sz w:val="20"/>
                <w:szCs w:val="20"/>
              </w:rPr>
              <w:t>7011</w:t>
            </w:r>
          </w:p>
        </w:tc>
        <w:tc>
          <w:tcPr>
            <w:tcW w:w="1559" w:type="dxa"/>
          </w:tcPr>
          <w:p w:rsidR="00973425" w:rsidRPr="003A2CB2" w:rsidRDefault="00973425" w:rsidP="00B66FDE">
            <w:pPr>
              <w:spacing w:line="276" w:lineRule="auto"/>
              <w:rPr>
                <w:rFonts w:ascii="Times New Roman" w:hAnsi="Times New Roman" w:cs="Times New Roman"/>
                <w:sz w:val="20"/>
                <w:szCs w:val="20"/>
              </w:rPr>
            </w:pPr>
            <w:r w:rsidRPr="003A2CB2">
              <w:rPr>
                <w:sz w:val="20"/>
                <w:szCs w:val="20"/>
              </w:rPr>
              <w:t>Zvýšení celkového počtu měřicích stanic nebo počtu zrekonstruovaných stanic pro sledování kvality ovzduší, počasí, klimatu a ozonové vrstvy Země včetně jejich vybavení</w:t>
            </w:r>
          </w:p>
        </w:tc>
        <w:tc>
          <w:tcPr>
            <w:tcW w:w="993" w:type="dxa"/>
          </w:tcPr>
          <w:p w:rsidR="00973425" w:rsidRPr="003A2CB2" w:rsidRDefault="0033290F" w:rsidP="00B66FDE">
            <w:pPr>
              <w:spacing w:line="276" w:lineRule="auto"/>
              <w:rPr>
                <w:rFonts w:ascii="Times New Roman" w:hAnsi="Times New Roman" w:cs="Times New Roman"/>
                <w:sz w:val="20"/>
                <w:szCs w:val="20"/>
              </w:rPr>
            </w:pPr>
            <w:r w:rsidRPr="0033290F">
              <w:rPr>
                <w:sz w:val="20"/>
                <w:szCs w:val="20"/>
              </w:rPr>
              <w:t>Stanice</w:t>
            </w:r>
          </w:p>
        </w:tc>
        <w:tc>
          <w:tcPr>
            <w:tcW w:w="850" w:type="dxa"/>
          </w:tcPr>
          <w:p w:rsidR="00973425" w:rsidRPr="003A2CB2" w:rsidRDefault="0033290F" w:rsidP="00B66FDE">
            <w:pPr>
              <w:spacing w:line="276" w:lineRule="auto"/>
              <w:rPr>
                <w:rFonts w:ascii="Times New Roman" w:hAnsi="Times New Roman" w:cs="Times New Roman"/>
                <w:sz w:val="20"/>
                <w:szCs w:val="20"/>
              </w:rPr>
            </w:pPr>
            <w:r w:rsidRPr="0033290F">
              <w:rPr>
                <w:sz w:val="20"/>
                <w:szCs w:val="20"/>
              </w:rPr>
              <w:t>Není relevantní</w:t>
            </w:r>
          </w:p>
        </w:tc>
        <w:tc>
          <w:tcPr>
            <w:tcW w:w="992" w:type="dxa"/>
          </w:tcPr>
          <w:p w:rsidR="00973425" w:rsidRPr="003A2CB2" w:rsidRDefault="0033290F" w:rsidP="00B66FDE">
            <w:pPr>
              <w:spacing w:line="276" w:lineRule="auto"/>
              <w:rPr>
                <w:rFonts w:ascii="Times New Roman" w:hAnsi="Times New Roman" w:cs="Times New Roman"/>
                <w:sz w:val="20"/>
                <w:szCs w:val="20"/>
              </w:rPr>
            </w:pPr>
            <w:r w:rsidRPr="0033290F">
              <w:rPr>
                <w:rFonts w:ascii="Times New Roman" w:hAnsi="Times New Roman" w:cs="Times New Roman"/>
                <w:sz w:val="20"/>
                <w:szCs w:val="20"/>
              </w:rPr>
              <w:t>0</w:t>
            </w:r>
          </w:p>
        </w:tc>
        <w:tc>
          <w:tcPr>
            <w:tcW w:w="851" w:type="dxa"/>
          </w:tcPr>
          <w:p w:rsidR="00973425" w:rsidRPr="003A2CB2" w:rsidRDefault="0033290F" w:rsidP="00B66FDE">
            <w:pPr>
              <w:spacing w:line="276" w:lineRule="auto"/>
              <w:rPr>
                <w:rFonts w:ascii="Times New Roman" w:hAnsi="Times New Roman" w:cs="Times New Roman"/>
                <w:sz w:val="20"/>
                <w:szCs w:val="20"/>
              </w:rPr>
            </w:pPr>
            <w:r w:rsidRPr="0033290F">
              <w:rPr>
                <w:sz w:val="20"/>
                <w:szCs w:val="20"/>
              </w:rPr>
              <w:t>2014</w:t>
            </w:r>
          </w:p>
        </w:tc>
        <w:tc>
          <w:tcPr>
            <w:tcW w:w="850" w:type="dxa"/>
          </w:tcPr>
          <w:p w:rsidR="00973425" w:rsidRPr="003A2CB2" w:rsidRDefault="0033290F" w:rsidP="00B66FDE">
            <w:pPr>
              <w:spacing w:line="276" w:lineRule="auto"/>
              <w:rPr>
                <w:rFonts w:ascii="Times New Roman" w:hAnsi="Times New Roman" w:cs="Times New Roman"/>
                <w:sz w:val="20"/>
                <w:szCs w:val="20"/>
              </w:rPr>
            </w:pPr>
            <w:r w:rsidRPr="0033290F">
              <w:rPr>
                <w:sz w:val="20"/>
                <w:szCs w:val="20"/>
              </w:rPr>
              <w:t>150 </w:t>
            </w:r>
          </w:p>
        </w:tc>
        <w:tc>
          <w:tcPr>
            <w:tcW w:w="1134" w:type="dxa"/>
          </w:tcPr>
          <w:p w:rsidR="00973425" w:rsidRPr="003A2CB2" w:rsidRDefault="0033290F" w:rsidP="00B66FDE">
            <w:pPr>
              <w:spacing w:line="276" w:lineRule="auto"/>
              <w:rPr>
                <w:rFonts w:ascii="Times New Roman" w:hAnsi="Times New Roman" w:cs="Times New Roman"/>
                <w:sz w:val="20"/>
                <w:szCs w:val="20"/>
              </w:rPr>
            </w:pPr>
            <w:r w:rsidRPr="0033290F">
              <w:rPr>
                <w:sz w:val="20"/>
                <w:szCs w:val="20"/>
              </w:rPr>
              <w:t>Žadatel/příjemce</w:t>
            </w:r>
          </w:p>
        </w:tc>
        <w:tc>
          <w:tcPr>
            <w:tcW w:w="1134" w:type="dxa"/>
          </w:tcPr>
          <w:p w:rsidR="00973425" w:rsidRPr="003A2CB2" w:rsidRDefault="0033290F" w:rsidP="00B66FDE">
            <w:pPr>
              <w:spacing w:line="276" w:lineRule="auto"/>
              <w:rPr>
                <w:rFonts w:ascii="Times New Roman" w:hAnsi="Times New Roman" w:cs="Times New Roman"/>
                <w:sz w:val="20"/>
                <w:szCs w:val="20"/>
              </w:rPr>
            </w:pPr>
            <w:r w:rsidRPr="0033290F">
              <w:rPr>
                <w:sz w:val="20"/>
                <w:szCs w:val="20"/>
              </w:rPr>
              <w:t>Průběžně </w:t>
            </w:r>
          </w:p>
        </w:tc>
      </w:tr>
    </w:tbl>
    <w:p w:rsidR="00DD535A" w:rsidRPr="004314F4" w:rsidRDefault="00DD535A" w:rsidP="00B66FDE"/>
    <w:p w:rsidR="005F119E" w:rsidRPr="004314F4" w:rsidRDefault="00973425" w:rsidP="00165854">
      <w:pPr>
        <w:pStyle w:val="Nadpis4"/>
      </w:pPr>
      <w:bookmarkStart w:id="2354" w:name="_Toc392151001"/>
      <w:r>
        <w:t>Opatření, jež má být podpořeno v rámci investiční priorit</w:t>
      </w:r>
      <w:r w:rsidR="005472D1">
        <w:t>y</w:t>
      </w:r>
      <w:bookmarkEnd w:id="2354"/>
      <w:r>
        <w:t xml:space="preserve"> </w:t>
      </w:r>
    </w:p>
    <w:p w:rsidR="005F119E" w:rsidRDefault="005F119E" w:rsidP="00165854">
      <w:pPr>
        <w:pStyle w:val="Nadpis5"/>
      </w:pPr>
      <w:bookmarkStart w:id="2355" w:name="_Toc392151002"/>
      <w:r w:rsidRPr="004314F4">
        <w:t xml:space="preserve">Popis typů </w:t>
      </w:r>
      <w:r w:rsidR="00973425">
        <w:t xml:space="preserve">a </w:t>
      </w:r>
      <w:r w:rsidRPr="004314F4">
        <w:t>příkladů</w:t>
      </w:r>
      <w:r w:rsidR="00973425">
        <w:t xml:space="preserve"> opatření, která mají být podporována, a jejich očekávaný přínos k plnění specifických cílů, případně včetně určení hlavních cílových skupin, konkrétních cílových území a druhů příjem</w:t>
      </w:r>
      <w:r w:rsidR="003B0DA5">
        <w:t>c</w:t>
      </w:r>
      <w:r w:rsidR="00973425">
        <w:t>ů</w:t>
      </w:r>
      <w:bookmarkEnd w:id="2355"/>
    </w:p>
    <w:p w:rsidR="004B6C19" w:rsidRDefault="004B6C19" w:rsidP="004B6C19"/>
    <w:p w:rsidR="004B6C19" w:rsidRPr="004B6C19" w:rsidRDefault="004B6C19" w:rsidP="004B6C19"/>
    <w:p w:rsidR="005F119E" w:rsidRPr="009F4BA6" w:rsidRDefault="005F119E" w:rsidP="00165854">
      <w:pPr>
        <w:pStyle w:val="Nadpis6"/>
      </w:pPr>
      <w:r w:rsidRPr="004314F4">
        <w:lastRenderedPageBreak/>
        <w:t>S</w:t>
      </w:r>
      <w:r w:rsidRPr="009F4BA6">
        <w:t>pecifický cíl 1: Snížit emise z lokálního vytápění domácností podílející se na expozici obyvatelstva nadlimitním koncentracím znečišťujících látek</w:t>
      </w:r>
    </w:p>
    <w:p w:rsidR="006D171C" w:rsidRPr="004314F4" w:rsidRDefault="006D171C" w:rsidP="007D184D">
      <w:pPr>
        <w:spacing w:after="0" w:afterAutospacing="0"/>
      </w:pPr>
      <w:bookmarkStart w:id="2356" w:name="_Toc384907360"/>
      <w:r w:rsidRPr="004314F4">
        <w:t>Podporované aktivity v rámci specifického cíle 2.1 - budou:</w:t>
      </w:r>
      <w:bookmarkEnd w:id="2356"/>
    </w:p>
    <w:p w:rsidR="006D171C" w:rsidRDefault="006D171C" w:rsidP="00495FC1">
      <w:pPr>
        <w:pStyle w:val="Odstavecseseznamem"/>
        <w:numPr>
          <w:ilvl w:val="0"/>
          <w:numId w:val="9"/>
        </w:numPr>
        <w:spacing w:after="0" w:afterAutospacing="0"/>
      </w:pPr>
      <w:r>
        <w:t>Náhrada stávajících stacionárních spalovacích zdrojů v</w:t>
      </w:r>
      <w:r w:rsidR="0072043D">
        <w:t> </w:t>
      </w:r>
      <w:r>
        <w:t>domácnostech</w:t>
      </w:r>
      <w:r w:rsidR="0072043D">
        <w:t>.</w:t>
      </w:r>
    </w:p>
    <w:p w:rsidR="007D184D" w:rsidRPr="004314F4" w:rsidRDefault="007D184D" w:rsidP="007D184D">
      <w:pPr>
        <w:pStyle w:val="Odstavecseseznamem"/>
        <w:spacing w:after="0" w:afterAutospacing="0"/>
      </w:pPr>
    </w:p>
    <w:p w:rsidR="006D171C" w:rsidRPr="004314F4" w:rsidRDefault="006D171C" w:rsidP="007D184D">
      <w:pPr>
        <w:spacing w:after="0" w:afterAutospacing="0"/>
      </w:pPr>
      <w:bookmarkStart w:id="2357" w:name="_Toc384907361"/>
      <w:r w:rsidRPr="004314F4">
        <w:t>Podporované typy projektů:</w:t>
      </w:r>
      <w:bookmarkEnd w:id="2357"/>
    </w:p>
    <w:p w:rsidR="006F7D80" w:rsidRDefault="006D171C" w:rsidP="00495FC1">
      <w:pPr>
        <w:pStyle w:val="Odstavecseseznamem"/>
        <w:numPr>
          <w:ilvl w:val="0"/>
          <w:numId w:val="9"/>
        </w:numPr>
        <w:spacing w:after="0" w:afterAutospacing="0"/>
      </w:pPr>
      <w:r>
        <w:t>V</w:t>
      </w:r>
      <w:r w:rsidRPr="00D124B1">
        <w:t xml:space="preserve">ýměna </w:t>
      </w:r>
      <w:r>
        <w:t>kotle na pevná paliva za nový kotel na pevná paliva</w:t>
      </w:r>
      <w:r w:rsidR="00394D28">
        <w:t xml:space="preserve"> s minimálními emisemi znečišťujících látek</w:t>
      </w:r>
    </w:p>
    <w:p w:rsidR="006F7D80" w:rsidRDefault="006D171C" w:rsidP="00495FC1">
      <w:pPr>
        <w:pStyle w:val="Odstavecseseznamem"/>
        <w:numPr>
          <w:ilvl w:val="0"/>
          <w:numId w:val="9"/>
        </w:numPr>
      </w:pPr>
      <w:r>
        <w:t>V</w:t>
      </w:r>
      <w:r w:rsidRPr="00D124B1">
        <w:t xml:space="preserve">ýměna </w:t>
      </w:r>
      <w:r>
        <w:t>kotle na pevná paliva za nový spalovací stacionární zdroj na plynná nebo kapalná paliva</w:t>
      </w:r>
      <w:r w:rsidR="0072043D">
        <w:t>.</w:t>
      </w:r>
    </w:p>
    <w:p w:rsidR="006F7D80" w:rsidRDefault="006D171C" w:rsidP="00495FC1">
      <w:pPr>
        <w:pStyle w:val="Odstavecseseznamem"/>
        <w:numPr>
          <w:ilvl w:val="0"/>
          <w:numId w:val="9"/>
        </w:numPr>
      </w:pPr>
      <w:r w:rsidRPr="009A6776">
        <w:t>Výměna kotle na pevná paliva za tepelné čerpadlo</w:t>
      </w:r>
      <w:r w:rsidR="0072043D">
        <w:t>.</w:t>
      </w:r>
    </w:p>
    <w:p w:rsidR="006D171C" w:rsidRPr="008F2EBA" w:rsidRDefault="006D171C" w:rsidP="00495FC1">
      <w:pPr>
        <w:pStyle w:val="Odstavecseseznamem"/>
        <w:numPr>
          <w:ilvl w:val="0"/>
          <w:numId w:val="9"/>
        </w:numPr>
      </w:pPr>
      <w:r>
        <w:t>Výše uvedené výměny v kombinaci s doplňkovými nespalovacími zdroji tepelné energie</w:t>
      </w:r>
      <w:r w:rsidR="0072043D">
        <w:t>.</w:t>
      </w:r>
    </w:p>
    <w:p w:rsidR="006D171C" w:rsidRPr="004314F4" w:rsidRDefault="006D171C" w:rsidP="00B66FDE">
      <w:bookmarkStart w:id="2358" w:name="_Toc384907362"/>
      <w:r w:rsidRPr="00031EF4">
        <w:t>Hlavní cílové skupiny</w:t>
      </w:r>
      <w:r>
        <w:t>: Vlastníci rodinných a bytových domů</w:t>
      </w:r>
      <w:bookmarkEnd w:id="2358"/>
    </w:p>
    <w:p w:rsidR="006D171C" w:rsidRDefault="006D171C" w:rsidP="00B66FDE">
      <w:bookmarkStart w:id="2359" w:name="_Toc384907363"/>
      <w:r w:rsidRPr="004314F4">
        <w:t xml:space="preserve">Cílová území: </w:t>
      </w:r>
      <w:bookmarkEnd w:id="2359"/>
      <w:r w:rsidR="0007549A">
        <w:t>území celé České republiky</w:t>
      </w:r>
      <w:r w:rsidRPr="004314F4">
        <w:t xml:space="preserve"> </w:t>
      </w:r>
    </w:p>
    <w:p w:rsidR="001A3723" w:rsidRPr="00545448" w:rsidRDefault="0033290F" w:rsidP="001A3723">
      <w:pPr>
        <w:rPr>
          <w:b/>
        </w:rPr>
      </w:pPr>
      <w:bookmarkStart w:id="2360" w:name="_Toc384907364"/>
      <w:r w:rsidRPr="0033290F">
        <w:rPr>
          <w:b/>
        </w:rPr>
        <w:t>Typy příjemců:</w:t>
      </w:r>
    </w:p>
    <w:p w:rsidR="001A3723" w:rsidRPr="00CA2D14" w:rsidRDefault="001A3723" w:rsidP="007D184D">
      <w:pPr>
        <w:spacing w:after="0" w:afterAutospacing="0"/>
      </w:pPr>
      <w:r w:rsidRPr="00CA2D14">
        <w:t xml:space="preserve">Právnické osoby </w:t>
      </w:r>
    </w:p>
    <w:p w:rsidR="001A3723" w:rsidRDefault="001A3723" w:rsidP="007D184D">
      <w:pPr>
        <w:spacing w:after="0" w:afterAutospacing="0"/>
      </w:pPr>
      <w:r w:rsidRPr="00CA2D14">
        <w:t>Fyzické osoby</w:t>
      </w:r>
    </w:p>
    <w:p w:rsidR="007D184D" w:rsidRPr="00CA2D14" w:rsidRDefault="007D184D" w:rsidP="007D184D">
      <w:pPr>
        <w:spacing w:after="0" w:afterAutospacing="0"/>
      </w:pPr>
    </w:p>
    <w:p w:rsidR="001A3723" w:rsidRPr="00CA2D14" w:rsidRDefault="001A3723" w:rsidP="001A3723">
      <w:pPr>
        <w:pStyle w:val="Default"/>
        <w:spacing w:after="100" w:afterAutospacing="1" w:line="276" w:lineRule="auto"/>
        <w:rPr>
          <w:rFonts w:ascii="Cambria" w:hAnsi="Cambria"/>
          <w:sz w:val="22"/>
          <w:szCs w:val="22"/>
        </w:rPr>
      </w:pPr>
      <w:r w:rsidRPr="00CA2D14">
        <w:rPr>
          <w:rFonts w:ascii="Cambria" w:hAnsi="Cambria" w:cstheme="minorBidi"/>
          <w:sz w:val="22"/>
          <w:szCs w:val="22"/>
        </w:rPr>
        <w:t>Pozn.: Okruh příjemců bude dále podrobněji definován v návazné řídící dokumentaci.</w:t>
      </w:r>
    </w:p>
    <w:bookmarkEnd w:id="2360"/>
    <w:p w:rsidR="005F119E" w:rsidRPr="004314F4" w:rsidRDefault="005F119E" w:rsidP="00165854">
      <w:pPr>
        <w:pStyle w:val="Nadpis6"/>
      </w:pPr>
      <w:r>
        <w:t xml:space="preserve">Specifický cíl 2: </w:t>
      </w:r>
      <w:r w:rsidR="00452722" w:rsidRPr="00452722">
        <w:rPr>
          <w:rFonts w:eastAsia="Times New Roman"/>
        </w:rPr>
        <w:t>Snížit emise stacio</w:t>
      </w:r>
      <w:r w:rsidR="004B62EB">
        <w:rPr>
          <w:rFonts w:eastAsia="Times New Roman"/>
        </w:rPr>
        <w:t>nárních zdrojů podílející se na </w:t>
      </w:r>
      <w:r w:rsidR="00452722" w:rsidRPr="00452722">
        <w:rPr>
          <w:rFonts w:eastAsia="Times New Roman"/>
        </w:rPr>
        <w:t>expozici obyvatelstva nadlimitním koncentracím znečišťujících látek</w:t>
      </w:r>
      <w:r w:rsidR="00452722" w:rsidRPr="00F03377" w:rsidDel="00D15499">
        <w:t xml:space="preserve"> </w:t>
      </w:r>
    </w:p>
    <w:p w:rsidR="006D171C" w:rsidRPr="004314F4" w:rsidRDefault="006D171C" w:rsidP="007D184D">
      <w:pPr>
        <w:spacing w:after="0" w:afterAutospacing="0"/>
      </w:pPr>
      <w:bookmarkStart w:id="2361" w:name="_Toc384907366"/>
      <w:r w:rsidRPr="004314F4">
        <w:t>Podporované aktivity v rámci specifického cíle 2.</w:t>
      </w:r>
      <w:r>
        <w:t>2</w:t>
      </w:r>
      <w:r w:rsidRPr="004314F4">
        <w:t xml:space="preserve"> - budou:</w:t>
      </w:r>
      <w:bookmarkEnd w:id="2361"/>
    </w:p>
    <w:p w:rsidR="006F7D80" w:rsidRDefault="007D184D" w:rsidP="00495FC1">
      <w:pPr>
        <w:pStyle w:val="Odstavecseseznamem"/>
        <w:numPr>
          <w:ilvl w:val="0"/>
          <w:numId w:val="10"/>
        </w:numPr>
        <w:spacing w:after="0" w:afterAutospacing="0"/>
      </w:pPr>
      <w:r>
        <w:t>n</w:t>
      </w:r>
      <w:r w:rsidR="006D171C">
        <w:t>áhrada a rekonstrukce stávajících stacionárních zdrojů znečišťování</w:t>
      </w:r>
      <w:r>
        <w:t>,</w:t>
      </w:r>
    </w:p>
    <w:p w:rsidR="006D171C" w:rsidRDefault="007D184D" w:rsidP="00495FC1">
      <w:pPr>
        <w:pStyle w:val="Odstavecseseznamem"/>
        <w:numPr>
          <w:ilvl w:val="0"/>
          <w:numId w:val="10"/>
        </w:numPr>
      </w:pPr>
      <w:r>
        <w:t>p</w:t>
      </w:r>
      <w:r w:rsidR="006D171C">
        <w:t>ořízení technologií a změny technologických postupů vedoucí ke snížení emisí znečišťujících látek nebo ke snížení úrovně znečištění ovzduší</w:t>
      </w:r>
      <w:r w:rsidR="004B62EB">
        <w:t>.</w:t>
      </w:r>
    </w:p>
    <w:p w:rsidR="004B62EB" w:rsidRDefault="006D171C" w:rsidP="007D184D">
      <w:pPr>
        <w:spacing w:after="0" w:afterAutospacing="0"/>
      </w:pPr>
      <w:r>
        <w:t>Úplný výčet typů projektů není možné s ohledem na množství technických řešení a různoro</w:t>
      </w:r>
      <w:r w:rsidR="004B62EB">
        <w:t>dost</w:t>
      </w:r>
    </w:p>
    <w:p w:rsidR="006D171C" w:rsidRPr="004314F4" w:rsidRDefault="006D171C" w:rsidP="007D184D">
      <w:pPr>
        <w:spacing w:after="0" w:afterAutospacing="0"/>
      </w:pPr>
      <w:r>
        <w:t>stacionárních zdrojů vytvořit; mezi podporované typy projektů patří například</w:t>
      </w:r>
      <w:r w:rsidRPr="004314F4">
        <w:t>:</w:t>
      </w:r>
    </w:p>
    <w:p w:rsidR="006F7D80" w:rsidRDefault="007D184D" w:rsidP="00495FC1">
      <w:pPr>
        <w:pStyle w:val="Odstavecseseznamem"/>
        <w:numPr>
          <w:ilvl w:val="0"/>
          <w:numId w:val="11"/>
        </w:numPr>
        <w:spacing w:after="0" w:afterAutospacing="0"/>
      </w:pPr>
      <w:r>
        <w:t>k</w:t>
      </w:r>
      <w:r w:rsidR="006D171C">
        <w:t>ompletní nebo dílčí náhrada či rekonstrukce stávajících stacionárních zdrojů znečišťování</w:t>
      </w:r>
      <w:r>
        <w:t>,</w:t>
      </w:r>
    </w:p>
    <w:p w:rsidR="006F7D80" w:rsidRDefault="007D184D" w:rsidP="00495FC1">
      <w:pPr>
        <w:pStyle w:val="Odstavecseseznamem"/>
        <w:numPr>
          <w:ilvl w:val="0"/>
          <w:numId w:val="11"/>
        </w:numPr>
      </w:pPr>
      <w:r>
        <w:t>p</w:t>
      </w:r>
      <w:r w:rsidR="006D171C">
        <w:t xml:space="preserve">ořízení dodatečných technologií ke snížení emisí znečišťujících látek (např. tkaninové filtry, elektrostatické odlučovače, </w:t>
      </w:r>
      <w:r w:rsidR="006D171C" w:rsidRPr="004B5D7A">
        <w:t>technologie ke snižování emisí z</w:t>
      </w:r>
      <w:r w:rsidR="006D171C">
        <w:t> </w:t>
      </w:r>
      <w:r w:rsidR="006D171C" w:rsidRPr="004B5D7A">
        <w:t>produkce</w:t>
      </w:r>
      <w:r w:rsidR="006D171C">
        <w:t>,</w:t>
      </w:r>
      <w:r w:rsidR="006D171C" w:rsidRPr="004B5D7A">
        <w:t xml:space="preserve"> skladování</w:t>
      </w:r>
      <w:r w:rsidR="006D171C">
        <w:t xml:space="preserve"> a aplikace</w:t>
      </w:r>
      <w:r w:rsidR="006D171C" w:rsidRPr="004B5D7A">
        <w:t xml:space="preserve"> statkových hnojiv</w:t>
      </w:r>
      <w:r w:rsidR="006D171C">
        <w:t>)</w:t>
      </w:r>
      <w:r>
        <w:t>,</w:t>
      </w:r>
    </w:p>
    <w:p w:rsidR="006F7D80" w:rsidRDefault="007D184D" w:rsidP="00495FC1">
      <w:pPr>
        <w:pStyle w:val="Odstavecseseznamem"/>
        <w:numPr>
          <w:ilvl w:val="0"/>
          <w:numId w:val="11"/>
        </w:numPr>
      </w:pPr>
      <w:r>
        <w:t>p</w:t>
      </w:r>
      <w:r w:rsidR="006D171C">
        <w:t xml:space="preserve">ořízení dodatečných technologií ke snížení úrovně znečištění ovzduší </w:t>
      </w:r>
      <w:r w:rsidR="006D171C" w:rsidRPr="00D124B1">
        <w:t>(</w:t>
      </w:r>
      <w:r w:rsidR="006D171C">
        <w:t xml:space="preserve">např. </w:t>
      </w:r>
      <w:r w:rsidR="006D171C" w:rsidRPr="00D124B1">
        <w:t>vodní clony, skrápění, odprašovací nebo mlžící zařízení)</w:t>
      </w:r>
      <w:r>
        <w:t>,</w:t>
      </w:r>
    </w:p>
    <w:p w:rsidR="006F7D80" w:rsidRDefault="007D184D" w:rsidP="00495FC1">
      <w:pPr>
        <w:pStyle w:val="Odstavecseseznamem"/>
        <w:numPr>
          <w:ilvl w:val="0"/>
          <w:numId w:val="11"/>
        </w:numPr>
      </w:pPr>
      <w:r>
        <w:t>č</w:t>
      </w:r>
      <w:r w:rsidR="009F4BA6">
        <w:t xml:space="preserve">istící </w:t>
      </w:r>
      <w:r w:rsidR="006D171C">
        <w:t>vozy</w:t>
      </w:r>
      <w:r>
        <w:t xml:space="preserve"> </w:t>
      </w:r>
      <w:r w:rsidR="00EB0189">
        <w:t>(</w:t>
      </w:r>
      <w:r w:rsidR="00EB0189" w:rsidRPr="008B5205">
        <w:t>pouze pokročilé technologie s vysokou účinností odstraňování prachových částic</w:t>
      </w:r>
      <w:r w:rsidR="00EB0189">
        <w:t>, n</w:t>
      </w:r>
      <w:r w:rsidR="00EB0189" w:rsidRPr="008B5205">
        <w:t>ebudou podporovány kartáčovací vozy bez odsávání a kropicí vozy</w:t>
      </w:r>
      <w:r w:rsidR="00D1356A">
        <w:t>),</w:t>
      </w:r>
    </w:p>
    <w:p w:rsidR="006F7D80" w:rsidRDefault="007D184D" w:rsidP="00495FC1">
      <w:pPr>
        <w:pStyle w:val="Odstavecseseznamem"/>
        <w:numPr>
          <w:ilvl w:val="0"/>
          <w:numId w:val="11"/>
        </w:numPr>
      </w:pPr>
      <w:r>
        <w:lastRenderedPageBreak/>
        <w:t>z</w:t>
      </w:r>
      <w:r w:rsidR="006D171C">
        <w:t>měny technologických postupů za účelem snížení emisí</w:t>
      </w:r>
      <w:r>
        <w:t>,</w:t>
      </w:r>
    </w:p>
    <w:p w:rsidR="006F7D80" w:rsidRDefault="007D184D" w:rsidP="00495FC1">
      <w:pPr>
        <w:pStyle w:val="Odstavecseseznamem"/>
        <w:numPr>
          <w:ilvl w:val="0"/>
          <w:numId w:val="11"/>
        </w:numPr>
      </w:pPr>
      <w:r>
        <w:t>r</w:t>
      </w:r>
      <w:r w:rsidR="006D171C" w:rsidRPr="00D124B1">
        <w:t>ozšiřování a rekonstrukce soustav centralizovaného zásobování tepelnou energií</w:t>
      </w:r>
      <w:r>
        <w:t>,</w:t>
      </w:r>
    </w:p>
    <w:p w:rsidR="006D171C" w:rsidRPr="008F2EBA" w:rsidRDefault="007D184D" w:rsidP="00495FC1">
      <w:pPr>
        <w:pStyle w:val="Odstavecseseznamem"/>
        <w:numPr>
          <w:ilvl w:val="0"/>
          <w:numId w:val="11"/>
        </w:numPr>
      </w:pPr>
      <w:r>
        <w:t>r</w:t>
      </w:r>
      <w:r w:rsidR="006D171C" w:rsidRPr="00DD7094">
        <w:t xml:space="preserve">ozšiřování středotlaké sítě </w:t>
      </w:r>
      <w:r w:rsidR="006D171C">
        <w:t xml:space="preserve">zemního plynu případně dalších distribučních energetických systémů </w:t>
      </w:r>
      <w:r w:rsidR="006D171C" w:rsidRPr="00DD7094">
        <w:t>v obcích</w:t>
      </w:r>
      <w:r w:rsidR="004B62EB">
        <w:t>.</w:t>
      </w:r>
    </w:p>
    <w:p w:rsidR="006D171C" w:rsidRPr="004314F4" w:rsidRDefault="006D171C" w:rsidP="00165854">
      <w:bookmarkStart w:id="2362" w:name="_Toc384907367"/>
      <w:r w:rsidRPr="004314F4">
        <w:t>Hlavní cílové skupiny:</w:t>
      </w:r>
      <w:bookmarkEnd w:id="2362"/>
      <w:r w:rsidR="00AD7DD3">
        <w:t xml:space="preserve"> </w:t>
      </w:r>
      <w:r w:rsidRPr="00271E6C">
        <w:t>Vlastníci a provozovatelé stacionárních zdrojů znečišťování ovzduší</w:t>
      </w:r>
    </w:p>
    <w:p w:rsidR="006D171C" w:rsidRDefault="006D171C" w:rsidP="00B66FDE">
      <w:bookmarkStart w:id="2363" w:name="_Toc384907368"/>
      <w:r w:rsidRPr="004314F4">
        <w:t xml:space="preserve">Cílová území: </w:t>
      </w:r>
      <w:r w:rsidR="0007549A">
        <w:t>území celé České republiky</w:t>
      </w:r>
      <w:r w:rsidRPr="004314F4">
        <w:t xml:space="preserve"> se zaměřením na sídelní útvary (města, obce</w:t>
      </w:r>
      <w:r>
        <w:t>)</w:t>
      </w:r>
      <w:bookmarkEnd w:id="2363"/>
    </w:p>
    <w:p w:rsidR="001A3723" w:rsidRPr="00545448" w:rsidRDefault="0033290F" w:rsidP="001A3723">
      <w:pPr>
        <w:rPr>
          <w:b/>
        </w:rPr>
      </w:pPr>
      <w:r w:rsidRPr="0033290F">
        <w:rPr>
          <w:b/>
        </w:rPr>
        <w:t>Typy příjemců:</w:t>
      </w:r>
    </w:p>
    <w:p w:rsidR="001A3723" w:rsidRPr="00CA2D14" w:rsidRDefault="001A3723" w:rsidP="007D184D">
      <w:pPr>
        <w:spacing w:after="0" w:afterAutospacing="0"/>
      </w:pPr>
      <w:r w:rsidRPr="00CA2D14">
        <w:t xml:space="preserve">Právnické osoby </w:t>
      </w:r>
    </w:p>
    <w:p w:rsidR="001A3723" w:rsidRDefault="001A3723" w:rsidP="007D184D">
      <w:pPr>
        <w:spacing w:after="0" w:afterAutospacing="0"/>
      </w:pPr>
      <w:r w:rsidRPr="00CA2D14">
        <w:t>Fyzické osoby (podnikající)</w:t>
      </w:r>
    </w:p>
    <w:p w:rsidR="007D184D" w:rsidRDefault="007D184D" w:rsidP="007D184D">
      <w:pPr>
        <w:spacing w:after="0" w:afterAutospacing="0"/>
      </w:pPr>
    </w:p>
    <w:p w:rsidR="005967A9" w:rsidRPr="00CA2D14" w:rsidRDefault="005967A9" w:rsidP="007D184D">
      <w:pPr>
        <w:spacing w:after="0" w:afterAutospacing="0"/>
      </w:pPr>
      <w:r w:rsidRPr="00AD339F">
        <w:t>V případě aktivity „Rozšiřování a rekonstrukce soustav centralizovaného zásobování tepelnou energií“ nebudou podporovány podnikatelské subjekty</w:t>
      </w:r>
      <w:r w:rsidR="00B1768F">
        <w:t>.</w:t>
      </w:r>
    </w:p>
    <w:p w:rsidR="001A3723" w:rsidRPr="00CA2D14" w:rsidRDefault="001A3723" w:rsidP="001A3723">
      <w:pPr>
        <w:pStyle w:val="Default"/>
        <w:spacing w:after="100" w:afterAutospacing="1" w:line="276" w:lineRule="auto"/>
        <w:rPr>
          <w:rFonts w:ascii="Cambria" w:hAnsi="Cambria"/>
          <w:sz w:val="22"/>
          <w:szCs w:val="22"/>
        </w:rPr>
      </w:pPr>
      <w:r w:rsidRPr="00CA2D14">
        <w:rPr>
          <w:rFonts w:ascii="Cambria" w:hAnsi="Cambria" w:cstheme="minorBidi"/>
          <w:sz w:val="22"/>
          <w:szCs w:val="22"/>
        </w:rPr>
        <w:t>Pozn.: Okruh příjemců bude dále podrobněji definován v návazné řídící dokumentaci.</w:t>
      </w:r>
    </w:p>
    <w:p w:rsidR="005F119E" w:rsidRPr="004F46E2" w:rsidRDefault="005F119E" w:rsidP="00165854">
      <w:pPr>
        <w:pStyle w:val="Nadpis6"/>
      </w:pPr>
      <w:r w:rsidRPr="004314F4">
        <w:t xml:space="preserve">Specifický cíl </w:t>
      </w:r>
      <w:r w:rsidR="00510195">
        <w:t>3</w:t>
      </w:r>
      <w:r w:rsidRPr="004314F4">
        <w:t xml:space="preserve">: </w:t>
      </w:r>
      <w:r w:rsidR="00127B71" w:rsidRPr="00127B71">
        <w:t>Zlepšit systém</w:t>
      </w:r>
      <w:r w:rsidR="00127B71" w:rsidRPr="00127B71">
        <w:rPr>
          <w:rFonts w:cs="Calibri"/>
          <w:sz w:val="20"/>
          <w:szCs w:val="20"/>
        </w:rPr>
        <w:t xml:space="preserve"> </w:t>
      </w:r>
      <w:r w:rsidR="00127B71" w:rsidRPr="00127B71">
        <w:t>sledování, hodnocení a předpovídání vývoje kvality ovzduší, počasí a klimatu a ozonové vrstvy Země</w:t>
      </w:r>
    </w:p>
    <w:p w:rsidR="00EE1010" w:rsidRDefault="00EE1010" w:rsidP="007D184D">
      <w:pPr>
        <w:spacing w:after="0" w:afterAutospacing="0"/>
      </w:pPr>
      <w:bookmarkStart w:id="2364" w:name="_Toc384907371"/>
      <w:r>
        <w:t>Podporované aktivity v rámci specifického cíle 2.3 - budou:</w:t>
      </w:r>
      <w:bookmarkEnd w:id="2364"/>
    </w:p>
    <w:p w:rsidR="00674BC9" w:rsidRDefault="007D184D" w:rsidP="00495FC1">
      <w:pPr>
        <w:pStyle w:val="Odstavecseseznamem"/>
        <w:numPr>
          <w:ilvl w:val="0"/>
          <w:numId w:val="12"/>
        </w:numPr>
        <w:spacing w:after="0" w:afterAutospacing="0"/>
      </w:pPr>
      <w:bookmarkStart w:id="2365" w:name="_Toc384907372"/>
      <w:r>
        <w:t>v</w:t>
      </w:r>
      <w:r w:rsidR="00B1768F" w:rsidRPr="00AD339F">
        <w:t>ýstavba a obnova systémů sledování kvality ovzduší, počasí, klimatu a ozonové vrstvy Země v souladu s vývojem technologii a nároků na přesnost, rychlost předávání informací pro rozhodování v krizových situacích (zejména se jedná o citlivé měřicí a</w:t>
      </w:r>
      <w:r>
        <w:t> </w:t>
      </w:r>
      <w:r w:rsidR="00B1768F" w:rsidRPr="00AD339F">
        <w:t>laboratorní přístroje pro kvalitnější měření koncentrací z</w:t>
      </w:r>
      <w:r w:rsidR="00D84262">
        <w:t>nečišťujících látek v ovzduší a </w:t>
      </w:r>
      <w:r w:rsidR="00B1768F" w:rsidRPr="00AD339F">
        <w:t>depozičních toků, měření nově sledovaných znečišťujících látek v souladu s požadavky EU, speciální meteorol</w:t>
      </w:r>
      <w:r w:rsidR="00B1768F" w:rsidRPr="00814D76">
        <w:t>ogickou techniku pro měření stabi</w:t>
      </w:r>
      <w:r w:rsidR="00D84262">
        <w:t>lity mezní vrstvy, techniku pro </w:t>
      </w:r>
      <w:r w:rsidR="00B1768F" w:rsidRPr="00814D76">
        <w:t>monitoring energetického příkonu slunečního záření, dlouhovlnného vyzařování atmosféry a UV slunečního záření, pro rozvoj monitoringu ozonové vrstvy, systémů pro</w:t>
      </w:r>
      <w:r>
        <w:t> </w:t>
      </w:r>
      <w:r w:rsidR="00B1768F" w:rsidRPr="00814D76">
        <w:t>distanční měření a pozorování atmosféry a přístrojového vybavení meteorologických a klimatologických stanic, výpočetní systémy pro provozování komplexních modelů)</w:t>
      </w:r>
      <w:r>
        <w:t>,</w:t>
      </w:r>
    </w:p>
    <w:p w:rsidR="00B1768F" w:rsidRPr="00A9413B" w:rsidRDefault="007D184D" w:rsidP="00495FC1">
      <w:pPr>
        <w:pStyle w:val="Odstavecseseznamem"/>
        <w:numPr>
          <w:ilvl w:val="0"/>
          <w:numId w:val="12"/>
        </w:numPr>
      </w:pPr>
      <w:r>
        <w:t>v</w:t>
      </w:r>
      <w:r w:rsidR="00B1768F" w:rsidRPr="00A9413B">
        <w:t>ýstavba a rozvoj infrastruktury pro správu, zpracování a hodnocení dat ze systémů sledování kvality ovzduší, počasí,</w:t>
      </w:r>
      <w:r w:rsidR="00B1768F">
        <w:t xml:space="preserve"> klimatu a ozonové vrstvy Země </w:t>
      </w:r>
      <w:r w:rsidR="00B1768F" w:rsidRPr="00A9413B">
        <w:t>(zejména systémů a</w:t>
      </w:r>
      <w:r>
        <w:t> </w:t>
      </w:r>
      <w:r w:rsidR="00B1768F" w:rsidRPr="00A9413B">
        <w:t>nástrojů pro sběr údajů z měřicích systémů, jejich archivaci a následné zpracování včetně krizového řízení Zdokonalování nástrojů pro modelování atmosféry umožňující předpovídání kvality ovzduší, počasí, klimatu a ozonové vrstvy Země (např. modely pro</w:t>
      </w:r>
      <w:r>
        <w:t> </w:t>
      </w:r>
      <w:r w:rsidR="00B1768F" w:rsidRPr="00A9413B">
        <w:t>hodnocení transportu a rozptylu znečištění v atmosféře včetně komplexního chemismu zahrnující i tvorbu aerosolů a jejich zpětného vlivu na meteorologickou situaci, numerické modely pro zlepšení analýzy atmosféry a modelování jejího energetického a energetického cyklu s ohledem na aktuální meteorologickou předpověď a hodnocení klimatické změny)</w:t>
      </w:r>
      <w:r>
        <w:t>,</w:t>
      </w:r>
    </w:p>
    <w:p w:rsidR="00B1768F" w:rsidRPr="00A9413B" w:rsidRDefault="007D184D" w:rsidP="00495FC1">
      <w:pPr>
        <w:pStyle w:val="Odstavecseseznamem"/>
        <w:numPr>
          <w:ilvl w:val="0"/>
          <w:numId w:val="12"/>
        </w:numPr>
      </w:pPr>
      <w:r>
        <w:lastRenderedPageBreak/>
        <w:t>p</w:t>
      </w:r>
      <w:r w:rsidR="00B1768F" w:rsidRPr="00A9413B">
        <w:t>ořízení a rozvoj systémů pro identifikaci zdrojů znečišťování ovzduší (měřicí a</w:t>
      </w:r>
      <w:r>
        <w:t> </w:t>
      </w:r>
      <w:r w:rsidR="00B1768F" w:rsidRPr="00A9413B">
        <w:t>laboratorní techniky pro detailní analýzy složek znečištění ovzduší se zaměřením na</w:t>
      </w:r>
      <w:r>
        <w:t> </w:t>
      </w:r>
      <w:r w:rsidR="00B1768F" w:rsidRPr="00A9413B">
        <w:t>identifikaci nejvýznamnějších zdrojů pro imisně zatížené lokality)</w:t>
      </w:r>
      <w:r>
        <w:t>,</w:t>
      </w:r>
      <w:r w:rsidR="00B1768F" w:rsidRPr="00A9413B">
        <w:t xml:space="preserve"> </w:t>
      </w:r>
    </w:p>
    <w:p w:rsidR="00674BC9" w:rsidRDefault="007D184D" w:rsidP="00495FC1">
      <w:pPr>
        <w:pStyle w:val="Odstavecseseznamem"/>
        <w:numPr>
          <w:ilvl w:val="0"/>
          <w:numId w:val="12"/>
        </w:numPr>
      </w:pPr>
      <w:r>
        <w:t>p</w:t>
      </w:r>
      <w:r w:rsidR="00B1768F" w:rsidRPr="00A9413B">
        <w:t>ořízení systému pro zveřejňování výsledků sledování, hodnocení a předpovídání vývoje kvality ovzduší, počasí a klimatu a ozonové vrs</w:t>
      </w:r>
      <w:r w:rsidR="00D84262">
        <w:t>tvy Země (nástroje pro rozvoj e</w:t>
      </w:r>
      <w:r w:rsidR="00D84262">
        <w:noBreakHyphen/>
      </w:r>
      <w:r w:rsidR="00B1768F" w:rsidRPr="00A9413B">
        <w:t>reportingu, webových aplikaci a služeb včetně požadavků směrnice INSPIRE, možné propojení s programem LIFE - Informační projekty, projekty zaměřené na zvyšování informovanosti).</w:t>
      </w:r>
    </w:p>
    <w:p w:rsidR="00674BC9" w:rsidRDefault="00674BC9">
      <w:pPr>
        <w:pStyle w:val="Odstavecseseznamem"/>
      </w:pPr>
    </w:p>
    <w:p w:rsidR="00674BC9" w:rsidRDefault="00EE1010">
      <w:pPr>
        <w:spacing w:after="0" w:afterAutospacing="0"/>
      </w:pPr>
      <w:r>
        <w:t>Podporované typy projektů k naplnění jednotlivých aktivit specifického cíle budou:</w:t>
      </w:r>
      <w:bookmarkEnd w:id="2365"/>
    </w:p>
    <w:p w:rsidR="00674BC9" w:rsidRDefault="007D184D" w:rsidP="00495FC1">
      <w:pPr>
        <w:pStyle w:val="Odstavecseseznamem"/>
        <w:numPr>
          <w:ilvl w:val="0"/>
          <w:numId w:val="12"/>
        </w:numPr>
        <w:spacing w:after="0" w:afterAutospacing="0"/>
      </w:pPr>
      <w:r>
        <w:t>v</w:t>
      </w:r>
      <w:r w:rsidR="00EE1010">
        <w:t>ýstavba a obnova systémů sledování kvality ovzduší v celorepublikovém či</w:t>
      </w:r>
      <w:r>
        <w:t> </w:t>
      </w:r>
      <w:r w:rsidR="00EE1010">
        <w:t>regionálním měřítku (zejména monitorovací sítě, laboratoře, zabezpečení sběru vzorků a</w:t>
      </w:r>
      <w:r>
        <w:t> </w:t>
      </w:r>
      <w:r w:rsidR="00EE1010">
        <w:t>přenosu dat, technika pro primární zpracování dat, jejich archivaci a</w:t>
      </w:r>
      <w:r>
        <w:t> </w:t>
      </w:r>
      <w:r w:rsidR="00EE1010">
        <w:t>prezentaci)</w:t>
      </w:r>
      <w:r>
        <w:t>,</w:t>
      </w:r>
    </w:p>
    <w:p w:rsidR="006F7D80" w:rsidRDefault="007D184D" w:rsidP="00495FC1">
      <w:pPr>
        <w:pStyle w:val="Odstavecseseznamem"/>
        <w:numPr>
          <w:ilvl w:val="0"/>
          <w:numId w:val="12"/>
        </w:numPr>
      </w:pPr>
      <w:r>
        <w:t>p</w:t>
      </w:r>
      <w:r w:rsidR="00EE1010">
        <w:t>ořízení a aktualizace systémů určených pro hodnocení kvality ovzduší a posouzení dopadů opatření ke zlepšení kvality ovzduší (zejména tvorba, aktualizace a vývoj databází, softwaru pro zpracování dat, modelování a simulaci)</w:t>
      </w:r>
      <w:r>
        <w:t>,</w:t>
      </w:r>
    </w:p>
    <w:p w:rsidR="006F7D80" w:rsidRDefault="007D184D" w:rsidP="00495FC1">
      <w:pPr>
        <w:pStyle w:val="Odstavecseseznamem"/>
        <w:numPr>
          <w:ilvl w:val="0"/>
          <w:numId w:val="12"/>
        </w:numPr>
      </w:pPr>
      <w:r>
        <w:t>p</w:t>
      </w:r>
      <w:r w:rsidR="00EE1010">
        <w:t>odpora obnovy a rozvoj systémů pro archivaci a zpracování údajů o znečišťování ovzduší (emisních dat) jak standardních znečišťujících látek, tak skleníkových plynů</w:t>
      </w:r>
      <w:r>
        <w:t>,</w:t>
      </w:r>
    </w:p>
    <w:p w:rsidR="006F7D80" w:rsidRDefault="007D184D" w:rsidP="00495FC1">
      <w:pPr>
        <w:pStyle w:val="Odstavecseseznamem"/>
        <w:numPr>
          <w:ilvl w:val="0"/>
          <w:numId w:val="12"/>
        </w:numPr>
      </w:pPr>
      <w:r>
        <w:t>v</w:t>
      </w:r>
      <w:r w:rsidR="00EE1010">
        <w:t>ýstavba a obnova infrastruktury pro sledování meteorologických a klimatologických ukazatelů v celorepublikovém či regionálním měřítku (zejména měřicí sítě, laboratoř, přenos dat, technika pro primární zpracování dat, jejich archivaci a prezentaci)</w:t>
      </w:r>
      <w:r>
        <w:t>,</w:t>
      </w:r>
    </w:p>
    <w:p w:rsidR="006F7D80" w:rsidRDefault="007D184D" w:rsidP="00495FC1">
      <w:pPr>
        <w:pStyle w:val="Odstavecseseznamem"/>
        <w:numPr>
          <w:ilvl w:val="0"/>
          <w:numId w:val="12"/>
        </w:numPr>
      </w:pPr>
      <w:r>
        <w:t>p</w:t>
      </w:r>
      <w:r w:rsidR="00EE1010">
        <w:t>ořízení a aktualizace systémů určených p</w:t>
      </w:r>
      <w:r w:rsidR="004B62EB">
        <w:t>ro hodnocení meteorologických a </w:t>
      </w:r>
      <w:r w:rsidR="00EE1010">
        <w:t>klimatologických dat (zejména tvorba, aktualizace</w:t>
      </w:r>
      <w:r w:rsidR="004B62EB">
        <w:t xml:space="preserve"> a vývoj databází, softwaru pro </w:t>
      </w:r>
      <w:r w:rsidR="00EE1010">
        <w:t>modelování a simulaci)</w:t>
      </w:r>
      <w:r>
        <w:t>,</w:t>
      </w:r>
    </w:p>
    <w:p w:rsidR="006F7D80" w:rsidRDefault="00EE1010" w:rsidP="00495FC1">
      <w:pPr>
        <w:pStyle w:val="Odstavecseseznamem"/>
        <w:numPr>
          <w:ilvl w:val="0"/>
          <w:numId w:val="12"/>
        </w:numPr>
      </w:pPr>
      <w:r>
        <w:t>Pořízení a obnova systémů sledování ozonové vrstvy Země a emisí a propadů skleníkových plynů</w:t>
      </w:r>
      <w:r w:rsidR="007D184D">
        <w:t>,</w:t>
      </w:r>
    </w:p>
    <w:p w:rsidR="006F7D80" w:rsidRDefault="007D184D" w:rsidP="00495FC1">
      <w:pPr>
        <w:pStyle w:val="Odstavecseseznamem"/>
        <w:numPr>
          <w:ilvl w:val="0"/>
          <w:numId w:val="12"/>
        </w:numPr>
      </w:pPr>
      <w:r>
        <w:t>t</w:t>
      </w:r>
      <w:r w:rsidR="00EE1010">
        <w:t>vorba a aktualizace systémů určených pro hodnocení naměřených dat týkajících se ozonové vrstvy Země a emisí a propadů sklen</w:t>
      </w:r>
      <w:r w:rsidR="004B62EB">
        <w:t>íkových plynů (zejména tvorba a </w:t>
      </w:r>
      <w:r w:rsidR="00EE1010">
        <w:t>aktualizace databází, softwaru pro modelování a simulaci)</w:t>
      </w:r>
      <w:r>
        <w:t>,</w:t>
      </w:r>
    </w:p>
    <w:p w:rsidR="00EE1010" w:rsidRDefault="007D184D" w:rsidP="00495FC1">
      <w:pPr>
        <w:pStyle w:val="Odstavecseseznamem"/>
        <w:numPr>
          <w:ilvl w:val="0"/>
          <w:numId w:val="12"/>
        </w:numPr>
      </w:pPr>
      <w:r>
        <w:t>i</w:t>
      </w:r>
      <w:r w:rsidR="00EE1010">
        <w:t>nfrastruktura pro identifikaci zdrojů znečišťování (zejména monitorovací technika, laboratoře, zabezpečení sběru a zpracování vzorků a přenosu dat), správu a zpracování dat a pro vývoj a zdokonalování nástrojů pro modelování atmosféry</w:t>
      </w:r>
      <w:r>
        <w:t>,</w:t>
      </w:r>
    </w:p>
    <w:p w:rsidR="00BC78B6" w:rsidRPr="004314F4" w:rsidRDefault="007D184D" w:rsidP="00495FC1">
      <w:pPr>
        <w:pStyle w:val="Odstavecseseznamem"/>
        <w:numPr>
          <w:ilvl w:val="0"/>
          <w:numId w:val="12"/>
        </w:numPr>
      </w:pPr>
      <w:r>
        <w:t>r</w:t>
      </w:r>
      <w:r w:rsidR="00BC78B6">
        <w:t>ealizace integrovaných systémů a budování společné infrastruktury pro sledování kvality ovzduší, modelování s vysokým rozlišením a identifikaci zdrojů znečišťování, podpora implementace opatření vyplývajících z plánů a programů ke zlepšení kvality ovzduší v koordinaci s příhraničními regiony Polské a Slovenské republiky (např. v rámci programu  LIFE+ pro střední Evropu</w:t>
      </w:r>
      <w:r w:rsidR="00CF7E47">
        <w:t>.</w:t>
      </w:r>
    </w:p>
    <w:p w:rsidR="00EE1010" w:rsidRPr="004314F4" w:rsidRDefault="00EE1010" w:rsidP="00B66FDE">
      <w:bookmarkStart w:id="2366" w:name="_Toc384907373"/>
      <w:r w:rsidRPr="004314F4">
        <w:t>Hlavní cílové skupiny: Veřejný sektor</w:t>
      </w:r>
      <w:bookmarkEnd w:id="2366"/>
    </w:p>
    <w:p w:rsidR="00EE1010" w:rsidRDefault="00EE1010" w:rsidP="00B66FDE">
      <w:bookmarkStart w:id="2367" w:name="_Toc384907374"/>
      <w:r w:rsidRPr="004314F4">
        <w:t>Cílová území: území celé Č</w:t>
      </w:r>
      <w:r w:rsidR="0007549A">
        <w:t>eské republiky</w:t>
      </w:r>
      <w:bookmarkEnd w:id="2367"/>
    </w:p>
    <w:p w:rsidR="004B6C19" w:rsidRPr="004314F4" w:rsidRDefault="004B6C19" w:rsidP="00B66FDE"/>
    <w:p w:rsidR="001A3723" w:rsidRPr="007D184D" w:rsidRDefault="0033290F" w:rsidP="001A3723">
      <w:pPr>
        <w:rPr>
          <w:b/>
        </w:rPr>
      </w:pPr>
      <w:r w:rsidRPr="0033290F">
        <w:rPr>
          <w:b/>
        </w:rPr>
        <w:lastRenderedPageBreak/>
        <w:t>Typy příjemců:</w:t>
      </w:r>
    </w:p>
    <w:p w:rsidR="001A3723" w:rsidRPr="00CA2D14" w:rsidRDefault="001A3723" w:rsidP="001A3723">
      <w:pPr>
        <w:spacing w:after="0" w:afterAutospacing="0"/>
      </w:pPr>
      <w:r w:rsidRPr="00CA2D14">
        <w:t>Právnické osoby</w:t>
      </w:r>
      <w:r w:rsidR="007D184D">
        <w:t xml:space="preserve"> (pouze indikativní výčet)</w:t>
      </w:r>
      <w:r w:rsidRPr="00CA2D14">
        <w:t>:</w:t>
      </w:r>
    </w:p>
    <w:p w:rsidR="001A3723" w:rsidRPr="00CA2D14" w:rsidRDefault="001A3723" w:rsidP="00495FC1">
      <w:pPr>
        <w:pStyle w:val="Odstavecseseznamem"/>
        <w:numPr>
          <w:ilvl w:val="0"/>
          <w:numId w:val="101"/>
        </w:numPr>
        <w:spacing w:after="0" w:afterAutospacing="0"/>
        <w:jc w:val="left"/>
      </w:pPr>
      <w:r w:rsidRPr="00CA2D14">
        <w:t>kraje</w:t>
      </w:r>
      <w:r w:rsidR="007D184D">
        <w:t>,</w:t>
      </w:r>
    </w:p>
    <w:p w:rsidR="001A3723" w:rsidRPr="00CA2D14" w:rsidRDefault="001A3723" w:rsidP="00495FC1">
      <w:pPr>
        <w:pStyle w:val="Odstavecseseznamem"/>
        <w:numPr>
          <w:ilvl w:val="0"/>
          <w:numId w:val="101"/>
        </w:numPr>
        <w:spacing w:after="0" w:afterAutospacing="0"/>
        <w:jc w:val="left"/>
      </w:pPr>
      <w:r w:rsidRPr="00CA2D14">
        <w:t>obce</w:t>
      </w:r>
      <w:r w:rsidR="007D184D">
        <w:t>,</w:t>
      </w:r>
    </w:p>
    <w:p w:rsidR="001A3723" w:rsidRPr="00CA2D14" w:rsidRDefault="001A3723" w:rsidP="00495FC1">
      <w:pPr>
        <w:pStyle w:val="Odstavecseseznamem"/>
        <w:numPr>
          <w:ilvl w:val="0"/>
          <w:numId w:val="101"/>
        </w:numPr>
        <w:jc w:val="left"/>
      </w:pPr>
      <w:r w:rsidRPr="00CA2D14">
        <w:t>dobrovolné svazky obcí</w:t>
      </w:r>
      <w:r w:rsidR="007D184D">
        <w:t>,</w:t>
      </w:r>
    </w:p>
    <w:p w:rsidR="001A3723" w:rsidRPr="00CA2D14" w:rsidRDefault="001A3723" w:rsidP="00495FC1">
      <w:pPr>
        <w:pStyle w:val="Odstavecseseznamem"/>
        <w:numPr>
          <w:ilvl w:val="0"/>
          <w:numId w:val="101"/>
        </w:numPr>
        <w:jc w:val="left"/>
      </w:pPr>
      <w:r w:rsidRPr="00CA2D14">
        <w:t>příspěvkové organizace</w:t>
      </w:r>
      <w:r w:rsidR="007D184D">
        <w:t>,</w:t>
      </w:r>
    </w:p>
    <w:p w:rsidR="001A3723" w:rsidRPr="00CA2D14" w:rsidRDefault="001A3723" w:rsidP="00495FC1">
      <w:pPr>
        <w:pStyle w:val="Odstavecseseznamem"/>
        <w:numPr>
          <w:ilvl w:val="0"/>
          <w:numId w:val="101"/>
        </w:numPr>
        <w:jc w:val="left"/>
      </w:pPr>
      <w:r w:rsidRPr="00CA2D14">
        <w:t>státní podniky</w:t>
      </w:r>
      <w:r w:rsidR="007D184D">
        <w:t>,</w:t>
      </w:r>
    </w:p>
    <w:p w:rsidR="001A3723" w:rsidRPr="00CA2D14" w:rsidRDefault="001A3723" w:rsidP="00495FC1">
      <w:pPr>
        <w:pStyle w:val="Odstavecseseznamem"/>
        <w:numPr>
          <w:ilvl w:val="0"/>
          <w:numId w:val="101"/>
        </w:numPr>
        <w:jc w:val="left"/>
      </w:pPr>
      <w:r w:rsidRPr="00CA2D14">
        <w:t>organizační složky státu</w:t>
      </w:r>
      <w:r w:rsidR="007D184D">
        <w:t>,</w:t>
      </w:r>
    </w:p>
    <w:p w:rsidR="001A3723" w:rsidRPr="00CA2D14" w:rsidRDefault="001A3723" w:rsidP="00495FC1">
      <w:pPr>
        <w:pStyle w:val="Odstavecseseznamem"/>
        <w:numPr>
          <w:ilvl w:val="0"/>
          <w:numId w:val="101"/>
        </w:numPr>
        <w:jc w:val="left"/>
      </w:pPr>
      <w:r w:rsidRPr="00CA2D14">
        <w:t>spolky</w:t>
      </w:r>
      <w:r w:rsidR="007D184D">
        <w:t>,</w:t>
      </w:r>
    </w:p>
    <w:p w:rsidR="001A3723" w:rsidRPr="00CA2D14" w:rsidRDefault="001A3723" w:rsidP="00495FC1">
      <w:pPr>
        <w:pStyle w:val="Odstavecseseznamem"/>
        <w:numPr>
          <w:ilvl w:val="0"/>
          <w:numId w:val="101"/>
        </w:numPr>
        <w:jc w:val="left"/>
      </w:pPr>
      <w:r w:rsidRPr="00CA2D14">
        <w:t>veřejné výzkumné instituce.</w:t>
      </w:r>
    </w:p>
    <w:p w:rsidR="001A3723" w:rsidRPr="00CA2D14" w:rsidRDefault="001A3723" w:rsidP="001A3723">
      <w:pPr>
        <w:pStyle w:val="Default"/>
        <w:spacing w:after="100" w:afterAutospacing="1" w:line="276" w:lineRule="auto"/>
        <w:rPr>
          <w:rFonts w:ascii="Cambria" w:hAnsi="Cambria"/>
          <w:sz w:val="22"/>
          <w:szCs w:val="22"/>
        </w:rPr>
      </w:pPr>
      <w:r w:rsidRPr="00CA2D14">
        <w:rPr>
          <w:rFonts w:ascii="Cambria" w:hAnsi="Cambria" w:cstheme="minorBidi"/>
          <w:sz w:val="22"/>
          <w:szCs w:val="22"/>
        </w:rPr>
        <w:t>Pozn.: Okruh příjemců bude dále podrobněji definován v návazné řídící dokumentaci.</w:t>
      </w:r>
    </w:p>
    <w:p w:rsidR="009A45B9" w:rsidRDefault="00973425" w:rsidP="00165854">
      <w:pPr>
        <w:pStyle w:val="Nadpis5"/>
      </w:pPr>
      <w:bookmarkStart w:id="2368" w:name="_Toc392151003"/>
      <w:r>
        <w:t>Hlavní zásady</w:t>
      </w:r>
      <w:r w:rsidR="005F119E" w:rsidRPr="004314F4">
        <w:t xml:space="preserve"> pro výběr operací</w:t>
      </w:r>
      <w:bookmarkEnd w:id="2368"/>
    </w:p>
    <w:p w:rsidR="00E605D7" w:rsidRPr="00712789" w:rsidRDefault="00E605D7" w:rsidP="00E605D7">
      <w:r w:rsidRPr="00712789">
        <w:rPr>
          <w:rFonts w:cs="Times New Roman"/>
        </w:rPr>
        <w:t xml:space="preserve">Výběr projektů bude probíhat v souladu se závazným metodickým pokynem MMR pro řízení výzev, hodnocení a výběr projektů v programovém období 2014-2020. </w:t>
      </w:r>
    </w:p>
    <w:p w:rsidR="00E605D7" w:rsidRPr="00712789" w:rsidRDefault="00E605D7" w:rsidP="00E605D7">
      <w:r w:rsidRPr="00712789">
        <w:rPr>
          <w:rFonts w:cs="Times New Roman"/>
        </w:rPr>
        <w:t>Projekty budou hodnoceny a vybírány odbornými hodnotiteli podle kritérií pro výběr projektů, která schválí Monitorovací výbor OPŽP.</w:t>
      </w:r>
    </w:p>
    <w:p w:rsidR="00E605D7" w:rsidRPr="00712789" w:rsidRDefault="00E605D7" w:rsidP="00E605D7">
      <w:r w:rsidRPr="00712789">
        <w:rPr>
          <w:rFonts w:cs="Times New Roman"/>
        </w:rPr>
        <w:t>Při hodnocení a výběru projektů budou posuzována zejména kritéria ekolog</w:t>
      </w:r>
      <w:r w:rsidR="00CF7592">
        <w:rPr>
          <w:rFonts w:cs="Times New Roman"/>
        </w:rPr>
        <w:t>ická, technická a ekonomická. Vždy</w:t>
      </w:r>
      <w:r w:rsidRPr="00712789">
        <w:rPr>
          <w:rFonts w:cs="Times New Roman"/>
        </w:rPr>
        <w:t xml:space="preserve"> bude posuzován soul</w:t>
      </w:r>
      <w:r w:rsidR="007D184D">
        <w:rPr>
          <w:rFonts w:cs="Times New Roman"/>
        </w:rPr>
        <w:t>ad s příslušnými strategiemi na </w:t>
      </w:r>
      <w:r w:rsidR="000D4BCA">
        <w:rPr>
          <w:rFonts w:cs="Times New Roman"/>
        </w:rPr>
        <w:t>evropské, národní a </w:t>
      </w:r>
      <w:r w:rsidRPr="00712789">
        <w:rPr>
          <w:rFonts w:cs="Times New Roman"/>
        </w:rPr>
        <w:t>regionální úrovni.</w:t>
      </w:r>
    </w:p>
    <w:p w:rsidR="00E605D7" w:rsidRDefault="00E605D7" w:rsidP="00E605D7">
      <w:pPr>
        <w:rPr>
          <w:rFonts w:cs="Times New Roman"/>
        </w:rPr>
      </w:pPr>
      <w:r w:rsidRPr="00712789">
        <w:rPr>
          <w:rFonts w:cs="Times New Roman"/>
        </w:rPr>
        <w:t>Při hodnocení a výběru projektů bude posuzována rovněž problematika horizontálních témat (rovné příležitosti a nediskriminace, rovnost žen a mužů a udržitelný rozvoj). Projekt, u kterého bude identifikován negativní dopad na uvedená horizontální témata, nebude moci být podpořen z prostředků OPŽP.</w:t>
      </w:r>
    </w:p>
    <w:p w:rsidR="00DD2419" w:rsidRPr="001403B8" w:rsidRDefault="00DD2419" w:rsidP="00DD2419">
      <w:r w:rsidRPr="00C67531">
        <w:t>Vý</w:t>
      </w:r>
      <w:r w:rsidRPr="00AF78A1">
        <w:t>běr projektů ve specifickém cíli 2.1 a 2.2</w:t>
      </w:r>
      <w:r w:rsidRPr="00867370">
        <w:t xml:space="preserve"> bude </w:t>
      </w:r>
      <w:r>
        <w:t>vycházet z územních priorit stanovených v programech zlepšování kvality ovzduší zpracovaných pro jednotlivé zóny a aglomerace. Tato území byla vymezena na základě imisního monitoringu a modelování kvality ovzduší. Cílem v</w:t>
      </w:r>
      <w:r w:rsidRPr="00867370">
        <w:t>ý</w:t>
      </w:r>
      <w:r w:rsidRPr="003749A7">
        <w:t>běr</w:t>
      </w:r>
      <w:r>
        <w:t>u</w:t>
      </w:r>
      <w:r w:rsidRPr="003749A7">
        <w:t xml:space="preserve"> projektů u </w:t>
      </w:r>
      <w:r>
        <w:t>specifického cíle</w:t>
      </w:r>
      <w:r w:rsidRPr="003749A7">
        <w:t xml:space="preserve"> 2.3</w:t>
      </w:r>
      <w:r w:rsidRPr="001403B8">
        <w:t xml:space="preserve"> bude zlepšení systému sledování, hodnoce</w:t>
      </w:r>
      <w:r w:rsidR="00D84262">
        <w:t>ní a </w:t>
      </w:r>
      <w:r w:rsidRPr="001403B8">
        <w:t>předpovídání vývoje kvality ovzduší.</w:t>
      </w:r>
    </w:p>
    <w:p w:rsidR="00DD2419" w:rsidRDefault="00DD2419" w:rsidP="00DD2419">
      <w:r w:rsidRPr="007502C3">
        <w:t xml:space="preserve">Typové podporované projekty </w:t>
      </w:r>
      <w:r>
        <w:t>jsou</w:t>
      </w:r>
      <w:r w:rsidRPr="007502C3">
        <w:t xml:space="preserve"> v souladu se závěry Střednědobé strategie (do roku 2020) zlepšení kvality ovzduší v ČR a </w:t>
      </w:r>
      <w:r>
        <w:t>p</w:t>
      </w:r>
      <w:r w:rsidRPr="007502C3">
        <w:t>rogramy zlepšování kvality ovzduší pro jedno</w:t>
      </w:r>
      <w:r>
        <w:t>tlivé zóny a </w:t>
      </w:r>
      <w:r w:rsidRPr="007502C3">
        <w:t>aglomerace.</w:t>
      </w:r>
      <w:r>
        <w:t xml:space="preserve"> Budou podporovány projekty vyhodnocené Střednědobou strategií (do roku 2020) zlepšení kvality ovzduší v ČR či programy zlepšování kvality ovzduší jako prioritní, a to buď z pohledu jejich realizace v území prioritním pro intervence z hlediska uvedených strategických dokumentů, nebo z pohledu preferovaných typů projektů z hlediska uvedených strategických dokumentů a s přihlédnutím k jejich efektivnosti.</w:t>
      </w:r>
    </w:p>
    <w:p w:rsidR="00DD2419" w:rsidRPr="00712789" w:rsidRDefault="00DD2419" w:rsidP="00DD2419">
      <w:r w:rsidRPr="007502C3">
        <w:lastRenderedPageBreak/>
        <w:t>Podporovány budou pouze projekty přinášející nákladově efektivní snížení emisí.</w:t>
      </w:r>
    </w:p>
    <w:p w:rsidR="00EC1B97" w:rsidRDefault="00E605D7" w:rsidP="004B6C19">
      <w:pPr>
        <w:rPr>
          <w:rFonts w:cs="Times New Roman"/>
        </w:rPr>
      </w:pPr>
      <w:r w:rsidRPr="00712789">
        <w:rPr>
          <w:rFonts w:cs="Times New Roman"/>
        </w:rPr>
        <w:t>Podrobné informace o kritériích pro výběr projektů k podpoře budou uvedeny v návazné řídící dokumentaci.</w:t>
      </w:r>
    </w:p>
    <w:p w:rsidR="00EC1B97" w:rsidRPr="004B6C19" w:rsidRDefault="00EC1B97" w:rsidP="00E605D7">
      <w:pPr>
        <w:pStyle w:val="Odstavecseseznamem"/>
        <w:ind w:left="0"/>
        <w:rPr>
          <w:rFonts w:cs="Times New Roman"/>
        </w:rPr>
      </w:pPr>
      <w:r>
        <w:rPr>
          <w:rFonts w:cs="Times New Roman"/>
        </w:rPr>
        <w:t>Ve specifickém cíli 2.1 mohou být vyhlašovány výzvy na globální granty.</w:t>
      </w:r>
    </w:p>
    <w:p w:rsidR="00DA4550" w:rsidRDefault="00DA4550" w:rsidP="00B66FDE">
      <w:bookmarkStart w:id="2369" w:name="_Toc391014785"/>
      <w:bookmarkStart w:id="2370" w:name="_Toc391015936"/>
      <w:bookmarkStart w:id="2371" w:name="_Toc391016895"/>
      <w:bookmarkStart w:id="2372" w:name="_Toc391018008"/>
      <w:bookmarkStart w:id="2373" w:name="_Toc391019120"/>
      <w:bookmarkStart w:id="2374" w:name="_Toc391014786"/>
      <w:bookmarkStart w:id="2375" w:name="_Toc391015937"/>
      <w:bookmarkStart w:id="2376" w:name="_Toc391016896"/>
      <w:bookmarkStart w:id="2377" w:name="_Toc391018009"/>
      <w:bookmarkStart w:id="2378" w:name="_Toc391019121"/>
      <w:bookmarkEnd w:id="2369"/>
      <w:bookmarkEnd w:id="2370"/>
      <w:bookmarkEnd w:id="2371"/>
      <w:bookmarkEnd w:id="2372"/>
      <w:bookmarkEnd w:id="2373"/>
      <w:bookmarkEnd w:id="2374"/>
      <w:bookmarkEnd w:id="2375"/>
      <w:bookmarkEnd w:id="2376"/>
      <w:bookmarkEnd w:id="2377"/>
      <w:bookmarkEnd w:id="2378"/>
      <w:r w:rsidRPr="00AD339F">
        <w:t>Při výběru operací ve vztahu ke specifickému cíli 1 a specifickému cíli</w:t>
      </w:r>
      <w:r w:rsidRPr="00814D76">
        <w:t xml:space="preserve"> 2 bude zohledněn přínos plánovaných operací ke zvýšení energetické účinnosti</w:t>
      </w:r>
      <w:r w:rsidRPr="00A9413B">
        <w:t xml:space="preserve"> i jejich případný příspěvek ke</w:t>
      </w:r>
      <w:r w:rsidR="007D184D">
        <w:t> </w:t>
      </w:r>
      <w:r w:rsidRPr="00A9413B">
        <w:t>zvýšení  využití obnovitelných zdrojů energie</w:t>
      </w:r>
      <w:r w:rsidR="0078240A">
        <w:t>.</w:t>
      </w:r>
    </w:p>
    <w:p w:rsidR="00240544" w:rsidRPr="00240544" w:rsidRDefault="00240544" w:rsidP="00B66FDE">
      <w:r w:rsidRPr="00240544">
        <w:t xml:space="preserve">V rámci specifického cíle 2 prioritní osy 2 nebudou podporovány typy aktivit definované prioritní osou 5, specifickým cílem 1 pod písmeny A </w:t>
      </w:r>
      <w:proofErr w:type="spellStart"/>
      <w:r w:rsidRPr="00240544">
        <w:t>a</w:t>
      </w:r>
      <w:proofErr w:type="spellEnd"/>
      <w:r w:rsidRPr="00240544">
        <w:t xml:space="preserve"> C realizované ve veřejných budovách</w:t>
      </w:r>
      <w:r>
        <w:t>.</w:t>
      </w:r>
    </w:p>
    <w:p w:rsidR="005F119E" w:rsidRDefault="005F119E" w:rsidP="00165854">
      <w:pPr>
        <w:pStyle w:val="Nadpis5"/>
      </w:pPr>
      <w:bookmarkStart w:id="2379" w:name="_Toc392151004"/>
      <w:r w:rsidRPr="004314F4">
        <w:t>Plánované využití finančních nástrojů</w:t>
      </w:r>
      <w:bookmarkEnd w:id="2379"/>
    </w:p>
    <w:p w:rsidR="000B65E1" w:rsidRDefault="0033290F" w:rsidP="000B65E1">
      <w:bookmarkStart w:id="2380" w:name="_Toc391014788"/>
      <w:bookmarkStart w:id="2381" w:name="_Toc391015939"/>
      <w:bookmarkStart w:id="2382" w:name="_Toc391016898"/>
      <w:bookmarkStart w:id="2383" w:name="_Toc391018011"/>
      <w:bookmarkStart w:id="2384" w:name="_Toc391019123"/>
      <w:bookmarkEnd w:id="2380"/>
      <w:bookmarkEnd w:id="2381"/>
      <w:bookmarkEnd w:id="2382"/>
      <w:bookmarkEnd w:id="2383"/>
      <w:bookmarkEnd w:id="2384"/>
      <w:r w:rsidRPr="0033290F">
        <w:t>V rámci této prioritní osy se s využitím finančního nástroje uvažuje a bude blíže</w:t>
      </w:r>
      <w:r w:rsidR="000B65E1">
        <w:t xml:space="preserve"> </w:t>
      </w:r>
      <w:r w:rsidRPr="0033290F">
        <w:t>specifikováno na základě výsledků ex-ante hodnocení</w:t>
      </w:r>
      <w:r w:rsidR="00334721" w:rsidRPr="000B65E1">
        <w:t>.</w:t>
      </w:r>
    </w:p>
    <w:p w:rsidR="005F119E" w:rsidRPr="000B65E1" w:rsidRDefault="00973425" w:rsidP="000B65E1">
      <w:pPr>
        <w:pStyle w:val="Nadpis5"/>
      </w:pPr>
      <w:bookmarkStart w:id="2385" w:name="_Toc392151005"/>
      <w:r w:rsidRPr="000B65E1">
        <w:t xml:space="preserve">Plánované využití </w:t>
      </w:r>
      <w:r w:rsidR="005F119E" w:rsidRPr="000B65E1">
        <w:t>velkých projektů</w:t>
      </w:r>
      <w:bookmarkEnd w:id="2385"/>
    </w:p>
    <w:p w:rsidR="00DD535A" w:rsidRPr="004314F4" w:rsidRDefault="00614CFB" w:rsidP="00B66FDE">
      <w:r w:rsidRPr="004314F4">
        <w:t xml:space="preserve">V rámci Prioritní osy </w:t>
      </w:r>
      <w:r>
        <w:t>2</w:t>
      </w:r>
      <w:r w:rsidRPr="004314F4">
        <w:t xml:space="preserve"> se </w:t>
      </w:r>
      <w:r>
        <w:t>v současné chvíli ne</w:t>
      </w:r>
      <w:r w:rsidRPr="004314F4">
        <w:t>pře</w:t>
      </w:r>
      <w:r>
        <w:t>d</w:t>
      </w:r>
      <w:r w:rsidRPr="004314F4">
        <w:t xml:space="preserve">pokládá </w:t>
      </w:r>
      <w:r>
        <w:t xml:space="preserve">realizace </w:t>
      </w:r>
      <w:r w:rsidRPr="004314F4">
        <w:t xml:space="preserve">velkého projektu. </w:t>
      </w:r>
    </w:p>
    <w:p w:rsidR="005F119E" w:rsidRPr="00790708" w:rsidRDefault="00973425" w:rsidP="00165854">
      <w:pPr>
        <w:pStyle w:val="Nadpis5"/>
      </w:pPr>
      <w:bookmarkStart w:id="2386" w:name="_Toc392151006"/>
      <w:r>
        <w:t>Ukazatele výstupů podle investiční priority a případně podle kategorie regionů</w:t>
      </w:r>
      <w:bookmarkEnd w:id="2386"/>
    </w:p>
    <w:p w:rsidR="009A45B9" w:rsidRDefault="00001231" w:rsidP="00165854">
      <w:pPr>
        <w:pStyle w:val="Titulek"/>
      </w:pPr>
      <w:bookmarkStart w:id="2387" w:name="_Toc384907379"/>
      <w:r w:rsidRPr="004314F4">
        <w:t>Společné a specifické</w:t>
      </w:r>
      <w:r w:rsidR="009F06C9">
        <w:t xml:space="preserve"> programové</w:t>
      </w:r>
      <w:r w:rsidRPr="004314F4">
        <w:t xml:space="preserve"> indikátory výstup</w:t>
      </w:r>
      <w:r w:rsidR="00973425">
        <w:t>ů</w:t>
      </w:r>
      <w:r w:rsidRPr="004314F4">
        <w:t xml:space="preserve"> PO</w:t>
      </w:r>
      <w:r w:rsidR="00973425">
        <w:t xml:space="preserve"> </w:t>
      </w:r>
      <w:r w:rsidRPr="004314F4">
        <w:t>2</w:t>
      </w:r>
      <w:bookmarkEnd w:id="238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632"/>
        <w:gridCol w:w="2951"/>
        <w:gridCol w:w="845"/>
        <w:gridCol w:w="745"/>
        <w:gridCol w:w="1134"/>
        <w:gridCol w:w="993"/>
        <w:gridCol w:w="850"/>
        <w:gridCol w:w="1060"/>
      </w:tblGrid>
      <w:tr w:rsidR="00495193" w:rsidRPr="00F37B1C" w:rsidTr="00495193">
        <w:tc>
          <w:tcPr>
            <w:tcW w:w="632" w:type="dxa"/>
            <w:tcBorders>
              <w:top w:val="single" w:sz="2" w:space="0" w:color="auto"/>
              <w:left w:val="single" w:sz="2" w:space="0" w:color="auto"/>
              <w:bottom w:val="single" w:sz="12" w:space="0" w:color="auto"/>
              <w:right w:val="single" w:sz="2" w:space="0" w:color="auto"/>
            </w:tcBorders>
            <w:shd w:val="clear" w:color="auto" w:fill="BFBFBF" w:themeFill="background1" w:themeFillShade="BF"/>
            <w:vAlign w:val="center"/>
          </w:tcPr>
          <w:p w:rsidR="00973425" w:rsidRPr="003A2CB2" w:rsidRDefault="00973425" w:rsidP="00B66FDE">
            <w:pPr>
              <w:rPr>
                <w:rFonts w:eastAsia="Times New Roman" w:cs="Times New Roman"/>
                <w:b/>
                <w:sz w:val="20"/>
                <w:szCs w:val="20"/>
              </w:rPr>
            </w:pPr>
            <w:r w:rsidRPr="003A2CB2">
              <w:rPr>
                <w:rFonts w:eastAsia="Times New Roman" w:cs="Times New Roman"/>
                <w:b/>
                <w:sz w:val="20"/>
                <w:szCs w:val="20"/>
              </w:rPr>
              <w:t>ID</w:t>
            </w:r>
          </w:p>
        </w:tc>
        <w:tc>
          <w:tcPr>
            <w:tcW w:w="2951" w:type="dxa"/>
            <w:tcBorders>
              <w:top w:val="single" w:sz="2" w:space="0" w:color="auto"/>
              <w:left w:val="single" w:sz="2" w:space="0" w:color="auto"/>
              <w:bottom w:val="single" w:sz="12" w:space="0" w:color="auto"/>
              <w:right w:val="single" w:sz="2" w:space="0" w:color="auto"/>
            </w:tcBorders>
            <w:shd w:val="clear" w:color="auto" w:fill="BFBFBF" w:themeFill="background1" w:themeFillShade="BF"/>
            <w:vAlign w:val="center"/>
          </w:tcPr>
          <w:p w:rsidR="00973425" w:rsidRPr="003A2CB2" w:rsidRDefault="00973425" w:rsidP="00B66FDE">
            <w:pPr>
              <w:rPr>
                <w:rFonts w:eastAsia="Times New Roman" w:cs="Times New Roman"/>
                <w:b/>
                <w:sz w:val="20"/>
                <w:szCs w:val="20"/>
              </w:rPr>
            </w:pPr>
            <w:r w:rsidRPr="003A2CB2">
              <w:rPr>
                <w:rFonts w:eastAsia="Times New Roman" w:cs="Times New Roman"/>
                <w:b/>
                <w:sz w:val="20"/>
                <w:szCs w:val="20"/>
              </w:rPr>
              <w:t>Ukazatel</w:t>
            </w:r>
          </w:p>
        </w:tc>
        <w:tc>
          <w:tcPr>
            <w:tcW w:w="845" w:type="dxa"/>
            <w:tcBorders>
              <w:top w:val="single" w:sz="2" w:space="0" w:color="auto"/>
              <w:left w:val="single" w:sz="2" w:space="0" w:color="auto"/>
              <w:bottom w:val="single" w:sz="12" w:space="0" w:color="auto"/>
              <w:right w:val="single" w:sz="2" w:space="0" w:color="auto"/>
            </w:tcBorders>
            <w:shd w:val="clear" w:color="auto" w:fill="BFBFBF" w:themeFill="background1" w:themeFillShade="BF"/>
            <w:vAlign w:val="center"/>
          </w:tcPr>
          <w:p w:rsidR="00973425" w:rsidRPr="003A2CB2" w:rsidRDefault="0033290F" w:rsidP="00B66FDE">
            <w:pPr>
              <w:rPr>
                <w:rFonts w:eastAsia="Times New Roman" w:cs="Times New Roman"/>
                <w:b/>
                <w:sz w:val="20"/>
                <w:szCs w:val="20"/>
              </w:rPr>
            </w:pPr>
            <w:r w:rsidRPr="0033290F">
              <w:rPr>
                <w:rFonts w:eastAsia="Times New Roman" w:cs="Times New Roman"/>
                <w:b/>
                <w:sz w:val="20"/>
                <w:szCs w:val="20"/>
              </w:rPr>
              <w:t>Měrná jednotka</w:t>
            </w:r>
          </w:p>
        </w:tc>
        <w:tc>
          <w:tcPr>
            <w:tcW w:w="745" w:type="dxa"/>
            <w:tcBorders>
              <w:top w:val="single" w:sz="2" w:space="0" w:color="auto"/>
              <w:left w:val="single" w:sz="2" w:space="0" w:color="auto"/>
              <w:bottom w:val="single" w:sz="12" w:space="0" w:color="auto"/>
              <w:right w:val="single" w:sz="2" w:space="0" w:color="auto"/>
            </w:tcBorders>
            <w:shd w:val="clear" w:color="auto" w:fill="BFBFBF" w:themeFill="background1" w:themeFillShade="BF"/>
            <w:vAlign w:val="center"/>
          </w:tcPr>
          <w:p w:rsidR="00973425" w:rsidRPr="003A2CB2" w:rsidRDefault="0033290F" w:rsidP="00B66FDE">
            <w:pPr>
              <w:rPr>
                <w:rFonts w:eastAsia="Times New Roman" w:cs="Times New Roman"/>
                <w:b/>
                <w:sz w:val="20"/>
                <w:szCs w:val="20"/>
              </w:rPr>
            </w:pPr>
            <w:r w:rsidRPr="0033290F">
              <w:rPr>
                <w:rFonts w:eastAsia="Times New Roman" w:cs="Times New Roman"/>
                <w:b/>
                <w:sz w:val="20"/>
                <w:szCs w:val="20"/>
              </w:rPr>
              <w:t>Fond</w:t>
            </w:r>
          </w:p>
        </w:tc>
        <w:tc>
          <w:tcPr>
            <w:tcW w:w="1134" w:type="dxa"/>
            <w:tcBorders>
              <w:top w:val="single" w:sz="2" w:space="0" w:color="auto"/>
              <w:left w:val="single" w:sz="2" w:space="0" w:color="auto"/>
              <w:bottom w:val="single" w:sz="12" w:space="0" w:color="auto"/>
              <w:right w:val="single" w:sz="2" w:space="0" w:color="auto"/>
            </w:tcBorders>
            <w:shd w:val="clear" w:color="auto" w:fill="BFBFBF" w:themeFill="background1" w:themeFillShade="BF"/>
          </w:tcPr>
          <w:p w:rsidR="00973425" w:rsidRPr="003A2CB2" w:rsidRDefault="0033290F" w:rsidP="00B66FDE">
            <w:pPr>
              <w:rPr>
                <w:rFonts w:eastAsia="Times New Roman" w:cs="Times New Roman"/>
                <w:b/>
                <w:sz w:val="20"/>
                <w:szCs w:val="20"/>
              </w:rPr>
            </w:pPr>
            <w:r w:rsidRPr="0033290F">
              <w:rPr>
                <w:rFonts w:eastAsia="Times New Roman" w:cs="Times New Roman"/>
                <w:b/>
                <w:sz w:val="20"/>
                <w:szCs w:val="20"/>
              </w:rPr>
              <w:t>Kategorie regionů</w:t>
            </w:r>
          </w:p>
        </w:tc>
        <w:tc>
          <w:tcPr>
            <w:tcW w:w="993" w:type="dxa"/>
            <w:tcBorders>
              <w:top w:val="single" w:sz="2" w:space="0" w:color="auto"/>
              <w:left w:val="single" w:sz="2" w:space="0" w:color="auto"/>
              <w:bottom w:val="single" w:sz="12" w:space="0" w:color="auto"/>
              <w:right w:val="single" w:sz="2" w:space="0" w:color="auto"/>
            </w:tcBorders>
            <w:shd w:val="clear" w:color="auto" w:fill="BFBFBF" w:themeFill="background1" w:themeFillShade="BF"/>
            <w:vAlign w:val="center"/>
          </w:tcPr>
          <w:p w:rsidR="00973425" w:rsidRPr="003A2CB2" w:rsidRDefault="0033290F" w:rsidP="00B66FDE">
            <w:pPr>
              <w:rPr>
                <w:rFonts w:eastAsia="Times New Roman" w:cs="Times New Roman"/>
                <w:b/>
                <w:sz w:val="20"/>
                <w:szCs w:val="20"/>
              </w:rPr>
            </w:pPr>
            <w:r w:rsidRPr="0033290F">
              <w:rPr>
                <w:rFonts w:eastAsia="Times New Roman" w:cs="Times New Roman"/>
                <w:b/>
                <w:sz w:val="20"/>
                <w:szCs w:val="20"/>
              </w:rPr>
              <w:t>Cílová hodnota (2023)</w:t>
            </w:r>
          </w:p>
        </w:tc>
        <w:tc>
          <w:tcPr>
            <w:tcW w:w="850" w:type="dxa"/>
            <w:tcBorders>
              <w:top w:val="single" w:sz="2" w:space="0" w:color="auto"/>
              <w:left w:val="single" w:sz="2" w:space="0" w:color="auto"/>
              <w:bottom w:val="single" w:sz="12" w:space="0" w:color="auto"/>
              <w:right w:val="single" w:sz="2" w:space="0" w:color="auto"/>
            </w:tcBorders>
            <w:shd w:val="clear" w:color="auto" w:fill="BFBFBF" w:themeFill="background1" w:themeFillShade="BF"/>
            <w:vAlign w:val="center"/>
          </w:tcPr>
          <w:p w:rsidR="00973425" w:rsidRPr="003A2CB2" w:rsidRDefault="0033290F" w:rsidP="00B66FDE">
            <w:pPr>
              <w:rPr>
                <w:rFonts w:eastAsia="Times New Roman" w:cs="Times New Roman"/>
                <w:b/>
                <w:sz w:val="20"/>
                <w:szCs w:val="20"/>
              </w:rPr>
            </w:pPr>
            <w:r w:rsidRPr="0033290F">
              <w:rPr>
                <w:rFonts w:eastAsia="Times New Roman" w:cs="Times New Roman"/>
                <w:b/>
                <w:sz w:val="20"/>
                <w:szCs w:val="20"/>
              </w:rPr>
              <w:t>Zdroj údajů</w:t>
            </w:r>
          </w:p>
        </w:tc>
        <w:tc>
          <w:tcPr>
            <w:tcW w:w="1060" w:type="dxa"/>
            <w:tcBorders>
              <w:top w:val="single" w:sz="2" w:space="0" w:color="auto"/>
              <w:left w:val="single" w:sz="2" w:space="0" w:color="auto"/>
              <w:bottom w:val="single" w:sz="12" w:space="0" w:color="auto"/>
              <w:right w:val="single" w:sz="2" w:space="0" w:color="auto"/>
            </w:tcBorders>
            <w:shd w:val="clear" w:color="auto" w:fill="BFBFBF" w:themeFill="background1" w:themeFillShade="BF"/>
          </w:tcPr>
          <w:p w:rsidR="00973425" w:rsidRPr="003A2CB2" w:rsidRDefault="0033290F" w:rsidP="00B66FDE">
            <w:pPr>
              <w:rPr>
                <w:rFonts w:eastAsia="Times New Roman" w:cs="Times New Roman"/>
                <w:b/>
                <w:sz w:val="20"/>
                <w:szCs w:val="20"/>
              </w:rPr>
            </w:pPr>
            <w:r w:rsidRPr="0033290F">
              <w:rPr>
                <w:rFonts w:eastAsia="Times New Roman" w:cs="Times New Roman"/>
                <w:b/>
                <w:sz w:val="20"/>
                <w:szCs w:val="20"/>
              </w:rPr>
              <w:t>Četnost podávání zpráv</w:t>
            </w:r>
          </w:p>
        </w:tc>
      </w:tr>
      <w:tr w:rsidR="00495193" w:rsidRPr="00F37B1C" w:rsidTr="00495193">
        <w:tc>
          <w:tcPr>
            <w:tcW w:w="632" w:type="dxa"/>
            <w:tcBorders>
              <w:top w:val="single" w:sz="1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973425" w:rsidP="00B66FDE">
            <w:pPr>
              <w:rPr>
                <w:rFonts w:eastAsia="Times New Roman" w:cs="Times New Roman"/>
                <w:sz w:val="20"/>
                <w:szCs w:val="20"/>
              </w:rPr>
            </w:pPr>
            <w:r w:rsidRPr="003A2CB2">
              <w:rPr>
                <w:rFonts w:eastAsia="Times New Roman" w:cs="Times New Roman"/>
                <w:sz w:val="20"/>
                <w:szCs w:val="20"/>
              </w:rPr>
              <w:t> </w:t>
            </w:r>
            <w:r w:rsidR="0001146D">
              <w:rPr>
                <w:rFonts w:eastAsia="Times New Roman" w:cs="Times New Roman"/>
                <w:sz w:val="20"/>
                <w:szCs w:val="20"/>
              </w:rPr>
              <w:t>361</w:t>
            </w:r>
            <w:r w:rsidR="0001146D" w:rsidRPr="0001146D">
              <w:rPr>
                <w:rFonts w:eastAsia="Times New Roman" w:cs="Times New Roman"/>
                <w:sz w:val="20"/>
                <w:szCs w:val="20"/>
              </w:rPr>
              <w:t>01</w:t>
            </w:r>
          </w:p>
        </w:tc>
        <w:tc>
          <w:tcPr>
            <w:tcW w:w="2951" w:type="dxa"/>
            <w:tcBorders>
              <w:top w:val="single" w:sz="1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973425" w:rsidP="00B66FDE">
            <w:pPr>
              <w:rPr>
                <w:rFonts w:eastAsia="Times New Roman" w:cs="Times New Roman"/>
                <w:b/>
                <w:sz w:val="20"/>
                <w:szCs w:val="20"/>
                <w:lang w:val="en-GB" w:eastAsia="fr-BE"/>
              </w:rPr>
            </w:pPr>
            <w:r w:rsidRPr="003A2CB2">
              <w:rPr>
                <w:rFonts w:eastAsia="Times New Roman" w:cs="Times New Roman"/>
                <w:sz w:val="20"/>
                <w:szCs w:val="20"/>
              </w:rPr>
              <w:t xml:space="preserve">Počet stacionárních zdrojů znečišťování ovzduší, u kterých bylo provedeno opatření ke snížení emisí </w:t>
            </w:r>
          </w:p>
        </w:tc>
        <w:tc>
          <w:tcPr>
            <w:tcW w:w="845" w:type="dxa"/>
            <w:tcBorders>
              <w:top w:val="single" w:sz="1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33290F" w:rsidP="00B66FDE">
            <w:pPr>
              <w:rPr>
                <w:rFonts w:eastAsia="Times New Roman" w:cs="Times New Roman"/>
                <w:sz w:val="20"/>
                <w:szCs w:val="20"/>
              </w:rPr>
            </w:pPr>
            <w:r w:rsidRPr="0033290F">
              <w:rPr>
                <w:rFonts w:eastAsia="Times New Roman" w:cs="Times New Roman"/>
                <w:sz w:val="20"/>
                <w:szCs w:val="20"/>
              </w:rPr>
              <w:t>ks</w:t>
            </w:r>
          </w:p>
        </w:tc>
        <w:tc>
          <w:tcPr>
            <w:tcW w:w="745" w:type="dxa"/>
            <w:tcBorders>
              <w:top w:val="single" w:sz="1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33290F" w:rsidP="00B66FDE">
            <w:pPr>
              <w:rPr>
                <w:rFonts w:eastAsia="Times New Roman" w:cs="Times New Roman"/>
                <w:sz w:val="20"/>
                <w:szCs w:val="20"/>
              </w:rPr>
            </w:pPr>
            <w:r w:rsidRPr="0033290F">
              <w:rPr>
                <w:rFonts w:eastAsia="Times New Roman" w:cs="Times New Roman"/>
                <w:sz w:val="20"/>
                <w:szCs w:val="20"/>
              </w:rPr>
              <w:t>FS</w:t>
            </w:r>
          </w:p>
        </w:tc>
        <w:tc>
          <w:tcPr>
            <w:tcW w:w="1134" w:type="dxa"/>
            <w:tcBorders>
              <w:top w:val="single" w:sz="12" w:space="0" w:color="auto"/>
              <w:left w:val="single" w:sz="2" w:space="0" w:color="auto"/>
              <w:bottom w:val="single" w:sz="2" w:space="0" w:color="auto"/>
              <w:right w:val="single" w:sz="2" w:space="0" w:color="auto"/>
            </w:tcBorders>
            <w:shd w:val="clear" w:color="auto" w:fill="FFFFFF" w:themeFill="background1"/>
          </w:tcPr>
          <w:p w:rsidR="00973425" w:rsidRPr="003A2CB2" w:rsidRDefault="0033290F" w:rsidP="00B66FDE">
            <w:pPr>
              <w:rPr>
                <w:rFonts w:eastAsia="Times New Roman" w:cs="Times New Roman"/>
                <w:sz w:val="20"/>
                <w:szCs w:val="20"/>
              </w:rPr>
            </w:pPr>
            <w:r w:rsidRPr="0033290F">
              <w:rPr>
                <w:sz w:val="20"/>
                <w:szCs w:val="20"/>
              </w:rPr>
              <w:t>Není relevantní</w:t>
            </w:r>
          </w:p>
        </w:tc>
        <w:tc>
          <w:tcPr>
            <w:tcW w:w="993" w:type="dxa"/>
            <w:tcBorders>
              <w:top w:val="single" w:sz="1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33290F" w:rsidP="00B66FDE">
            <w:pPr>
              <w:rPr>
                <w:rFonts w:eastAsia="Times New Roman" w:cs="Times New Roman"/>
                <w:sz w:val="20"/>
                <w:szCs w:val="20"/>
              </w:rPr>
            </w:pPr>
            <w:r w:rsidRPr="0033290F">
              <w:rPr>
                <w:rFonts w:eastAsia="Times New Roman" w:cs="Times New Roman"/>
                <w:sz w:val="20"/>
                <w:szCs w:val="20"/>
              </w:rPr>
              <w:t> 12 0400</w:t>
            </w:r>
          </w:p>
        </w:tc>
        <w:tc>
          <w:tcPr>
            <w:tcW w:w="850" w:type="dxa"/>
            <w:tcBorders>
              <w:top w:val="single" w:sz="1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33290F" w:rsidP="00B66FDE">
            <w:pPr>
              <w:rPr>
                <w:rFonts w:eastAsia="Times New Roman" w:cs="Times New Roman"/>
                <w:sz w:val="20"/>
                <w:szCs w:val="20"/>
              </w:rPr>
            </w:pPr>
            <w:r w:rsidRPr="0033290F">
              <w:rPr>
                <w:rFonts w:eastAsia="Times New Roman" w:cs="Times New Roman"/>
                <w:sz w:val="20"/>
                <w:szCs w:val="20"/>
              </w:rPr>
              <w:t>Žadatel/příjemce</w:t>
            </w:r>
          </w:p>
        </w:tc>
        <w:tc>
          <w:tcPr>
            <w:tcW w:w="1060" w:type="dxa"/>
            <w:tcBorders>
              <w:top w:val="single" w:sz="1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33290F" w:rsidP="00B66FDE">
            <w:pPr>
              <w:rPr>
                <w:rFonts w:eastAsia="Times New Roman" w:cs="Times New Roman"/>
                <w:sz w:val="20"/>
                <w:szCs w:val="20"/>
              </w:rPr>
            </w:pPr>
            <w:r w:rsidRPr="0033290F">
              <w:rPr>
                <w:rFonts w:asciiTheme="majorHAnsi" w:hAnsiTheme="majorHAnsi"/>
                <w:bCs/>
                <w:sz w:val="20"/>
                <w:szCs w:val="20"/>
              </w:rPr>
              <w:t>Průběžně</w:t>
            </w:r>
          </w:p>
        </w:tc>
      </w:tr>
      <w:tr w:rsidR="00495193" w:rsidRPr="00F37B1C" w:rsidTr="00495193">
        <w:tc>
          <w:tcPr>
            <w:tcW w:w="63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973425" w:rsidP="0001146D">
            <w:pPr>
              <w:rPr>
                <w:rFonts w:eastAsia="Times New Roman" w:cs="Times New Roman"/>
                <w:sz w:val="20"/>
                <w:szCs w:val="20"/>
              </w:rPr>
            </w:pPr>
            <w:r w:rsidRPr="003A2CB2">
              <w:rPr>
                <w:rFonts w:eastAsia="Times New Roman" w:cs="Times New Roman"/>
                <w:sz w:val="20"/>
                <w:szCs w:val="20"/>
              </w:rPr>
              <w:t> </w:t>
            </w:r>
            <w:r w:rsidR="0001146D">
              <w:rPr>
                <w:rFonts w:eastAsia="Times New Roman" w:cs="Times New Roman"/>
                <w:sz w:val="20"/>
                <w:szCs w:val="20"/>
              </w:rPr>
              <w:t>3</w:t>
            </w:r>
            <w:r w:rsidR="0001146D" w:rsidRPr="0001146D">
              <w:rPr>
                <w:rFonts w:eastAsia="Times New Roman" w:cs="Times New Roman"/>
                <w:sz w:val="20"/>
                <w:szCs w:val="20"/>
              </w:rPr>
              <w:t>7001</w:t>
            </w:r>
          </w:p>
        </w:tc>
        <w:tc>
          <w:tcPr>
            <w:tcW w:w="29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973425" w:rsidP="00B66FDE">
            <w:pPr>
              <w:rPr>
                <w:rFonts w:eastAsia="Times New Roman" w:cs="Times New Roman"/>
                <w:b/>
                <w:sz w:val="20"/>
                <w:szCs w:val="20"/>
                <w:lang w:val="en-GB" w:eastAsia="fr-BE"/>
              </w:rPr>
            </w:pPr>
            <w:r w:rsidRPr="003A2CB2">
              <w:rPr>
                <w:rFonts w:eastAsia="Times New Roman" w:cs="Times New Roman"/>
                <w:sz w:val="20"/>
                <w:szCs w:val="20"/>
              </w:rPr>
              <w:t>Počet pořízených přístrojů a techniky ke s</w:t>
            </w:r>
            <w:r w:rsidR="0033290F" w:rsidRPr="0033290F">
              <w:rPr>
                <w:rFonts w:eastAsia="Times New Roman" w:cs="Times New Roman"/>
                <w:sz w:val="20"/>
                <w:szCs w:val="20"/>
              </w:rPr>
              <w:t>ledování, hodnocení a předpovídání kvality ovzduší, počasí, klimatu a ozonové vrstvy Země</w:t>
            </w:r>
          </w:p>
        </w:tc>
        <w:tc>
          <w:tcPr>
            <w:tcW w:w="84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33290F" w:rsidP="00B66FDE">
            <w:pPr>
              <w:rPr>
                <w:rFonts w:eastAsia="Times New Roman" w:cs="Times New Roman"/>
                <w:sz w:val="20"/>
                <w:szCs w:val="20"/>
              </w:rPr>
            </w:pPr>
            <w:r w:rsidRPr="0033290F">
              <w:rPr>
                <w:rFonts w:eastAsia="Times New Roman" w:cs="Times New Roman"/>
                <w:sz w:val="20"/>
                <w:szCs w:val="20"/>
              </w:rPr>
              <w:t>ks</w:t>
            </w:r>
          </w:p>
        </w:tc>
        <w:tc>
          <w:tcPr>
            <w:tcW w:w="74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33290F" w:rsidP="00B66FDE">
            <w:pPr>
              <w:rPr>
                <w:rFonts w:eastAsia="Times New Roman" w:cs="Times New Roman"/>
                <w:sz w:val="20"/>
                <w:szCs w:val="20"/>
              </w:rPr>
            </w:pPr>
            <w:r w:rsidRPr="0033290F">
              <w:rPr>
                <w:rFonts w:eastAsia="Times New Roman" w:cs="Times New Roman"/>
                <w:sz w:val="20"/>
                <w:szCs w:val="20"/>
              </w:rPr>
              <w:t>FS</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tcPr>
          <w:p w:rsidR="00973425" w:rsidRPr="003A2CB2" w:rsidRDefault="0033290F" w:rsidP="00B66FDE">
            <w:pPr>
              <w:rPr>
                <w:rFonts w:eastAsia="Times New Roman" w:cs="Times New Roman"/>
                <w:sz w:val="20"/>
                <w:szCs w:val="20"/>
              </w:rPr>
            </w:pPr>
            <w:r w:rsidRPr="0033290F">
              <w:rPr>
                <w:sz w:val="20"/>
                <w:szCs w:val="20"/>
              </w:rPr>
              <w:t>Není relevantní</w:t>
            </w:r>
          </w:p>
        </w:tc>
        <w:tc>
          <w:tcPr>
            <w:tcW w:w="99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33290F" w:rsidP="00B66FDE">
            <w:pPr>
              <w:rPr>
                <w:rFonts w:eastAsia="Times New Roman" w:cs="Times New Roman"/>
                <w:sz w:val="20"/>
                <w:szCs w:val="20"/>
              </w:rPr>
            </w:pPr>
            <w:r w:rsidRPr="0033290F">
              <w:rPr>
                <w:rFonts w:eastAsia="Times New Roman" w:cs="Times New Roman"/>
                <w:sz w:val="20"/>
                <w:szCs w:val="20"/>
              </w:rPr>
              <w:t> 500</w:t>
            </w:r>
          </w:p>
        </w:tc>
        <w:tc>
          <w:tcPr>
            <w:tcW w:w="8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33290F" w:rsidP="00B66FDE">
            <w:pPr>
              <w:rPr>
                <w:rFonts w:eastAsia="Times New Roman" w:cs="Times New Roman"/>
                <w:sz w:val="20"/>
                <w:szCs w:val="20"/>
              </w:rPr>
            </w:pPr>
            <w:r w:rsidRPr="0033290F">
              <w:rPr>
                <w:rFonts w:eastAsia="Times New Roman" w:cs="Times New Roman"/>
                <w:sz w:val="20"/>
                <w:szCs w:val="20"/>
              </w:rPr>
              <w:t>Žadatel/příjemce</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33290F" w:rsidP="00B66FDE">
            <w:pPr>
              <w:rPr>
                <w:rFonts w:eastAsia="Times New Roman" w:cs="Times New Roman"/>
                <w:sz w:val="20"/>
                <w:szCs w:val="20"/>
              </w:rPr>
            </w:pPr>
            <w:r w:rsidRPr="0033290F">
              <w:rPr>
                <w:rFonts w:asciiTheme="majorHAnsi" w:hAnsiTheme="majorHAnsi"/>
                <w:bCs/>
                <w:sz w:val="20"/>
                <w:szCs w:val="20"/>
              </w:rPr>
              <w:t>Průběžně</w:t>
            </w:r>
          </w:p>
        </w:tc>
      </w:tr>
      <w:tr w:rsidR="00495193" w:rsidRPr="00F37B1C" w:rsidTr="00495193">
        <w:tc>
          <w:tcPr>
            <w:tcW w:w="63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01146D" w:rsidP="0001146D">
            <w:pPr>
              <w:rPr>
                <w:rFonts w:eastAsia="Times New Roman" w:cs="Times New Roman"/>
                <w:sz w:val="20"/>
                <w:szCs w:val="20"/>
              </w:rPr>
            </w:pPr>
            <w:r>
              <w:rPr>
                <w:rFonts w:eastAsia="Times New Roman" w:cs="Times New Roman"/>
                <w:sz w:val="20"/>
                <w:szCs w:val="20"/>
              </w:rPr>
              <w:t>3</w:t>
            </w:r>
            <w:r w:rsidRPr="0001146D">
              <w:rPr>
                <w:rFonts w:eastAsia="Times New Roman" w:cs="Times New Roman"/>
                <w:sz w:val="20"/>
                <w:szCs w:val="20"/>
              </w:rPr>
              <w:t>7002</w:t>
            </w:r>
          </w:p>
        </w:tc>
        <w:tc>
          <w:tcPr>
            <w:tcW w:w="29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973425" w:rsidP="00B66FDE">
            <w:pPr>
              <w:rPr>
                <w:rFonts w:eastAsia="Times New Roman" w:cs="Times New Roman"/>
                <w:b/>
                <w:sz w:val="20"/>
                <w:szCs w:val="20"/>
                <w:lang w:val="en-GB" w:eastAsia="fr-BE"/>
              </w:rPr>
            </w:pPr>
            <w:r w:rsidRPr="003A2CB2">
              <w:rPr>
                <w:rFonts w:eastAsia="Times New Roman" w:cs="Times New Roman"/>
                <w:sz w:val="20"/>
                <w:szCs w:val="20"/>
              </w:rPr>
              <w:t>Počet pořízených licencí a nově vyvinutých nebo zmodernizovaných softwarových nástrojů ke sledování, hodno</w:t>
            </w:r>
            <w:r w:rsidR="0033290F" w:rsidRPr="0033290F">
              <w:rPr>
                <w:rFonts w:eastAsia="Times New Roman" w:cs="Times New Roman"/>
                <w:sz w:val="20"/>
                <w:szCs w:val="20"/>
              </w:rPr>
              <w:t xml:space="preserve">cení a předpovídání kvality ovzduší, počasí, klimatu a ozonové vrstvy Země </w:t>
            </w:r>
          </w:p>
        </w:tc>
        <w:tc>
          <w:tcPr>
            <w:tcW w:w="84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33290F" w:rsidP="00B66FDE">
            <w:pPr>
              <w:rPr>
                <w:rFonts w:eastAsia="Times New Roman" w:cs="Times New Roman"/>
                <w:sz w:val="20"/>
                <w:szCs w:val="20"/>
              </w:rPr>
            </w:pPr>
            <w:r w:rsidRPr="0033290F">
              <w:rPr>
                <w:rFonts w:eastAsia="Times New Roman" w:cs="Times New Roman"/>
                <w:sz w:val="20"/>
                <w:szCs w:val="20"/>
              </w:rPr>
              <w:t>ks</w:t>
            </w:r>
          </w:p>
        </w:tc>
        <w:tc>
          <w:tcPr>
            <w:tcW w:w="74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33290F" w:rsidP="00B66FDE">
            <w:pPr>
              <w:rPr>
                <w:rFonts w:eastAsia="Times New Roman" w:cs="Times New Roman"/>
                <w:sz w:val="20"/>
                <w:szCs w:val="20"/>
              </w:rPr>
            </w:pPr>
            <w:r w:rsidRPr="0033290F">
              <w:rPr>
                <w:rFonts w:eastAsia="Times New Roman" w:cs="Times New Roman"/>
                <w:sz w:val="20"/>
                <w:szCs w:val="20"/>
              </w:rPr>
              <w:t>FS</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tcPr>
          <w:p w:rsidR="00973425" w:rsidRPr="003A2CB2" w:rsidRDefault="0033290F" w:rsidP="00B66FDE">
            <w:pPr>
              <w:rPr>
                <w:rFonts w:eastAsia="Times New Roman" w:cs="Times New Roman"/>
                <w:sz w:val="20"/>
                <w:szCs w:val="20"/>
              </w:rPr>
            </w:pPr>
            <w:r w:rsidRPr="0033290F">
              <w:rPr>
                <w:sz w:val="20"/>
                <w:szCs w:val="20"/>
              </w:rPr>
              <w:t>Není relevantní</w:t>
            </w:r>
          </w:p>
        </w:tc>
        <w:tc>
          <w:tcPr>
            <w:tcW w:w="99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33290F" w:rsidP="00B66FDE">
            <w:pPr>
              <w:rPr>
                <w:rFonts w:eastAsia="Times New Roman" w:cs="Times New Roman"/>
                <w:sz w:val="20"/>
                <w:szCs w:val="20"/>
              </w:rPr>
            </w:pPr>
            <w:r w:rsidRPr="0033290F">
              <w:rPr>
                <w:rFonts w:eastAsia="Times New Roman" w:cs="Times New Roman"/>
                <w:sz w:val="20"/>
                <w:szCs w:val="20"/>
              </w:rPr>
              <w:t> 12</w:t>
            </w:r>
          </w:p>
        </w:tc>
        <w:tc>
          <w:tcPr>
            <w:tcW w:w="85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33290F" w:rsidP="00B66FDE">
            <w:pPr>
              <w:rPr>
                <w:rFonts w:eastAsia="Times New Roman" w:cs="Times New Roman"/>
                <w:sz w:val="20"/>
                <w:szCs w:val="20"/>
              </w:rPr>
            </w:pPr>
            <w:r w:rsidRPr="0033290F">
              <w:rPr>
                <w:rFonts w:eastAsia="Times New Roman" w:cs="Times New Roman"/>
                <w:sz w:val="20"/>
                <w:szCs w:val="20"/>
              </w:rPr>
              <w:t>Žadatel/příjemce</w:t>
            </w:r>
          </w:p>
        </w:tc>
        <w:tc>
          <w:tcPr>
            <w:tcW w:w="106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73425" w:rsidRPr="003A2CB2" w:rsidRDefault="0033290F" w:rsidP="00B66FDE">
            <w:pPr>
              <w:rPr>
                <w:rFonts w:eastAsia="Times New Roman" w:cs="Times New Roman"/>
                <w:sz w:val="20"/>
                <w:szCs w:val="20"/>
              </w:rPr>
            </w:pPr>
            <w:r w:rsidRPr="0033290F">
              <w:rPr>
                <w:rFonts w:asciiTheme="majorHAnsi" w:hAnsiTheme="majorHAnsi"/>
                <w:bCs/>
                <w:sz w:val="20"/>
                <w:szCs w:val="20"/>
              </w:rPr>
              <w:t>Průběžně</w:t>
            </w:r>
          </w:p>
        </w:tc>
      </w:tr>
    </w:tbl>
    <w:p w:rsidR="001A7CDE" w:rsidRPr="004314F4" w:rsidRDefault="001A7CDE" w:rsidP="00B66FDE"/>
    <w:p w:rsidR="00614CFB" w:rsidRDefault="005F119E" w:rsidP="00165854">
      <w:pPr>
        <w:pStyle w:val="Nadpis3"/>
      </w:pPr>
      <w:bookmarkStart w:id="2388" w:name="_Toc392151007"/>
      <w:r w:rsidRPr="004314F4">
        <w:lastRenderedPageBreak/>
        <w:t>Výkonnostní rámec</w:t>
      </w:r>
      <w:bookmarkEnd w:id="2388"/>
    </w:p>
    <w:p w:rsidR="005F119E" w:rsidRPr="004314F4" w:rsidRDefault="005F119E" w:rsidP="00165854">
      <w:pPr>
        <w:pStyle w:val="Titulek"/>
      </w:pPr>
      <w:bookmarkStart w:id="2389" w:name="_Toc384907381"/>
      <w:r w:rsidRPr="004314F4">
        <w:t>Výkonnostní rámec PO 2</w:t>
      </w:r>
      <w:bookmarkEnd w:id="2389"/>
    </w:p>
    <w:tbl>
      <w:tblPr>
        <w:tblStyle w:val="Mkatabulky"/>
        <w:tblW w:w="9180" w:type="dxa"/>
        <w:tblLayout w:type="fixed"/>
        <w:tblLook w:val="04A0" w:firstRow="1" w:lastRow="0" w:firstColumn="1" w:lastColumn="0" w:noHBand="0" w:noVBand="1"/>
      </w:tblPr>
      <w:tblGrid>
        <w:gridCol w:w="959"/>
        <w:gridCol w:w="1276"/>
        <w:gridCol w:w="567"/>
        <w:gridCol w:w="1134"/>
        <w:gridCol w:w="850"/>
        <w:gridCol w:w="425"/>
        <w:gridCol w:w="1134"/>
        <w:gridCol w:w="851"/>
        <w:gridCol w:w="992"/>
        <w:gridCol w:w="425"/>
        <w:gridCol w:w="567"/>
      </w:tblGrid>
      <w:tr w:rsidR="005472D1" w:rsidRPr="00356506" w:rsidTr="005472D1">
        <w:tc>
          <w:tcPr>
            <w:tcW w:w="959" w:type="dxa"/>
            <w:tcBorders>
              <w:bottom w:val="single" w:sz="12" w:space="0" w:color="auto"/>
            </w:tcBorders>
            <w:shd w:val="clear" w:color="auto" w:fill="BFBFBF" w:themeFill="background1" w:themeFillShade="BF"/>
          </w:tcPr>
          <w:p w:rsidR="00EF7C55" w:rsidRPr="003A2CB2" w:rsidRDefault="00EF7C55" w:rsidP="00B66FDE">
            <w:pPr>
              <w:rPr>
                <w:b/>
                <w:sz w:val="20"/>
                <w:szCs w:val="20"/>
              </w:rPr>
            </w:pPr>
            <w:r w:rsidRPr="003A2CB2">
              <w:rPr>
                <w:b/>
                <w:sz w:val="20"/>
                <w:szCs w:val="20"/>
              </w:rPr>
              <w:t>Prioritní osa</w:t>
            </w:r>
          </w:p>
        </w:tc>
        <w:tc>
          <w:tcPr>
            <w:tcW w:w="1276" w:type="dxa"/>
            <w:tcBorders>
              <w:bottom w:val="single" w:sz="12" w:space="0" w:color="auto"/>
            </w:tcBorders>
            <w:shd w:val="clear" w:color="auto" w:fill="BFBFBF" w:themeFill="background1" w:themeFillShade="BF"/>
          </w:tcPr>
          <w:p w:rsidR="00EF7C55" w:rsidRPr="003A2CB2" w:rsidRDefault="0033290F" w:rsidP="00EF7C55">
            <w:pPr>
              <w:spacing w:line="276" w:lineRule="auto"/>
              <w:rPr>
                <w:b/>
                <w:sz w:val="20"/>
                <w:szCs w:val="20"/>
              </w:rPr>
            </w:pPr>
            <w:r w:rsidRPr="0033290F">
              <w:rPr>
                <w:b/>
                <w:sz w:val="20"/>
                <w:szCs w:val="20"/>
              </w:rPr>
              <w:t xml:space="preserve">Typ ukazatele (klíčový krok provádění, finanční výstup nebo popřípadě ukazatel výsledků) </w:t>
            </w:r>
          </w:p>
        </w:tc>
        <w:tc>
          <w:tcPr>
            <w:tcW w:w="567" w:type="dxa"/>
            <w:tcBorders>
              <w:bottom w:val="single" w:sz="12" w:space="0" w:color="auto"/>
            </w:tcBorders>
            <w:shd w:val="clear" w:color="auto" w:fill="BFBFBF" w:themeFill="background1" w:themeFillShade="BF"/>
          </w:tcPr>
          <w:p w:rsidR="00EF7C55" w:rsidRPr="003A2CB2" w:rsidRDefault="0033290F" w:rsidP="00B66FDE">
            <w:pPr>
              <w:spacing w:line="276" w:lineRule="auto"/>
              <w:rPr>
                <w:b/>
                <w:sz w:val="20"/>
                <w:szCs w:val="20"/>
              </w:rPr>
            </w:pPr>
            <w:r w:rsidRPr="0033290F">
              <w:rPr>
                <w:b/>
                <w:sz w:val="20"/>
                <w:szCs w:val="20"/>
              </w:rPr>
              <w:t>ID</w:t>
            </w:r>
          </w:p>
        </w:tc>
        <w:tc>
          <w:tcPr>
            <w:tcW w:w="1134" w:type="dxa"/>
            <w:tcBorders>
              <w:bottom w:val="single" w:sz="12" w:space="0" w:color="auto"/>
            </w:tcBorders>
            <w:shd w:val="clear" w:color="auto" w:fill="BFBFBF" w:themeFill="background1" w:themeFillShade="BF"/>
          </w:tcPr>
          <w:p w:rsidR="00EF7C55" w:rsidRPr="003A2CB2" w:rsidRDefault="0033290F" w:rsidP="00B66FDE">
            <w:pPr>
              <w:spacing w:line="276" w:lineRule="auto"/>
              <w:rPr>
                <w:b/>
                <w:sz w:val="20"/>
                <w:szCs w:val="20"/>
              </w:rPr>
            </w:pPr>
            <w:r w:rsidRPr="0033290F">
              <w:rPr>
                <w:b/>
                <w:sz w:val="20"/>
                <w:szCs w:val="20"/>
              </w:rPr>
              <w:t>Ukazatel nebo klíčový krok provádění</w:t>
            </w:r>
          </w:p>
        </w:tc>
        <w:tc>
          <w:tcPr>
            <w:tcW w:w="850" w:type="dxa"/>
            <w:tcBorders>
              <w:bottom w:val="single" w:sz="12" w:space="0" w:color="auto"/>
            </w:tcBorders>
            <w:shd w:val="clear" w:color="auto" w:fill="BFBFBF" w:themeFill="background1" w:themeFillShade="BF"/>
          </w:tcPr>
          <w:p w:rsidR="00EF7C55" w:rsidRPr="003A2CB2" w:rsidRDefault="0033290F" w:rsidP="00B66FDE">
            <w:pPr>
              <w:spacing w:line="276" w:lineRule="auto"/>
              <w:rPr>
                <w:b/>
                <w:sz w:val="20"/>
                <w:szCs w:val="20"/>
              </w:rPr>
            </w:pPr>
            <w:r w:rsidRPr="0033290F">
              <w:rPr>
                <w:b/>
                <w:sz w:val="20"/>
                <w:szCs w:val="20"/>
              </w:rPr>
              <w:t>Měrná jednotka</w:t>
            </w:r>
          </w:p>
        </w:tc>
        <w:tc>
          <w:tcPr>
            <w:tcW w:w="425" w:type="dxa"/>
            <w:tcBorders>
              <w:bottom w:val="single" w:sz="12" w:space="0" w:color="auto"/>
            </w:tcBorders>
            <w:shd w:val="clear" w:color="auto" w:fill="BFBFBF" w:themeFill="background1" w:themeFillShade="BF"/>
          </w:tcPr>
          <w:p w:rsidR="00EF7C55" w:rsidRPr="003A2CB2" w:rsidRDefault="0033290F" w:rsidP="00B66FDE">
            <w:pPr>
              <w:spacing w:line="276" w:lineRule="auto"/>
              <w:rPr>
                <w:b/>
                <w:sz w:val="20"/>
                <w:szCs w:val="20"/>
              </w:rPr>
            </w:pPr>
            <w:r w:rsidRPr="0033290F">
              <w:rPr>
                <w:b/>
                <w:sz w:val="20"/>
                <w:szCs w:val="20"/>
              </w:rPr>
              <w:t>Fond</w:t>
            </w:r>
          </w:p>
        </w:tc>
        <w:tc>
          <w:tcPr>
            <w:tcW w:w="1134" w:type="dxa"/>
            <w:tcBorders>
              <w:bottom w:val="single" w:sz="12" w:space="0" w:color="auto"/>
            </w:tcBorders>
            <w:shd w:val="clear" w:color="auto" w:fill="BFBFBF" w:themeFill="background1" w:themeFillShade="BF"/>
          </w:tcPr>
          <w:p w:rsidR="00EF7C55" w:rsidRPr="003A2CB2" w:rsidRDefault="0033290F" w:rsidP="00B66FDE">
            <w:pPr>
              <w:spacing w:line="276" w:lineRule="auto"/>
              <w:rPr>
                <w:b/>
                <w:sz w:val="20"/>
                <w:szCs w:val="20"/>
              </w:rPr>
            </w:pPr>
            <w:r w:rsidRPr="0033290F">
              <w:rPr>
                <w:b/>
                <w:sz w:val="20"/>
                <w:szCs w:val="20"/>
              </w:rPr>
              <w:t>Kategorie regionů</w:t>
            </w:r>
          </w:p>
        </w:tc>
        <w:tc>
          <w:tcPr>
            <w:tcW w:w="851" w:type="dxa"/>
            <w:tcBorders>
              <w:bottom w:val="single" w:sz="12" w:space="0" w:color="auto"/>
            </w:tcBorders>
            <w:shd w:val="clear" w:color="auto" w:fill="BFBFBF" w:themeFill="background1" w:themeFillShade="BF"/>
          </w:tcPr>
          <w:p w:rsidR="00EF7C55" w:rsidRPr="003A2CB2" w:rsidRDefault="0033290F" w:rsidP="00B66FDE">
            <w:pPr>
              <w:spacing w:line="276" w:lineRule="auto"/>
              <w:rPr>
                <w:b/>
                <w:sz w:val="20"/>
                <w:szCs w:val="20"/>
              </w:rPr>
            </w:pPr>
            <w:r w:rsidRPr="0033290F">
              <w:rPr>
                <w:b/>
                <w:sz w:val="20"/>
                <w:szCs w:val="20"/>
              </w:rPr>
              <w:t>Milník pro rok 2018</w:t>
            </w:r>
          </w:p>
        </w:tc>
        <w:tc>
          <w:tcPr>
            <w:tcW w:w="992" w:type="dxa"/>
            <w:tcBorders>
              <w:bottom w:val="single" w:sz="12" w:space="0" w:color="auto"/>
            </w:tcBorders>
            <w:shd w:val="clear" w:color="auto" w:fill="BFBFBF" w:themeFill="background1" w:themeFillShade="BF"/>
          </w:tcPr>
          <w:p w:rsidR="00EF7C55" w:rsidRPr="003A2CB2" w:rsidRDefault="0033290F" w:rsidP="00B66FDE">
            <w:pPr>
              <w:spacing w:line="276" w:lineRule="auto"/>
              <w:rPr>
                <w:b/>
                <w:sz w:val="20"/>
                <w:szCs w:val="20"/>
              </w:rPr>
            </w:pPr>
            <w:r w:rsidRPr="0033290F">
              <w:rPr>
                <w:b/>
                <w:sz w:val="20"/>
                <w:szCs w:val="20"/>
              </w:rPr>
              <w:t>Konečný cíl (2023)</w:t>
            </w:r>
          </w:p>
        </w:tc>
        <w:tc>
          <w:tcPr>
            <w:tcW w:w="425" w:type="dxa"/>
            <w:tcBorders>
              <w:bottom w:val="single" w:sz="12" w:space="0" w:color="auto"/>
            </w:tcBorders>
            <w:shd w:val="clear" w:color="auto" w:fill="BFBFBF" w:themeFill="background1" w:themeFillShade="BF"/>
          </w:tcPr>
          <w:p w:rsidR="00EF7C55" w:rsidRPr="003A2CB2" w:rsidRDefault="0033290F" w:rsidP="00B66FDE">
            <w:pPr>
              <w:spacing w:line="276" w:lineRule="auto"/>
              <w:rPr>
                <w:b/>
                <w:sz w:val="20"/>
                <w:szCs w:val="20"/>
              </w:rPr>
            </w:pPr>
            <w:r w:rsidRPr="0033290F">
              <w:rPr>
                <w:b/>
                <w:sz w:val="20"/>
                <w:szCs w:val="20"/>
              </w:rPr>
              <w:t>Zdroj údajů</w:t>
            </w:r>
          </w:p>
        </w:tc>
        <w:tc>
          <w:tcPr>
            <w:tcW w:w="567" w:type="dxa"/>
            <w:tcBorders>
              <w:bottom w:val="single" w:sz="12" w:space="0" w:color="auto"/>
            </w:tcBorders>
            <w:shd w:val="clear" w:color="auto" w:fill="BFBFBF" w:themeFill="background1" w:themeFillShade="BF"/>
          </w:tcPr>
          <w:p w:rsidR="00EF7C55" w:rsidRPr="003A2CB2" w:rsidRDefault="0033290F" w:rsidP="00B66FDE">
            <w:pPr>
              <w:spacing w:line="276" w:lineRule="auto"/>
              <w:rPr>
                <w:b/>
                <w:sz w:val="20"/>
                <w:szCs w:val="20"/>
              </w:rPr>
            </w:pPr>
            <w:r w:rsidRPr="0033290F">
              <w:rPr>
                <w:b/>
                <w:sz w:val="20"/>
                <w:szCs w:val="20"/>
              </w:rPr>
              <w:t>Popřípadě vysvětlení relevantnosti ukazatele</w:t>
            </w:r>
          </w:p>
        </w:tc>
      </w:tr>
      <w:tr w:rsidR="008D4D66" w:rsidRPr="00356506" w:rsidTr="005472D1">
        <w:tc>
          <w:tcPr>
            <w:tcW w:w="959" w:type="dxa"/>
            <w:tcBorders>
              <w:top w:val="single" w:sz="12" w:space="0" w:color="auto"/>
            </w:tcBorders>
          </w:tcPr>
          <w:p w:rsidR="008D4D66" w:rsidRPr="003A2CB2" w:rsidRDefault="008D4D66" w:rsidP="008D4D66">
            <w:pPr>
              <w:rPr>
                <w:rFonts w:eastAsia="Times New Roman" w:cs="Times New Roman"/>
                <w:sz w:val="20"/>
                <w:szCs w:val="20"/>
              </w:rPr>
            </w:pPr>
            <w:r>
              <w:rPr>
                <w:rFonts w:eastAsia="Times New Roman" w:cs="Times New Roman"/>
                <w:sz w:val="20"/>
                <w:szCs w:val="20"/>
              </w:rPr>
              <w:t xml:space="preserve">PO 2 </w:t>
            </w:r>
          </w:p>
        </w:tc>
        <w:tc>
          <w:tcPr>
            <w:tcW w:w="1276" w:type="dxa"/>
            <w:tcBorders>
              <w:top w:val="single" w:sz="12" w:space="0" w:color="auto"/>
            </w:tcBorders>
          </w:tcPr>
          <w:p w:rsidR="008D4D66" w:rsidRPr="003A2CB2" w:rsidDel="008D6FD8" w:rsidRDefault="008D4D66" w:rsidP="00B66FDE">
            <w:pPr>
              <w:rPr>
                <w:rFonts w:eastAsia="Times New Roman" w:cs="Times New Roman"/>
                <w:sz w:val="20"/>
                <w:szCs w:val="20"/>
              </w:rPr>
            </w:pPr>
            <w:r>
              <w:rPr>
                <w:rFonts w:eastAsia="Times New Roman" w:cs="Times New Roman"/>
                <w:sz w:val="20"/>
                <w:szCs w:val="20"/>
              </w:rPr>
              <w:t>finanční ukazatel</w:t>
            </w:r>
          </w:p>
        </w:tc>
        <w:tc>
          <w:tcPr>
            <w:tcW w:w="567" w:type="dxa"/>
            <w:tcBorders>
              <w:top w:val="single" w:sz="12" w:space="0" w:color="auto"/>
            </w:tcBorders>
          </w:tcPr>
          <w:p w:rsidR="008D4D66" w:rsidRDefault="008D4D66" w:rsidP="00B66FDE">
            <w:pPr>
              <w:rPr>
                <w:rFonts w:eastAsia="Times New Roman" w:cs="Times New Roman"/>
                <w:sz w:val="20"/>
                <w:szCs w:val="20"/>
              </w:rPr>
            </w:pPr>
            <w:r>
              <w:rPr>
                <w:rFonts w:eastAsia="Times New Roman" w:cs="Times New Roman"/>
                <w:sz w:val="20"/>
                <w:szCs w:val="20"/>
              </w:rPr>
              <w:t>-</w:t>
            </w:r>
          </w:p>
        </w:tc>
        <w:tc>
          <w:tcPr>
            <w:tcW w:w="1134" w:type="dxa"/>
            <w:tcBorders>
              <w:top w:val="single" w:sz="12" w:space="0" w:color="auto"/>
            </w:tcBorders>
          </w:tcPr>
          <w:p w:rsidR="008D4D66" w:rsidRPr="008D4D66" w:rsidRDefault="008D4D66" w:rsidP="00B66FDE">
            <w:pPr>
              <w:rPr>
                <w:rFonts w:eastAsia="Times New Roman" w:cs="Times New Roman"/>
                <w:sz w:val="20"/>
                <w:szCs w:val="20"/>
              </w:rPr>
            </w:pPr>
            <w:r w:rsidRPr="008D4D66">
              <w:rPr>
                <w:rFonts w:eastAsia="Times New Roman" w:cs="Times New Roman"/>
                <w:sz w:val="20"/>
                <w:szCs w:val="20"/>
              </w:rPr>
              <w:t>Celkové certifikované způsobilé výdaje</w:t>
            </w:r>
          </w:p>
        </w:tc>
        <w:tc>
          <w:tcPr>
            <w:tcW w:w="850" w:type="dxa"/>
            <w:tcBorders>
              <w:top w:val="single" w:sz="12" w:space="0" w:color="auto"/>
            </w:tcBorders>
          </w:tcPr>
          <w:p w:rsidR="008D4D66" w:rsidRPr="00CF41E1" w:rsidRDefault="008D4D66" w:rsidP="00B66FDE">
            <w:pPr>
              <w:rPr>
                <w:sz w:val="20"/>
                <w:szCs w:val="20"/>
              </w:rPr>
            </w:pPr>
            <w:r>
              <w:rPr>
                <w:sz w:val="20"/>
                <w:szCs w:val="20"/>
              </w:rPr>
              <w:t>EUR</w:t>
            </w:r>
          </w:p>
        </w:tc>
        <w:tc>
          <w:tcPr>
            <w:tcW w:w="425" w:type="dxa"/>
            <w:tcBorders>
              <w:top w:val="single" w:sz="12" w:space="0" w:color="auto"/>
            </w:tcBorders>
          </w:tcPr>
          <w:p w:rsidR="008D4D66" w:rsidRPr="00CF41E1" w:rsidRDefault="008D4D66" w:rsidP="00B66FDE">
            <w:pPr>
              <w:rPr>
                <w:sz w:val="20"/>
                <w:szCs w:val="20"/>
              </w:rPr>
            </w:pPr>
            <w:r>
              <w:rPr>
                <w:sz w:val="20"/>
                <w:szCs w:val="20"/>
              </w:rPr>
              <w:t>FS</w:t>
            </w:r>
          </w:p>
        </w:tc>
        <w:tc>
          <w:tcPr>
            <w:tcW w:w="1134" w:type="dxa"/>
            <w:tcBorders>
              <w:top w:val="single" w:sz="12" w:space="0" w:color="auto"/>
            </w:tcBorders>
          </w:tcPr>
          <w:p w:rsidR="008D4D66" w:rsidRPr="00CF41E1" w:rsidRDefault="008D4D66" w:rsidP="00B66FDE">
            <w:pPr>
              <w:rPr>
                <w:sz w:val="20"/>
                <w:szCs w:val="20"/>
              </w:rPr>
            </w:pPr>
            <w:r w:rsidRPr="008D4D66">
              <w:rPr>
                <w:sz w:val="20"/>
                <w:szCs w:val="20"/>
              </w:rPr>
              <w:t>Není relevantní</w:t>
            </w:r>
          </w:p>
        </w:tc>
        <w:tc>
          <w:tcPr>
            <w:tcW w:w="851" w:type="dxa"/>
            <w:tcBorders>
              <w:top w:val="single" w:sz="12" w:space="0" w:color="auto"/>
            </w:tcBorders>
          </w:tcPr>
          <w:p w:rsidR="008D4D66" w:rsidRPr="008D4D66" w:rsidRDefault="008D4D66" w:rsidP="008D4D66">
            <w:pPr>
              <w:rPr>
                <w:rFonts w:cs="Times New Roman"/>
                <w:sz w:val="20"/>
                <w:szCs w:val="20"/>
              </w:rPr>
            </w:pPr>
            <w:r w:rsidRPr="008D4D66">
              <w:rPr>
                <w:rFonts w:cs="Times New Roman"/>
                <w:sz w:val="20"/>
                <w:szCs w:val="20"/>
              </w:rPr>
              <w:t>115303550</w:t>
            </w:r>
          </w:p>
          <w:p w:rsidR="008D4D66" w:rsidRPr="00CF41E1" w:rsidRDefault="008D4D66" w:rsidP="00B66FDE">
            <w:pPr>
              <w:rPr>
                <w:rFonts w:cs="Times New Roman"/>
                <w:sz w:val="20"/>
                <w:szCs w:val="20"/>
              </w:rPr>
            </w:pPr>
          </w:p>
        </w:tc>
        <w:tc>
          <w:tcPr>
            <w:tcW w:w="992" w:type="dxa"/>
            <w:tcBorders>
              <w:top w:val="single" w:sz="12" w:space="0" w:color="auto"/>
            </w:tcBorders>
          </w:tcPr>
          <w:p w:rsidR="008D4D66" w:rsidRPr="008D4D66" w:rsidRDefault="008D4D66" w:rsidP="008D4D66">
            <w:pPr>
              <w:rPr>
                <w:sz w:val="20"/>
                <w:szCs w:val="20"/>
              </w:rPr>
            </w:pPr>
            <w:r w:rsidRPr="008D4D66">
              <w:rPr>
                <w:sz w:val="20"/>
                <w:szCs w:val="20"/>
              </w:rPr>
              <w:t>453819065</w:t>
            </w:r>
          </w:p>
          <w:p w:rsidR="008D4D66" w:rsidRPr="00CF41E1" w:rsidRDefault="008D4D66" w:rsidP="00B66FDE">
            <w:pPr>
              <w:rPr>
                <w:sz w:val="20"/>
                <w:szCs w:val="20"/>
              </w:rPr>
            </w:pPr>
          </w:p>
        </w:tc>
        <w:tc>
          <w:tcPr>
            <w:tcW w:w="425" w:type="dxa"/>
            <w:tcBorders>
              <w:top w:val="single" w:sz="12" w:space="0" w:color="auto"/>
            </w:tcBorders>
          </w:tcPr>
          <w:p w:rsidR="008D4D66" w:rsidRPr="00CF41E1" w:rsidRDefault="008D4D66" w:rsidP="00B66FDE">
            <w:pPr>
              <w:rPr>
                <w:rFonts w:cs="Times New Roman"/>
                <w:sz w:val="20"/>
                <w:szCs w:val="20"/>
              </w:rPr>
            </w:pPr>
            <w:r>
              <w:rPr>
                <w:rFonts w:cs="Times New Roman"/>
                <w:sz w:val="20"/>
                <w:szCs w:val="20"/>
              </w:rPr>
              <w:t>ŘO</w:t>
            </w:r>
          </w:p>
        </w:tc>
        <w:tc>
          <w:tcPr>
            <w:tcW w:w="567" w:type="dxa"/>
            <w:tcBorders>
              <w:top w:val="single" w:sz="12" w:space="0" w:color="auto"/>
            </w:tcBorders>
          </w:tcPr>
          <w:p w:rsidR="008D4D66" w:rsidRPr="003A2CB2" w:rsidRDefault="008D4D66" w:rsidP="00B66FDE">
            <w:pPr>
              <w:rPr>
                <w:rFonts w:cs="Times New Roman"/>
                <w:sz w:val="20"/>
                <w:szCs w:val="20"/>
              </w:rPr>
            </w:pPr>
            <w:r>
              <w:rPr>
                <w:rFonts w:cs="Times New Roman"/>
                <w:sz w:val="20"/>
                <w:szCs w:val="20"/>
              </w:rPr>
              <w:t>-</w:t>
            </w:r>
          </w:p>
        </w:tc>
      </w:tr>
      <w:tr w:rsidR="005472D1" w:rsidRPr="00356506" w:rsidTr="005472D1">
        <w:tc>
          <w:tcPr>
            <w:tcW w:w="959" w:type="dxa"/>
            <w:tcBorders>
              <w:top w:val="single" w:sz="12" w:space="0" w:color="auto"/>
            </w:tcBorders>
          </w:tcPr>
          <w:p w:rsidR="00EF7C55" w:rsidRPr="003A2CB2" w:rsidRDefault="00EF7C55" w:rsidP="00B66FDE">
            <w:pPr>
              <w:rPr>
                <w:rFonts w:eastAsia="Times New Roman" w:cs="Times New Roman"/>
                <w:sz w:val="20"/>
                <w:szCs w:val="20"/>
              </w:rPr>
            </w:pPr>
            <w:r w:rsidRPr="003A2CB2">
              <w:rPr>
                <w:rFonts w:eastAsia="Times New Roman" w:cs="Times New Roman"/>
                <w:sz w:val="20"/>
                <w:szCs w:val="20"/>
              </w:rPr>
              <w:t>PO 2</w:t>
            </w:r>
          </w:p>
        </w:tc>
        <w:tc>
          <w:tcPr>
            <w:tcW w:w="1276" w:type="dxa"/>
            <w:tcBorders>
              <w:top w:val="single" w:sz="12" w:space="0" w:color="auto"/>
            </w:tcBorders>
          </w:tcPr>
          <w:p w:rsidR="00EF7C55" w:rsidRPr="003A2CB2" w:rsidRDefault="008643C2" w:rsidP="00B66FDE">
            <w:pPr>
              <w:spacing w:line="276" w:lineRule="auto"/>
              <w:rPr>
                <w:rFonts w:cs="Calibri"/>
                <w:sz w:val="20"/>
                <w:szCs w:val="20"/>
                <w:lang w:eastAsia="en-US"/>
              </w:rPr>
            </w:pPr>
            <w:r>
              <w:rPr>
                <w:rFonts w:eastAsia="Times New Roman" w:cs="Times New Roman"/>
                <w:sz w:val="20"/>
                <w:szCs w:val="20"/>
              </w:rPr>
              <w:t>výstupový</w:t>
            </w:r>
          </w:p>
        </w:tc>
        <w:tc>
          <w:tcPr>
            <w:tcW w:w="567" w:type="dxa"/>
            <w:tcBorders>
              <w:top w:val="single" w:sz="12" w:space="0" w:color="auto"/>
            </w:tcBorders>
          </w:tcPr>
          <w:p w:rsidR="00EF7C55" w:rsidRPr="003A2CB2" w:rsidRDefault="0001146D" w:rsidP="00B66FDE">
            <w:pPr>
              <w:spacing w:line="276" w:lineRule="auto"/>
              <w:rPr>
                <w:sz w:val="20"/>
                <w:szCs w:val="20"/>
              </w:rPr>
            </w:pPr>
            <w:r>
              <w:rPr>
                <w:rFonts w:eastAsia="Times New Roman" w:cs="Times New Roman"/>
                <w:sz w:val="20"/>
                <w:szCs w:val="20"/>
              </w:rPr>
              <w:t>361</w:t>
            </w:r>
            <w:r w:rsidRPr="0001146D">
              <w:rPr>
                <w:rFonts w:eastAsia="Times New Roman" w:cs="Times New Roman"/>
                <w:sz w:val="20"/>
                <w:szCs w:val="20"/>
              </w:rPr>
              <w:t>01</w:t>
            </w:r>
          </w:p>
        </w:tc>
        <w:tc>
          <w:tcPr>
            <w:tcW w:w="1134" w:type="dxa"/>
            <w:tcBorders>
              <w:top w:val="single" w:sz="12" w:space="0" w:color="auto"/>
            </w:tcBorders>
          </w:tcPr>
          <w:p w:rsidR="00EF7C55" w:rsidRPr="003A2CB2" w:rsidRDefault="008D6FD8" w:rsidP="00B66FDE">
            <w:pPr>
              <w:rPr>
                <w:sz w:val="20"/>
                <w:szCs w:val="20"/>
              </w:rPr>
            </w:pPr>
            <w:r w:rsidRPr="003A2CB2">
              <w:rPr>
                <w:rFonts w:eastAsia="Times New Roman" w:cs="Times New Roman"/>
                <w:sz w:val="20"/>
                <w:szCs w:val="20"/>
              </w:rPr>
              <w:t>Počet stacionárních zdrojů znečišťování ovzduší, u kterých bylo provedeno opatření ke snížení emisí</w:t>
            </w:r>
          </w:p>
        </w:tc>
        <w:tc>
          <w:tcPr>
            <w:tcW w:w="850" w:type="dxa"/>
            <w:tcBorders>
              <w:top w:val="single" w:sz="12" w:space="0" w:color="auto"/>
            </w:tcBorders>
          </w:tcPr>
          <w:p w:rsidR="00EF7C55" w:rsidRPr="003A2CB2" w:rsidRDefault="0033290F" w:rsidP="00B66FDE">
            <w:pPr>
              <w:spacing w:line="276" w:lineRule="auto"/>
              <w:rPr>
                <w:rFonts w:cs="Times New Roman"/>
                <w:sz w:val="20"/>
                <w:szCs w:val="20"/>
              </w:rPr>
            </w:pPr>
            <w:r w:rsidRPr="0033290F">
              <w:rPr>
                <w:sz w:val="20"/>
                <w:szCs w:val="20"/>
              </w:rPr>
              <w:t>ks</w:t>
            </w:r>
          </w:p>
        </w:tc>
        <w:tc>
          <w:tcPr>
            <w:tcW w:w="425" w:type="dxa"/>
            <w:tcBorders>
              <w:top w:val="single" w:sz="12" w:space="0" w:color="auto"/>
            </w:tcBorders>
          </w:tcPr>
          <w:p w:rsidR="00EF7C55" w:rsidRPr="003A2CB2" w:rsidRDefault="0033290F" w:rsidP="00B66FDE">
            <w:pPr>
              <w:spacing w:line="276" w:lineRule="auto"/>
              <w:rPr>
                <w:rFonts w:cs="Times New Roman"/>
                <w:sz w:val="20"/>
                <w:szCs w:val="20"/>
              </w:rPr>
            </w:pPr>
            <w:r w:rsidRPr="0033290F">
              <w:rPr>
                <w:sz w:val="20"/>
                <w:szCs w:val="20"/>
              </w:rPr>
              <w:t>FS</w:t>
            </w:r>
          </w:p>
        </w:tc>
        <w:tc>
          <w:tcPr>
            <w:tcW w:w="1134" w:type="dxa"/>
            <w:tcBorders>
              <w:top w:val="single" w:sz="12" w:space="0" w:color="auto"/>
            </w:tcBorders>
          </w:tcPr>
          <w:p w:rsidR="00EF7C55" w:rsidRPr="003A2CB2" w:rsidRDefault="0033290F" w:rsidP="00B66FDE">
            <w:pPr>
              <w:spacing w:line="276" w:lineRule="auto"/>
              <w:rPr>
                <w:rFonts w:cs="Times New Roman"/>
                <w:sz w:val="20"/>
                <w:szCs w:val="20"/>
              </w:rPr>
            </w:pPr>
            <w:r w:rsidRPr="0033290F">
              <w:rPr>
                <w:sz w:val="20"/>
                <w:szCs w:val="20"/>
              </w:rPr>
              <w:t>Není relevantní</w:t>
            </w:r>
          </w:p>
        </w:tc>
        <w:tc>
          <w:tcPr>
            <w:tcW w:w="851" w:type="dxa"/>
            <w:tcBorders>
              <w:top w:val="single" w:sz="12" w:space="0" w:color="auto"/>
            </w:tcBorders>
          </w:tcPr>
          <w:p w:rsidR="00EF7C55" w:rsidRPr="003A2CB2" w:rsidRDefault="0033290F" w:rsidP="00B66FDE">
            <w:pPr>
              <w:spacing w:line="276" w:lineRule="auto"/>
              <w:rPr>
                <w:rFonts w:cs="Times New Roman"/>
                <w:sz w:val="20"/>
                <w:szCs w:val="20"/>
              </w:rPr>
            </w:pPr>
            <w:r w:rsidRPr="0033290F">
              <w:rPr>
                <w:rFonts w:cs="Times New Roman"/>
                <w:sz w:val="20"/>
                <w:szCs w:val="20"/>
              </w:rPr>
              <w:t>40000</w:t>
            </w:r>
          </w:p>
        </w:tc>
        <w:tc>
          <w:tcPr>
            <w:tcW w:w="992" w:type="dxa"/>
            <w:tcBorders>
              <w:top w:val="single" w:sz="12" w:space="0" w:color="auto"/>
            </w:tcBorders>
          </w:tcPr>
          <w:p w:rsidR="00EF7C55" w:rsidRPr="003A2CB2" w:rsidRDefault="0033290F" w:rsidP="00B66FDE">
            <w:pPr>
              <w:spacing w:line="276" w:lineRule="auto"/>
              <w:rPr>
                <w:rFonts w:cs="Times New Roman"/>
                <w:sz w:val="20"/>
                <w:szCs w:val="20"/>
              </w:rPr>
            </w:pPr>
            <w:r w:rsidRPr="0033290F">
              <w:rPr>
                <w:sz w:val="20"/>
                <w:szCs w:val="20"/>
              </w:rPr>
              <w:t>120400</w:t>
            </w:r>
          </w:p>
        </w:tc>
        <w:tc>
          <w:tcPr>
            <w:tcW w:w="425" w:type="dxa"/>
            <w:tcBorders>
              <w:top w:val="single" w:sz="12" w:space="0" w:color="auto"/>
            </w:tcBorders>
          </w:tcPr>
          <w:p w:rsidR="00EF7C55" w:rsidRPr="003A2CB2" w:rsidRDefault="0033290F" w:rsidP="00B66FDE">
            <w:pPr>
              <w:spacing w:line="276" w:lineRule="auto"/>
              <w:rPr>
                <w:rFonts w:cs="Times New Roman"/>
                <w:sz w:val="20"/>
                <w:szCs w:val="20"/>
              </w:rPr>
            </w:pPr>
            <w:r w:rsidRPr="0033290F">
              <w:rPr>
                <w:rFonts w:cs="Times New Roman"/>
                <w:sz w:val="20"/>
                <w:szCs w:val="20"/>
              </w:rPr>
              <w:t>Žadatel/příjemce</w:t>
            </w:r>
          </w:p>
        </w:tc>
        <w:tc>
          <w:tcPr>
            <w:tcW w:w="567" w:type="dxa"/>
            <w:tcBorders>
              <w:top w:val="single" w:sz="12" w:space="0" w:color="auto"/>
            </w:tcBorders>
          </w:tcPr>
          <w:p w:rsidR="00EF7C55" w:rsidRPr="003A2CB2" w:rsidRDefault="008D4D66" w:rsidP="00B66FDE">
            <w:pPr>
              <w:spacing w:line="276" w:lineRule="auto"/>
              <w:rPr>
                <w:rFonts w:cs="Times New Roman"/>
                <w:sz w:val="20"/>
                <w:szCs w:val="20"/>
              </w:rPr>
            </w:pPr>
            <w:r>
              <w:rPr>
                <w:rFonts w:cs="Times New Roman"/>
                <w:sz w:val="20"/>
                <w:szCs w:val="20"/>
              </w:rPr>
              <w:t>-</w:t>
            </w:r>
          </w:p>
        </w:tc>
      </w:tr>
    </w:tbl>
    <w:p w:rsidR="005F119E" w:rsidRPr="004314F4" w:rsidRDefault="005F119E" w:rsidP="00B66FDE"/>
    <w:p w:rsidR="005F119E" w:rsidRPr="004314F4" w:rsidRDefault="005F119E" w:rsidP="00165854">
      <w:pPr>
        <w:pStyle w:val="Nadpis3"/>
      </w:pPr>
      <w:r w:rsidRPr="004314F4">
        <w:t xml:space="preserve"> </w:t>
      </w:r>
      <w:bookmarkStart w:id="2390" w:name="_Toc392151008"/>
      <w:r w:rsidRPr="004314F4">
        <w:t>Kategorie</w:t>
      </w:r>
      <w:r w:rsidR="00EF7C55">
        <w:t xml:space="preserve"> zásahů</w:t>
      </w:r>
      <w:bookmarkEnd w:id="2390"/>
    </w:p>
    <w:p w:rsidR="005F119E" w:rsidRPr="004314F4" w:rsidRDefault="00572159" w:rsidP="00165854">
      <w:pPr>
        <w:pStyle w:val="Titulek"/>
      </w:pPr>
      <w:bookmarkStart w:id="2391" w:name="_Toc384907383"/>
      <w:r>
        <w:t>Dimenze 1 – Oblast zásahu</w:t>
      </w:r>
      <w:bookmarkEnd w:id="2391"/>
    </w:p>
    <w:tbl>
      <w:tblPr>
        <w:tblStyle w:val="Mkatabulky"/>
        <w:tblW w:w="0" w:type="auto"/>
        <w:tblLook w:val="04A0" w:firstRow="1" w:lastRow="0" w:firstColumn="1" w:lastColumn="0" w:noHBand="0" w:noVBand="1"/>
      </w:tblPr>
      <w:tblGrid>
        <w:gridCol w:w="3070"/>
        <w:gridCol w:w="3070"/>
        <w:gridCol w:w="2899"/>
      </w:tblGrid>
      <w:tr w:rsidR="00572159" w:rsidTr="00732AA1">
        <w:tc>
          <w:tcPr>
            <w:tcW w:w="3070" w:type="dxa"/>
          </w:tcPr>
          <w:p w:rsidR="00572159" w:rsidRPr="002355B5" w:rsidRDefault="0033290F" w:rsidP="00867818">
            <w:pPr>
              <w:spacing w:line="276" w:lineRule="auto"/>
            </w:pPr>
            <w:r w:rsidRPr="0033290F">
              <w:t>Fond</w:t>
            </w:r>
          </w:p>
        </w:tc>
        <w:tc>
          <w:tcPr>
            <w:tcW w:w="5969" w:type="dxa"/>
            <w:gridSpan w:val="2"/>
          </w:tcPr>
          <w:p w:rsidR="00572159" w:rsidRPr="002355B5" w:rsidRDefault="0033290F" w:rsidP="00867818">
            <w:pPr>
              <w:spacing w:line="276" w:lineRule="auto"/>
            </w:pPr>
            <w:r w:rsidRPr="0033290F">
              <w:t>Fond soudržnosti</w:t>
            </w:r>
          </w:p>
        </w:tc>
      </w:tr>
      <w:tr w:rsidR="00572159" w:rsidTr="00732AA1">
        <w:tc>
          <w:tcPr>
            <w:tcW w:w="3070" w:type="dxa"/>
          </w:tcPr>
          <w:p w:rsidR="00572159" w:rsidRPr="002355B5" w:rsidRDefault="0033290F" w:rsidP="00867818">
            <w:pPr>
              <w:spacing w:line="276" w:lineRule="auto"/>
            </w:pPr>
            <w:r w:rsidRPr="0033290F">
              <w:t>Kategorie regionů</w:t>
            </w:r>
          </w:p>
        </w:tc>
        <w:tc>
          <w:tcPr>
            <w:tcW w:w="5969" w:type="dxa"/>
            <w:gridSpan w:val="2"/>
          </w:tcPr>
          <w:p w:rsidR="00572159" w:rsidRPr="002355B5" w:rsidRDefault="0033290F" w:rsidP="00867818">
            <w:pPr>
              <w:spacing w:line="276" w:lineRule="auto"/>
            </w:pPr>
            <w:r w:rsidRPr="0033290F">
              <w:t>Není relevantní pro prioritní osu 2</w:t>
            </w:r>
          </w:p>
        </w:tc>
      </w:tr>
      <w:tr w:rsidR="00572159" w:rsidTr="00732AA1">
        <w:tc>
          <w:tcPr>
            <w:tcW w:w="3070" w:type="dxa"/>
          </w:tcPr>
          <w:p w:rsidR="00572159" w:rsidRPr="002355B5" w:rsidRDefault="0033290F" w:rsidP="00867818">
            <w:pPr>
              <w:spacing w:line="276" w:lineRule="auto"/>
            </w:pPr>
            <w:r w:rsidRPr="0033290F">
              <w:t>Prioritní osa</w:t>
            </w:r>
          </w:p>
        </w:tc>
        <w:tc>
          <w:tcPr>
            <w:tcW w:w="3070" w:type="dxa"/>
          </w:tcPr>
          <w:p w:rsidR="00572159" w:rsidRPr="002355B5" w:rsidRDefault="0033290F" w:rsidP="00867818">
            <w:pPr>
              <w:spacing w:line="276" w:lineRule="auto"/>
            </w:pPr>
            <w:r w:rsidRPr="0033290F">
              <w:t xml:space="preserve">Kód </w:t>
            </w:r>
          </w:p>
        </w:tc>
        <w:tc>
          <w:tcPr>
            <w:tcW w:w="2899" w:type="dxa"/>
          </w:tcPr>
          <w:p w:rsidR="00572159" w:rsidRPr="002355B5" w:rsidRDefault="0033290F" w:rsidP="00867818">
            <w:pPr>
              <w:spacing w:line="276" w:lineRule="auto"/>
            </w:pPr>
            <w:r w:rsidRPr="0033290F">
              <w:t xml:space="preserve">Částka (v </w:t>
            </w:r>
            <w:proofErr w:type="gramStart"/>
            <w:r w:rsidRPr="0033290F">
              <w:t>EUR</w:t>
            </w:r>
            <w:proofErr w:type="gramEnd"/>
            <w:r w:rsidRPr="0033290F">
              <w:t>)</w:t>
            </w:r>
          </w:p>
        </w:tc>
      </w:tr>
      <w:tr w:rsidR="00572159" w:rsidTr="00732AA1">
        <w:tc>
          <w:tcPr>
            <w:tcW w:w="3070" w:type="dxa"/>
          </w:tcPr>
          <w:p w:rsidR="00572159" w:rsidRPr="002355B5" w:rsidRDefault="0033290F" w:rsidP="00867818">
            <w:pPr>
              <w:spacing w:line="276" w:lineRule="auto"/>
            </w:pPr>
            <w:r w:rsidRPr="0033290F">
              <w:t>Prioritní osa 2</w:t>
            </w:r>
          </w:p>
        </w:tc>
        <w:tc>
          <w:tcPr>
            <w:tcW w:w="3070" w:type="dxa"/>
          </w:tcPr>
          <w:p w:rsidR="00572159" w:rsidRPr="002355B5" w:rsidRDefault="0033290F" w:rsidP="00867818">
            <w:pPr>
              <w:spacing w:line="276" w:lineRule="auto"/>
            </w:pPr>
            <w:r w:rsidRPr="0033290F">
              <w:rPr>
                <w:color w:val="000000"/>
              </w:rPr>
              <w:t>83</w:t>
            </w:r>
          </w:p>
        </w:tc>
        <w:tc>
          <w:tcPr>
            <w:tcW w:w="2899" w:type="dxa"/>
          </w:tcPr>
          <w:p w:rsidR="00572159" w:rsidRPr="002355B5" w:rsidRDefault="000C7864" w:rsidP="00867818">
            <w:pPr>
              <w:spacing w:line="276" w:lineRule="auto"/>
            </w:pPr>
            <w:r w:rsidRPr="000C7864">
              <w:t>453819065</w:t>
            </w:r>
          </w:p>
        </w:tc>
      </w:tr>
    </w:tbl>
    <w:p w:rsidR="00572159" w:rsidRDefault="00572159" w:rsidP="00B66FDE"/>
    <w:p w:rsidR="004B6C19" w:rsidRDefault="004B6C19" w:rsidP="00B66FDE"/>
    <w:p w:rsidR="004B6C19" w:rsidRDefault="004B6C19" w:rsidP="00B66FDE"/>
    <w:p w:rsidR="004B6C19" w:rsidRDefault="004B6C19" w:rsidP="00B66FDE"/>
    <w:p w:rsidR="00674BC9" w:rsidRDefault="00572159">
      <w:pPr>
        <w:pStyle w:val="Titulek"/>
      </w:pPr>
      <w:r>
        <w:lastRenderedPageBreak/>
        <w:t>Dimenze 2 – Forma financování</w:t>
      </w:r>
    </w:p>
    <w:tbl>
      <w:tblPr>
        <w:tblStyle w:val="Mkatabulky"/>
        <w:tblW w:w="0" w:type="auto"/>
        <w:tblLook w:val="04A0" w:firstRow="1" w:lastRow="0" w:firstColumn="1" w:lastColumn="0" w:noHBand="0" w:noVBand="1"/>
      </w:tblPr>
      <w:tblGrid>
        <w:gridCol w:w="3070"/>
        <w:gridCol w:w="3070"/>
        <w:gridCol w:w="2899"/>
      </w:tblGrid>
      <w:tr w:rsidR="00572159" w:rsidTr="00732AA1">
        <w:tc>
          <w:tcPr>
            <w:tcW w:w="3070" w:type="dxa"/>
          </w:tcPr>
          <w:p w:rsidR="00572159" w:rsidRPr="002355B5" w:rsidRDefault="0033290F" w:rsidP="00867818">
            <w:pPr>
              <w:spacing w:line="276" w:lineRule="auto"/>
            </w:pPr>
            <w:r w:rsidRPr="0033290F">
              <w:t>Fond</w:t>
            </w:r>
          </w:p>
        </w:tc>
        <w:tc>
          <w:tcPr>
            <w:tcW w:w="5969" w:type="dxa"/>
            <w:gridSpan w:val="2"/>
          </w:tcPr>
          <w:p w:rsidR="00572159" w:rsidRPr="002355B5" w:rsidRDefault="0033290F" w:rsidP="00867818">
            <w:pPr>
              <w:spacing w:line="276" w:lineRule="auto"/>
            </w:pPr>
            <w:r w:rsidRPr="0033290F">
              <w:t>Fond soudržnosti</w:t>
            </w:r>
          </w:p>
        </w:tc>
      </w:tr>
      <w:tr w:rsidR="00572159" w:rsidTr="00732AA1">
        <w:tc>
          <w:tcPr>
            <w:tcW w:w="3070" w:type="dxa"/>
          </w:tcPr>
          <w:p w:rsidR="00572159" w:rsidRPr="002355B5" w:rsidRDefault="0033290F" w:rsidP="00867818">
            <w:pPr>
              <w:spacing w:line="276" w:lineRule="auto"/>
            </w:pPr>
            <w:r w:rsidRPr="0033290F">
              <w:t>Kategorie regionů</w:t>
            </w:r>
          </w:p>
        </w:tc>
        <w:tc>
          <w:tcPr>
            <w:tcW w:w="5969" w:type="dxa"/>
            <w:gridSpan w:val="2"/>
          </w:tcPr>
          <w:p w:rsidR="00572159" w:rsidRPr="002355B5" w:rsidRDefault="0033290F" w:rsidP="00867818">
            <w:pPr>
              <w:spacing w:line="276" w:lineRule="auto"/>
            </w:pPr>
            <w:r w:rsidRPr="0033290F">
              <w:t>Není relevantní pro prioritní osu 2</w:t>
            </w:r>
          </w:p>
        </w:tc>
      </w:tr>
      <w:tr w:rsidR="00572159" w:rsidTr="00732AA1">
        <w:tc>
          <w:tcPr>
            <w:tcW w:w="3070" w:type="dxa"/>
          </w:tcPr>
          <w:p w:rsidR="00572159" w:rsidRPr="002355B5" w:rsidRDefault="0033290F" w:rsidP="00867818">
            <w:pPr>
              <w:spacing w:line="276" w:lineRule="auto"/>
            </w:pPr>
            <w:r w:rsidRPr="0033290F">
              <w:t>Prioritní osa</w:t>
            </w:r>
          </w:p>
        </w:tc>
        <w:tc>
          <w:tcPr>
            <w:tcW w:w="3070" w:type="dxa"/>
          </w:tcPr>
          <w:p w:rsidR="00572159" w:rsidRPr="002355B5" w:rsidRDefault="0033290F" w:rsidP="00867818">
            <w:pPr>
              <w:spacing w:line="276" w:lineRule="auto"/>
            </w:pPr>
            <w:r w:rsidRPr="0033290F">
              <w:t xml:space="preserve">Kód </w:t>
            </w:r>
          </w:p>
        </w:tc>
        <w:tc>
          <w:tcPr>
            <w:tcW w:w="2899" w:type="dxa"/>
          </w:tcPr>
          <w:p w:rsidR="00572159" w:rsidRPr="002355B5" w:rsidRDefault="0033290F" w:rsidP="00867818">
            <w:pPr>
              <w:spacing w:line="276" w:lineRule="auto"/>
            </w:pPr>
            <w:r w:rsidRPr="0033290F">
              <w:t xml:space="preserve">Částka (v </w:t>
            </w:r>
            <w:proofErr w:type="gramStart"/>
            <w:r w:rsidRPr="0033290F">
              <w:t>EUR</w:t>
            </w:r>
            <w:proofErr w:type="gramEnd"/>
            <w:r w:rsidRPr="0033290F">
              <w:t>)</w:t>
            </w:r>
          </w:p>
        </w:tc>
      </w:tr>
      <w:tr w:rsidR="00572159" w:rsidTr="00732AA1">
        <w:tc>
          <w:tcPr>
            <w:tcW w:w="3070" w:type="dxa"/>
          </w:tcPr>
          <w:p w:rsidR="00572159" w:rsidRPr="002355B5" w:rsidRDefault="0033290F" w:rsidP="00867818">
            <w:pPr>
              <w:spacing w:line="276" w:lineRule="auto"/>
            </w:pPr>
            <w:r w:rsidRPr="0033290F">
              <w:t>Prioritní osa 2</w:t>
            </w:r>
          </w:p>
        </w:tc>
        <w:tc>
          <w:tcPr>
            <w:tcW w:w="3070" w:type="dxa"/>
          </w:tcPr>
          <w:p w:rsidR="00572159" w:rsidRPr="002355B5" w:rsidRDefault="0033290F" w:rsidP="00867818">
            <w:pPr>
              <w:spacing w:line="276" w:lineRule="auto"/>
            </w:pPr>
            <w:r w:rsidRPr="0033290F">
              <w:rPr>
                <w:color w:val="000000"/>
              </w:rPr>
              <w:t>01</w:t>
            </w:r>
          </w:p>
        </w:tc>
        <w:tc>
          <w:tcPr>
            <w:tcW w:w="2899" w:type="dxa"/>
          </w:tcPr>
          <w:p w:rsidR="00572159" w:rsidRPr="002355B5" w:rsidRDefault="000C7864" w:rsidP="00867818">
            <w:pPr>
              <w:spacing w:line="276" w:lineRule="auto"/>
            </w:pPr>
            <w:r w:rsidRPr="000C7864">
              <w:t>453819065</w:t>
            </w:r>
          </w:p>
        </w:tc>
      </w:tr>
    </w:tbl>
    <w:p w:rsidR="00572159" w:rsidRDefault="00572159" w:rsidP="00B66FDE"/>
    <w:p w:rsidR="00674BC9" w:rsidRDefault="00572159">
      <w:pPr>
        <w:pStyle w:val="Titulek"/>
      </w:pPr>
      <w:r>
        <w:t>Dimenze 3 – Typ území</w:t>
      </w:r>
    </w:p>
    <w:tbl>
      <w:tblPr>
        <w:tblStyle w:val="Mkatabulky"/>
        <w:tblW w:w="0" w:type="auto"/>
        <w:tblLook w:val="04A0" w:firstRow="1" w:lastRow="0" w:firstColumn="1" w:lastColumn="0" w:noHBand="0" w:noVBand="1"/>
      </w:tblPr>
      <w:tblGrid>
        <w:gridCol w:w="3070"/>
        <w:gridCol w:w="3070"/>
        <w:gridCol w:w="2899"/>
      </w:tblGrid>
      <w:tr w:rsidR="00572159" w:rsidTr="00732AA1">
        <w:tc>
          <w:tcPr>
            <w:tcW w:w="3070" w:type="dxa"/>
          </w:tcPr>
          <w:p w:rsidR="00572159" w:rsidRPr="002355B5" w:rsidRDefault="0033290F" w:rsidP="00867818">
            <w:pPr>
              <w:spacing w:line="276" w:lineRule="auto"/>
            </w:pPr>
            <w:r w:rsidRPr="0033290F">
              <w:t>Fond</w:t>
            </w:r>
          </w:p>
        </w:tc>
        <w:tc>
          <w:tcPr>
            <w:tcW w:w="5969" w:type="dxa"/>
            <w:gridSpan w:val="2"/>
          </w:tcPr>
          <w:p w:rsidR="00572159" w:rsidRPr="002355B5" w:rsidRDefault="0033290F" w:rsidP="00867818">
            <w:pPr>
              <w:spacing w:line="276" w:lineRule="auto"/>
            </w:pPr>
            <w:r w:rsidRPr="0033290F">
              <w:t>Fond soudržnosti</w:t>
            </w:r>
          </w:p>
        </w:tc>
      </w:tr>
      <w:tr w:rsidR="00572159" w:rsidTr="00732AA1">
        <w:tc>
          <w:tcPr>
            <w:tcW w:w="3070" w:type="dxa"/>
          </w:tcPr>
          <w:p w:rsidR="00572159" w:rsidRPr="002355B5" w:rsidRDefault="0033290F" w:rsidP="00867818">
            <w:pPr>
              <w:spacing w:line="276" w:lineRule="auto"/>
            </w:pPr>
            <w:r w:rsidRPr="0033290F">
              <w:t>Kategorie regionů</w:t>
            </w:r>
          </w:p>
        </w:tc>
        <w:tc>
          <w:tcPr>
            <w:tcW w:w="5969" w:type="dxa"/>
            <w:gridSpan w:val="2"/>
          </w:tcPr>
          <w:p w:rsidR="00572159" w:rsidRPr="002355B5" w:rsidRDefault="0033290F" w:rsidP="00867818">
            <w:pPr>
              <w:spacing w:line="276" w:lineRule="auto"/>
            </w:pPr>
            <w:r w:rsidRPr="0033290F">
              <w:t>Není relevantní pro prioritní osu 2</w:t>
            </w:r>
          </w:p>
        </w:tc>
      </w:tr>
      <w:tr w:rsidR="00572159" w:rsidTr="00732AA1">
        <w:tc>
          <w:tcPr>
            <w:tcW w:w="3070" w:type="dxa"/>
          </w:tcPr>
          <w:p w:rsidR="00572159" w:rsidRPr="002355B5" w:rsidRDefault="0033290F" w:rsidP="00867818">
            <w:pPr>
              <w:spacing w:line="276" w:lineRule="auto"/>
            </w:pPr>
            <w:r w:rsidRPr="0033290F">
              <w:t>Prioritní osa</w:t>
            </w:r>
          </w:p>
        </w:tc>
        <w:tc>
          <w:tcPr>
            <w:tcW w:w="3070" w:type="dxa"/>
          </w:tcPr>
          <w:p w:rsidR="00572159" w:rsidRPr="002355B5" w:rsidRDefault="0033290F" w:rsidP="00867818">
            <w:pPr>
              <w:spacing w:line="276" w:lineRule="auto"/>
            </w:pPr>
            <w:r w:rsidRPr="0033290F">
              <w:t xml:space="preserve">Kód </w:t>
            </w:r>
          </w:p>
        </w:tc>
        <w:tc>
          <w:tcPr>
            <w:tcW w:w="2899" w:type="dxa"/>
          </w:tcPr>
          <w:p w:rsidR="00572159" w:rsidRPr="002355B5" w:rsidRDefault="0033290F" w:rsidP="00867818">
            <w:pPr>
              <w:spacing w:line="276" w:lineRule="auto"/>
            </w:pPr>
            <w:r w:rsidRPr="0033290F">
              <w:t xml:space="preserve">Částka (v </w:t>
            </w:r>
            <w:proofErr w:type="gramStart"/>
            <w:r w:rsidRPr="0033290F">
              <w:t>EUR</w:t>
            </w:r>
            <w:proofErr w:type="gramEnd"/>
            <w:r w:rsidRPr="0033290F">
              <w:t>)</w:t>
            </w:r>
          </w:p>
        </w:tc>
      </w:tr>
      <w:tr w:rsidR="00542D23" w:rsidTr="00BB1661">
        <w:tc>
          <w:tcPr>
            <w:tcW w:w="3070" w:type="dxa"/>
          </w:tcPr>
          <w:p w:rsidR="00542D23" w:rsidRPr="002355B5" w:rsidRDefault="0033290F" w:rsidP="00867818">
            <w:pPr>
              <w:spacing w:line="276" w:lineRule="auto"/>
            </w:pPr>
            <w:r w:rsidRPr="0033290F">
              <w:t>Prioritní osa 2</w:t>
            </w:r>
          </w:p>
        </w:tc>
        <w:tc>
          <w:tcPr>
            <w:tcW w:w="3070" w:type="dxa"/>
          </w:tcPr>
          <w:p w:rsidR="00542D23" w:rsidRPr="002355B5" w:rsidRDefault="0033290F" w:rsidP="00867818">
            <w:pPr>
              <w:spacing w:line="276" w:lineRule="auto"/>
            </w:pPr>
            <w:r w:rsidRPr="0033290F">
              <w:rPr>
                <w:color w:val="000000"/>
              </w:rPr>
              <w:t>01</w:t>
            </w:r>
          </w:p>
        </w:tc>
        <w:tc>
          <w:tcPr>
            <w:tcW w:w="2899" w:type="dxa"/>
            <w:vAlign w:val="bottom"/>
          </w:tcPr>
          <w:p w:rsidR="00542D23" w:rsidRPr="00542D23" w:rsidRDefault="0033290F" w:rsidP="00D34B27">
            <w:pPr>
              <w:spacing w:line="276" w:lineRule="auto"/>
            </w:pPr>
            <w:r w:rsidRPr="0033290F">
              <w:rPr>
                <w:color w:val="000000"/>
              </w:rPr>
              <w:t>68072860</w:t>
            </w:r>
          </w:p>
        </w:tc>
      </w:tr>
      <w:tr w:rsidR="00542D23" w:rsidTr="00BB1661">
        <w:tc>
          <w:tcPr>
            <w:tcW w:w="3070" w:type="dxa"/>
          </w:tcPr>
          <w:p w:rsidR="00542D23" w:rsidRPr="002355B5" w:rsidRDefault="00542D23" w:rsidP="00867818">
            <w:pPr>
              <w:spacing w:line="276" w:lineRule="auto"/>
            </w:pPr>
            <w:r w:rsidRPr="00200021">
              <w:t>Prioritní osa 2</w:t>
            </w:r>
          </w:p>
        </w:tc>
        <w:tc>
          <w:tcPr>
            <w:tcW w:w="3070" w:type="dxa"/>
          </w:tcPr>
          <w:p w:rsidR="00542D23" w:rsidRPr="002355B5" w:rsidRDefault="0033290F" w:rsidP="00867818">
            <w:pPr>
              <w:spacing w:line="276" w:lineRule="auto"/>
              <w:rPr>
                <w:color w:val="000000"/>
              </w:rPr>
            </w:pPr>
            <w:r w:rsidRPr="0033290F">
              <w:rPr>
                <w:color w:val="000000"/>
              </w:rPr>
              <w:t>02</w:t>
            </w:r>
          </w:p>
        </w:tc>
        <w:tc>
          <w:tcPr>
            <w:tcW w:w="2899" w:type="dxa"/>
            <w:vAlign w:val="bottom"/>
          </w:tcPr>
          <w:p w:rsidR="00542D23" w:rsidRPr="00542D23" w:rsidRDefault="0033290F" w:rsidP="00D34B27">
            <w:pPr>
              <w:spacing w:line="276" w:lineRule="auto"/>
              <w:rPr>
                <w:color w:val="000000"/>
              </w:rPr>
            </w:pPr>
            <w:r w:rsidRPr="0033290F">
              <w:rPr>
                <w:color w:val="000000"/>
              </w:rPr>
              <w:t>68072860</w:t>
            </w:r>
          </w:p>
        </w:tc>
      </w:tr>
      <w:tr w:rsidR="00542D23" w:rsidTr="00BB1661">
        <w:tc>
          <w:tcPr>
            <w:tcW w:w="3070" w:type="dxa"/>
          </w:tcPr>
          <w:p w:rsidR="00542D23" w:rsidRPr="002355B5" w:rsidRDefault="00542D23" w:rsidP="00867818">
            <w:pPr>
              <w:spacing w:line="276" w:lineRule="auto"/>
            </w:pPr>
            <w:r w:rsidRPr="00200021">
              <w:t>Prioritní osa 2</w:t>
            </w:r>
          </w:p>
        </w:tc>
        <w:tc>
          <w:tcPr>
            <w:tcW w:w="3070" w:type="dxa"/>
          </w:tcPr>
          <w:p w:rsidR="00542D23" w:rsidRPr="002355B5" w:rsidRDefault="0033290F" w:rsidP="00867818">
            <w:pPr>
              <w:spacing w:line="276" w:lineRule="auto"/>
              <w:rPr>
                <w:color w:val="000000"/>
              </w:rPr>
            </w:pPr>
            <w:r w:rsidRPr="0033290F">
              <w:rPr>
                <w:color w:val="000000"/>
              </w:rPr>
              <w:t>03</w:t>
            </w:r>
          </w:p>
        </w:tc>
        <w:tc>
          <w:tcPr>
            <w:tcW w:w="2899" w:type="dxa"/>
            <w:vAlign w:val="bottom"/>
          </w:tcPr>
          <w:p w:rsidR="00542D23" w:rsidRPr="00542D23" w:rsidRDefault="0033290F" w:rsidP="00D34B27">
            <w:pPr>
              <w:spacing w:line="276" w:lineRule="auto"/>
              <w:rPr>
                <w:color w:val="000000"/>
              </w:rPr>
            </w:pPr>
            <w:r w:rsidRPr="0033290F">
              <w:rPr>
                <w:color w:val="000000"/>
              </w:rPr>
              <w:t>317673346</w:t>
            </w:r>
          </w:p>
        </w:tc>
      </w:tr>
    </w:tbl>
    <w:p w:rsidR="00572159" w:rsidRDefault="00572159" w:rsidP="00572159"/>
    <w:p w:rsidR="00674BC9" w:rsidRDefault="00572159">
      <w:pPr>
        <w:pStyle w:val="Titulek"/>
      </w:pPr>
      <w:r>
        <w:t>Dimenze 4 – Mechanismus územního plnění</w:t>
      </w:r>
    </w:p>
    <w:tbl>
      <w:tblPr>
        <w:tblStyle w:val="Mkatabulky"/>
        <w:tblW w:w="0" w:type="auto"/>
        <w:tblLook w:val="04A0" w:firstRow="1" w:lastRow="0" w:firstColumn="1" w:lastColumn="0" w:noHBand="0" w:noVBand="1"/>
      </w:tblPr>
      <w:tblGrid>
        <w:gridCol w:w="3070"/>
        <w:gridCol w:w="3070"/>
        <w:gridCol w:w="2899"/>
      </w:tblGrid>
      <w:tr w:rsidR="00572159" w:rsidTr="00732AA1">
        <w:tc>
          <w:tcPr>
            <w:tcW w:w="3070" w:type="dxa"/>
          </w:tcPr>
          <w:p w:rsidR="00572159" w:rsidRPr="002355B5" w:rsidRDefault="0033290F" w:rsidP="00867818">
            <w:pPr>
              <w:spacing w:line="276" w:lineRule="auto"/>
            </w:pPr>
            <w:r w:rsidRPr="0033290F">
              <w:t>Fond</w:t>
            </w:r>
          </w:p>
        </w:tc>
        <w:tc>
          <w:tcPr>
            <w:tcW w:w="5969" w:type="dxa"/>
            <w:gridSpan w:val="2"/>
          </w:tcPr>
          <w:p w:rsidR="00572159" w:rsidRPr="002355B5" w:rsidRDefault="0033290F" w:rsidP="00867818">
            <w:pPr>
              <w:spacing w:line="276" w:lineRule="auto"/>
            </w:pPr>
            <w:r w:rsidRPr="0033290F">
              <w:t>Fond soudržnosti</w:t>
            </w:r>
          </w:p>
        </w:tc>
      </w:tr>
      <w:tr w:rsidR="00572159" w:rsidTr="00732AA1">
        <w:tc>
          <w:tcPr>
            <w:tcW w:w="3070" w:type="dxa"/>
          </w:tcPr>
          <w:p w:rsidR="00572159" w:rsidRPr="002355B5" w:rsidRDefault="0033290F" w:rsidP="00867818">
            <w:pPr>
              <w:spacing w:line="276" w:lineRule="auto"/>
            </w:pPr>
            <w:r w:rsidRPr="0033290F">
              <w:t>Kategorie regionů</w:t>
            </w:r>
          </w:p>
        </w:tc>
        <w:tc>
          <w:tcPr>
            <w:tcW w:w="5969" w:type="dxa"/>
            <w:gridSpan w:val="2"/>
          </w:tcPr>
          <w:p w:rsidR="00572159" w:rsidRPr="002355B5" w:rsidRDefault="0033290F" w:rsidP="00867818">
            <w:pPr>
              <w:spacing w:line="276" w:lineRule="auto"/>
            </w:pPr>
            <w:r w:rsidRPr="0033290F">
              <w:t>Není relevantní pro prioritní osu 2</w:t>
            </w:r>
          </w:p>
        </w:tc>
      </w:tr>
      <w:tr w:rsidR="00572159" w:rsidTr="00732AA1">
        <w:tc>
          <w:tcPr>
            <w:tcW w:w="3070" w:type="dxa"/>
          </w:tcPr>
          <w:p w:rsidR="00572159" w:rsidRPr="002355B5" w:rsidRDefault="0033290F" w:rsidP="00867818">
            <w:pPr>
              <w:spacing w:line="276" w:lineRule="auto"/>
            </w:pPr>
            <w:r w:rsidRPr="0033290F">
              <w:t>Prioritní osa</w:t>
            </w:r>
          </w:p>
        </w:tc>
        <w:tc>
          <w:tcPr>
            <w:tcW w:w="3070" w:type="dxa"/>
          </w:tcPr>
          <w:p w:rsidR="00572159" w:rsidRPr="002355B5" w:rsidRDefault="0033290F" w:rsidP="00867818">
            <w:pPr>
              <w:spacing w:line="276" w:lineRule="auto"/>
            </w:pPr>
            <w:r w:rsidRPr="0033290F">
              <w:t xml:space="preserve">Kód </w:t>
            </w:r>
          </w:p>
        </w:tc>
        <w:tc>
          <w:tcPr>
            <w:tcW w:w="2899" w:type="dxa"/>
          </w:tcPr>
          <w:p w:rsidR="00572159" w:rsidRPr="002355B5" w:rsidRDefault="0033290F" w:rsidP="00867818">
            <w:pPr>
              <w:spacing w:line="276" w:lineRule="auto"/>
            </w:pPr>
            <w:r w:rsidRPr="0033290F">
              <w:t xml:space="preserve">Částka (v </w:t>
            </w:r>
            <w:proofErr w:type="gramStart"/>
            <w:r w:rsidRPr="0033290F">
              <w:t>EUR</w:t>
            </w:r>
            <w:proofErr w:type="gramEnd"/>
            <w:r w:rsidRPr="0033290F">
              <w:t>)</w:t>
            </w:r>
          </w:p>
        </w:tc>
      </w:tr>
      <w:tr w:rsidR="00572159" w:rsidTr="00732AA1">
        <w:tc>
          <w:tcPr>
            <w:tcW w:w="3070" w:type="dxa"/>
          </w:tcPr>
          <w:p w:rsidR="00572159" w:rsidRPr="002355B5" w:rsidRDefault="0033290F" w:rsidP="00867818">
            <w:pPr>
              <w:spacing w:line="276" w:lineRule="auto"/>
            </w:pPr>
            <w:r w:rsidRPr="0033290F">
              <w:t>Prioritní osa 2</w:t>
            </w:r>
          </w:p>
        </w:tc>
        <w:tc>
          <w:tcPr>
            <w:tcW w:w="3070" w:type="dxa"/>
          </w:tcPr>
          <w:p w:rsidR="00572159" w:rsidRPr="002355B5" w:rsidRDefault="0033290F" w:rsidP="00867818">
            <w:pPr>
              <w:spacing w:line="276" w:lineRule="auto"/>
            </w:pPr>
            <w:r w:rsidRPr="0033290F">
              <w:t>07</w:t>
            </w:r>
          </w:p>
        </w:tc>
        <w:tc>
          <w:tcPr>
            <w:tcW w:w="2899" w:type="dxa"/>
          </w:tcPr>
          <w:p w:rsidR="00572159" w:rsidRPr="002355B5" w:rsidRDefault="000C7864" w:rsidP="00867818">
            <w:pPr>
              <w:spacing w:line="276" w:lineRule="auto"/>
            </w:pPr>
            <w:r w:rsidRPr="000C7864">
              <w:t>453819065</w:t>
            </w:r>
          </w:p>
        </w:tc>
      </w:tr>
    </w:tbl>
    <w:p w:rsidR="00572159" w:rsidRDefault="00572159" w:rsidP="00572159"/>
    <w:p w:rsidR="00674BC9" w:rsidRDefault="00572159">
      <w:pPr>
        <w:pStyle w:val="Titulek"/>
      </w:pPr>
      <w:r>
        <w:t>Dimenze 5 – Tematický cíl</w:t>
      </w:r>
    </w:p>
    <w:tbl>
      <w:tblPr>
        <w:tblStyle w:val="Mkatabulky"/>
        <w:tblW w:w="0" w:type="auto"/>
        <w:tblLook w:val="04A0" w:firstRow="1" w:lastRow="0" w:firstColumn="1" w:lastColumn="0" w:noHBand="0" w:noVBand="1"/>
      </w:tblPr>
      <w:tblGrid>
        <w:gridCol w:w="3070"/>
        <w:gridCol w:w="3070"/>
        <w:gridCol w:w="2899"/>
      </w:tblGrid>
      <w:tr w:rsidR="00572159" w:rsidRPr="008A2E8F" w:rsidTr="00732AA1">
        <w:tc>
          <w:tcPr>
            <w:tcW w:w="3070" w:type="dxa"/>
          </w:tcPr>
          <w:p w:rsidR="00572159" w:rsidRPr="002355B5" w:rsidRDefault="0033290F" w:rsidP="00867818">
            <w:pPr>
              <w:spacing w:line="276" w:lineRule="auto"/>
            </w:pPr>
            <w:r w:rsidRPr="0033290F">
              <w:t>Fond</w:t>
            </w:r>
          </w:p>
        </w:tc>
        <w:tc>
          <w:tcPr>
            <w:tcW w:w="5969" w:type="dxa"/>
            <w:gridSpan w:val="2"/>
          </w:tcPr>
          <w:p w:rsidR="00572159" w:rsidRPr="002355B5" w:rsidRDefault="0033290F" w:rsidP="00867818">
            <w:pPr>
              <w:spacing w:line="276" w:lineRule="auto"/>
            </w:pPr>
            <w:r w:rsidRPr="0033290F">
              <w:t>Fond soudržnosti</w:t>
            </w:r>
          </w:p>
        </w:tc>
      </w:tr>
      <w:tr w:rsidR="00572159" w:rsidRPr="008A2E8F" w:rsidTr="00732AA1">
        <w:tc>
          <w:tcPr>
            <w:tcW w:w="3070" w:type="dxa"/>
          </w:tcPr>
          <w:p w:rsidR="00572159" w:rsidRPr="002355B5" w:rsidRDefault="0033290F" w:rsidP="00867818">
            <w:pPr>
              <w:spacing w:line="276" w:lineRule="auto"/>
            </w:pPr>
            <w:r w:rsidRPr="0033290F">
              <w:t>Kategorie regionů</w:t>
            </w:r>
          </w:p>
        </w:tc>
        <w:tc>
          <w:tcPr>
            <w:tcW w:w="5969" w:type="dxa"/>
            <w:gridSpan w:val="2"/>
          </w:tcPr>
          <w:p w:rsidR="00572159" w:rsidRPr="002355B5" w:rsidRDefault="0033290F" w:rsidP="00867818">
            <w:pPr>
              <w:spacing w:line="276" w:lineRule="auto"/>
            </w:pPr>
            <w:r w:rsidRPr="0033290F">
              <w:t>Není relevantní pro prioritní osu 2</w:t>
            </w:r>
          </w:p>
        </w:tc>
      </w:tr>
      <w:tr w:rsidR="00572159" w:rsidRPr="008A2E8F" w:rsidTr="00732AA1">
        <w:tc>
          <w:tcPr>
            <w:tcW w:w="3070" w:type="dxa"/>
          </w:tcPr>
          <w:p w:rsidR="00572159" w:rsidRPr="002355B5" w:rsidRDefault="0033290F" w:rsidP="00867818">
            <w:pPr>
              <w:spacing w:line="276" w:lineRule="auto"/>
            </w:pPr>
            <w:r w:rsidRPr="0033290F">
              <w:t>Prioritní osa</w:t>
            </w:r>
          </w:p>
        </w:tc>
        <w:tc>
          <w:tcPr>
            <w:tcW w:w="3070" w:type="dxa"/>
          </w:tcPr>
          <w:p w:rsidR="00572159" w:rsidRPr="002355B5" w:rsidRDefault="0033290F" w:rsidP="00867818">
            <w:pPr>
              <w:spacing w:line="276" w:lineRule="auto"/>
            </w:pPr>
            <w:r w:rsidRPr="0033290F">
              <w:t xml:space="preserve">Kód </w:t>
            </w:r>
          </w:p>
        </w:tc>
        <w:tc>
          <w:tcPr>
            <w:tcW w:w="2899" w:type="dxa"/>
          </w:tcPr>
          <w:p w:rsidR="00572159" w:rsidRPr="002355B5" w:rsidRDefault="0033290F" w:rsidP="00867818">
            <w:pPr>
              <w:spacing w:line="276" w:lineRule="auto"/>
            </w:pPr>
            <w:r w:rsidRPr="0033290F">
              <w:t xml:space="preserve">Částka (v </w:t>
            </w:r>
            <w:proofErr w:type="gramStart"/>
            <w:r w:rsidRPr="0033290F">
              <w:t>EUR</w:t>
            </w:r>
            <w:proofErr w:type="gramEnd"/>
            <w:r w:rsidRPr="0033290F">
              <w:t>)</w:t>
            </w:r>
          </w:p>
        </w:tc>
      </w:tr>
      <w:tr w:rsidR="00572159" w:rsidRPr="008A2E8F" w:rsidTr="00732AA1">
        <w:tc>
          <w:tcPr>
            <w:tcW w:w="3070" w:type="dxa"/>
          </w:tcPr>
          <w:p w:rsidR="00572159" w:rsidRPr="002355B5" w:rsidRDefault="0033290F" w:rsidP="00867818">
            <w:pPr>
              <w:spacing w:line="276" w:lineRule="auto"/>
            </w:pPr>
            <w:r w:rsidRPr="0033290F">
              <w:t>Prioritní osa 2</w:t>
            </w:r>
          </w:p>
        </w:tc>
        <w:tc>
          <w:tcPr>
            <w:tcW w:w="3070" w:type="dxa"/>
          </w:tcPr>
          <w:p w:rsidR="00572159" w:rsidRPr="002355B5" w:rsidRDefault="0033290F" w:rsidP="00867818">
            <w:pPr>
              <w:spacing w:line="276" w:lineRule="auto"/>
            </w:pPr>
            <w:r w:rsidRPr="0033290F">
              <w:rPr>
                <w:color w:val="000000"/>
              </w:rPr>
              <w:t>06</w:t>
            </w:r>
          </w:p>
        </w:tc>
        <w:tc>
          <w:tcPr>
            <w:tcW w:w="2899" w:type="dxa"/>
          </w:tcPr>
          <w:p w:rsidR="00572159" w:rsidRPr="002355B5" w:rsidRDefault="000C7864" w:rsidP="00867818">
            <w:pPr>
              <w:spacing w:line="276" w:lineRule="auto"/>
            </w:pPr>
            <w:r w:rsidRPr="000C7864">
              <w:t>453819065</w:t>
            </w:r>
          </w:p>
        </w:tc>
      </w:tr>
    </w:tbl>
    <w:p w:rsidR="00572159" w:rsidRPr="008A2E8F" w:rsidRDefault="00572159" w:rsidP="00572159">
      <w:pPr>
        <w:rPr>
          <w:sz w:val="20"/>
          <w:szCs w:val="20"/>
        </w:rPr>
      </w:pPr>
    </w:p>
    <w:p w:rsidR="00107BDA" w:rsidRDefault="00107BDA" w:rsidP="00B66FDE"/>
    <w:p w:rsidR="004B6C19" w:rsidRDefault="004B6C19" w:rsidP="00B66FDE"/>
    <w:p w:rsidR="004B6C19" w:rsidRDefault="004B6C19" w:rsidP="00B66FDE"/>
    <w:p w:rsidR="004B6C19" w:rsidRDefault="004B6C19" w:rsidP="00B66FDE"/>
    <w:p w:rsidR="004B6C19" w:rsidRDefault="004B6C19" w:rsidP="00B66FDE"/>
    <w:p w:rsidR="004B6C19" w:rsidRPr="004314F4" w:rsidRDefault="004B6C19" w:rsidP="00B66FDE"/>
    <w:p w:rsidR="008159F0" w:rsidRPr="008159F0" w:rsidRDefault="00AC431D" w:rsidP="008159F0">
      <w:pPr>
        <w:pStyle w:val="Nadpis2"/>
      </w:pPr>
      <w:bookmarkStart w:id="2392" w:name="_Toc392151009"/>
      <w:r w:rsidRPr="004314F4">
        <w:lastRenderedPageBreak/>
        <w:t>PRIORITNÍ OSA 3: Odpady a materi</w:t>
      </w:r>
      <w:r w:rsidR="00D96EB7">
        <w:t>álové toky, ekologické zátěže a </w:t>
      </w:r>
      <w:r w:rsidRPr="004314F4">
        <w:t>rizika</w:t>
      </w:r>
      <w:bookmarkEnd w:id="2392"/>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gridCol w:w="566"/>
      </w:tblGrid>
      <w:tr w:rsidR="008159F0" w:rsidRPr="00E63B56" w:rsidTr="00732AA1">
        <w:tc>
          <w:tcPr>
            <w:tcW w:w="4687" w:type="pct"/>
            <w:shd w:val="clear" w:color="auto" w:fill="auto"/>
            <w:vAlign w:val="center"/>
          </w:tcPr>
          <w:p w:rsidR="008159F0" w:rsidRPr="002355B5" w:rsidRDefault="0033290F" w:rsidP="00187030">
            <w:pPr>
              <w:pStyle w:val="Tabulka"/>
              <w:jc w:val="left"/>
              <w:rPr>
                <w:rFonts w:ascii="Cambria" w:hAnsi="Cambria" w:cs="Times New Roman"/>
              </w:rPr>
            </w:pPr>
            <w:r w:rsidRPr="0033290F">
              <w:rPr>
                <w:rFonts w:ascii="Cambria" w:hAnsi="Cambria" w:cs="Times New Roman"/>
              </w:rPr>
              <w:t>Celá prioritní osa bude realizována výhradně prostřednictvím finančních nástrojů</w:t>
            </w:r>
          </w:p>
        </w:tc>
        <w:tc>
          <w:tcPr>
            <w:tcW w:w="313" w:type="pct"/>
            <w:shd w:val="clear" w:color="auto" w:fill="auto"/>
            <w:vAlign w:val="center"/>
          </w:tcPr>
          <w:p w:rsidR="008159F0" w:rsidRPr="00E63B56" w:rsidRDefault="000E07F9" w:rsidP="00187030">
            <w:pPr>
              <w:pStyle w:val="Tabulka"/>
              <w:rPr>
                <w:rFonts w:asciiTheme="majorHAnsi" w:hAnsiTheme="majorHAnsi"/>
              </w:rPr>
            </w:pPr>
            <w:r w:rsidRPr="00144382">
              <w:rPr>
                <w:rFonts w:asciiTheme="majorHAnsi" w:hAnsiTheme="majorHAnsi"/>
              </w:rPr>
              <w:fldChar w:fldCharType="begin">
                <w:ffData>
                  <w:name w:val="Check1"/>
                  <w:enabled/>
                  <w:calcOnExit w:val="0"/>
                  <w:checkBox>
                    <w:sizeAuto/>
                    <w:default w:val="0"/>
                  </w:checkBox>
                </w:ffData>
              </w:fldChar>
            </w:r>
            <w:r w:rsidR="008159F0" w:rsidRPr="00144382">
              <w:rPr>
                <w:rFonts w:asciiTheme="majorHAnsi" w:hAnsiTheme="majorHAnsi"/>
              </w:rPr>
              <w:instrText xml:space="preserve"> FORMCHECKBOX </w:instrText>
            </w:r>
            <w:r w:rsidR="00332B77">
              <w:rPr>
                <w:rFonts w:asciiTheme="majorHAnsi" w:hAnsiTheme="majorHAnsi"/>
              </w:rPr>
            </w:r>
            <w:r w:rsidR="00332B77">
              <w:rPr>
                <w:rFonts w:asciiTheme="majorHAnsi" w:hAnsiTheme="majorHAnsi"/>
              </w:rPr>
              <w:fldChar w:fldCharType="separate"/>
            </w:r>
            <w:r w:rsidRPr="00144382">
              <w:rPr>
                <w:rFonts w:asciiTheme="majorHAnsi" w:hAnsiTheme="majorHAnsi"/>
              </w:rPr>
              <w:fldChar w:fldCharType="end"/>
            </w:r>
          </w:p>
        </w:tc>
      </w:tr>
      <w:tr w:rsidR="008159F0" w:rsidRPr="00E63B56" w:rsidTr="00732AA1">
        <w:tc>
          <w:tcPr>
            <w:tcW w:w="4687" w:type="pct"/>
            <w:shd w:val="clear" w:color="auto" w:fill="auto"/>
            <w:vAlign w:val="center"/>
          </w:tcPr>
          <w:p w:rsidR="008159F0" w:rsidRPr="002355B5" w:rsidRDefault="0033290F" w:rsidP="00187030">
            <w:pPr>
              <w:pStyle w:val="Tabulka"/>
              <w:jc w:val="left"/>
              <w:rPr>
                <w:rFonts w:ascii="Cambria" w:hAnsi="Cambria" w:cs="Times New Roman"/>
              </w:rPr>
            </w:pPr>
            <w:r w:rsidRPr="0033290F">
              <w:rPr>
                <w:rFonts w:ascii="Cambria" w:hAnsi="Cambria" w:cs="Times New Roman"/>
              </w:rPr>
              <w:t>Celá prioritní osa bude realizována výhradně prostřednictvím finančních nástrojů zřízených na úrovni Unie</w:t>
            </w:r>
          </w:p>
        </w:tc>
        <w:tc>
          <w:tcPr>
            <w:tcW w:w="313" w:type="pct"/>
            <w:shd w:val="clear" w:color="auto" w:fill="auto"/>
            <w:vAlign w:val="center"/>
          </w:tcPr>
          <w:p w:rsidR="008159F0" w:rsidRPr="00E63B56" w:rsidRDefault="000E07F9" w:rsidP="00187030">
            <w:pPr>
              <w:pStyle w:val="Tabulka"/>
              <w:rPr>
                <w:rFonts w:asciiTheme="majorHAnsi" w:hAnsiTheme="majorHAnsi"/>
              </w:rPr>
            </w:pPr>
            <w:r w:rsidRPr="00144382">
              <w:rPr>
                <w:rFonts w:asciiTheme="majorHAnsi" w:hAnsiTheme="majorHAnsi"/>
              </w:rPr>
              <w:fldChar w:fldCharType="begin">
                <w:ffData>
                  <w:name w:val="Check1"/>
                  <w:enabled/>
                  <w:calcOnExit w:val="0"/>
                  <w:checkBox>
                    <w:sizeAuto/>
                    <w:default w:val="0"/>
                  </w:checkBox>
                </w:ffData>
              </w:fldChar>
            </w:r>
            <w:r w:rsidR="008159F0" w:rsidRPr="00144382">
              <w:rPr>
                <w:rFonts w:asciiTheme="majorHAnsi" w:hAnsiTheme="majorHAnsi"/>
              </w:rPr>
              <w:instrText xml:space="preserve"> FORMCHECKBOX </w:instrText>
            </w:r>
            <w:r w:rsidR="00332B77">
              <w:rPr>
                <w:rFonts w:asciiTheme="majorHAnsi" w:hAnsiTheme="majorHAnsi"/>
              </w:rPr>
            </w:r>
            <w:r w:rsidR="00332B77">
              <w:rPr>
                <w:rFonts w:asciiTheme="majorHAnsi" w:hAnsiTheme="majorHAnsi"/>
              </w:rPr>
              <w:fldChar w:fldCharType="separate"/>
            </w:r>
            <w:r w:rsidRPr="00144382">
              <w:rPr>
                <w:rFonts w:asciiTheme="majorHAnsi" w:hAnsiTheme="majorHAnsi"/>
              </w:rPr>
              <w:fldChar w:fldCharType="end"/>
            </w:r>
          </w:p>
        </w:tc>
      </w:tr>
      <w:tr w:rsidR="008159F0" w:rsidRPr="00E63B56" w:rsidTr="00732AA1">
        <w:tc>
          <w:tcPr>
            <w:tcW w:w="4687" w:type="pct"/>
            <w:shd w:val="clear" w:color="auto" w:fill="auto"/>
            <w:vAlign w:val="center"/>
          </w:tcPr>
          <w:p w:rsidR="008159F0" w:rsidRPr="002355B5" w:rsidRDefault="0033290F" w:rsidP="00187030">
            <w:pPr>
              <w:pStyle w:val="Tabulka"/>
              <w:jc w:val="left"/>
              <w:rPr>
                <w:rFonts w:ascii="Cambria" w:hAnsi="Cambria" w:cs="Times New Roman"/>
              </w:rPr>
            </w:pPr>
            <w:r w:rsidRPr="0033290F">
              <w:rPr>
                <w:rFonts w:ascii="Cambria" w:hAnsi="Cambria" w:cs="Times New Roman"/>
              </w:rPr>
              <w:t>Celá prioritní osa bude realizována výhradně prostřednictvím komunitně vedeného místního rozvoje</w:t>
            </w:r>
          </w:p>
        </w:tc>
        <w:tc>
          <w:tcPr>
            <w:tcW w:w="313" w:type="pct"/>
            <w:shd w:val="clear" w:color="auto" w:fill="auto"/>
            <w:vAlign w:val="center"/>
          </w:tcPr>
          <w:p w:rsidR="008159F0" w:rsidRPr="00E63B56" w:rsidRDefault="000E07F9" w:rsidP="00187030">
            <w:pPr>
              <w:pStyle w:val="Tabulka"/>
              <w:rPr>
                <w:rFonts w:asciiTheme="majorHAnsi" w:hAnsiTheme="majorHAnsi"/>
              </w:rPr>
            </w:pPr>
            <w:r w:rsidRPr="00144382">
              <w:rPr>
                <w:rFonts w:asciiTheme="majorHAnsi" w:hAnsiTheme="majorHAnsi"/>
              </w:rPr>
              <w:fldChar w:fldCharType="begin">
                <w:ffData>
                  <w:name w:val="Check1"/>
                  <w:enabled/>
                  <w:calcOnExit w:val="0"/>
                  <w:checkBox>
                    <w:sizeAuto/>
                    <w:default w:val="0"/>
                  </w:checkBox>
                </w:ffData>
              </w:fldChar>
            </w:r>
            <w:r w:rsidR="008159F0" w:rsidRPr="00144382">
              <w:rPr>
                <w:rFonts w:asciiTheme="majorHAnsi" w:hAnsiTheme="majorHAnsi"/>
              </w:rPr>
              <w:instrText xml:space="preserve"> FORMCHECKBOX </w:instrText>
            </w:r>
            <w:r w:rsidR="00332B77">
              <w:rPr>
                <w:rFonts w:asciiTheme="majorHAnsi" w:hAnsiTheme="majorHAnsi"/>
              </w:rPr>
            </w:r>
            <w:r w:rsidR="00332B77">
              <w:rPr>
                <w:rFonts w:asciiTheme="majorHAnsi" w:hAnsiTheme="majorHAnsi"/>
              </w:rPr>
              <w:fldChar w:fldCharType="separate"/>
            </w:r>
            <w:r w:rsidRPr="00144382">
              <w:rPr>
                <w:rFonts w:asciiTheme="majorHAnsi" w:hAnsiTheme="majorHAnsi"/>
              </w:rPr>
              <w:fldChar w:fldCharType="end"/>
            </w:r>
          </w:p>
        </w:tc>
      </w:tr>
    </w:tbl>
    <w:p w:rsidR="00674BC9" w:rsidRDefault="00B16BE2">
      <w:pPr>
        <w:pStyle w:val="Nadpis3"/>
      </w:pPr>
      <w:bookmarkStart w:id="2393" w:name="_Toc392151010"/>
      <w:r>
        <w:t>Odůvodnění pro vytvoření prioritní osy, která zahrnuje více než jednu kategorii regionů nebo více než jeden tematický cíl či fond</w:t>
      </w:r>
      <w:bookmarkEnd w:id="2393"/>
    </w:p>
    <w:p w:rsidR="00850048" w:rsidRPr="003F1EB0" w:rsidRDefault="00850048" w:rsidP="00850048">
      <w:r w:rsidRPr="003F1EB0">
        <w:t xml:space="preserve">V souladu s čl. 96 odst. 1 písm. c) </w:t>
      </w:r>
      <w:r w:rsidR="00D96EB7">
        <w:t xml:space="preserve">obecného nařízení </w:t>
      </w:r>
      <w:r>
        <w:t xml:space="preserve">zahrnuje </w:t>
      </w:r>
      <w:r w:rsidRPr="003F1EB0">
        <w:t>tato prioritní os</w:t>
      </w:r>
      <w:r>
        <w:t xml:space="preserve">a propojení Fondu soudržnosti a Evropského fondu pro regionální rozvoj a investiční priority z různých </w:t>
      </w:r>
      <w:r w:rsidRPr="003F1EB0">
        <w:t xml:space="preserve">tematických cílů. </w:t>
      </w:r>
      <w:r>
        <w:t>Jedná se o</w:t>
      </w:r>
      <w:r w:rsidRPr="003F1EB0">
        <w:t xml:space="preserve"> tematický cíl </w:t>
      </w:r>
      <w:r>
        <w:t>6 vážící se k ochraně životního prostředí a podpoře účinného využívání zdrojů a tematický cíl 5 podporující přizpůsobení se změně klimatu, předcházení rizikům a řízení rizik</w:t>
      </w:r>
      <w:r w:rsidRPr="003F1EB0">
        <w:t>.</w:t>
      </w:r>
    </w:p>
    <w:p w:rsidR="00850048" w:rsidRDefault="00850048" w:rsidP="00850048">
      <w:pPr>
        <w:pStyle w:val="Standardntext"/>
        <w:spacing w:line="276" w:lineRule="auto"/>
      </w:pPr>
      <w:r>
        <w:rPr>
          <w:rFonts w:ascii="Cambria" w:hAnsi="Cambria"/>
          <w:sz w:val="22"/>
        </w:rPr>
        <w:t>K</w:t>
      </w:r>
      <w:r w:rsidRPr="003F1EB0">
        <w:rPr>
          <w:rFonts w:ascii="Cambria" w:hAnsi="Cambria"/>
          <w:sz w:val="22"/>
        </w:rPr>
        <w:t xml:space="preserve">e kombinaci </w:t>
      </w:r>
      <w:r>
        <w:rPr>
          <w:rFonts w:ascii="Cambria" w:hAnsi="Cambria"/>
          <w:sz w:val="22"/>
        </w:rPr>
        <w:t xml:space="preserve">obou fondů a </w:t>
      </w:r>
      <w:r w:rsidRPr="003F1EB0">
        <w:rPr>
          <w:rFonts w:ascii="Cambria" w:hAnsi="Cambria"/>
          <w:sz w:val="22"/>
        </w:rPr>
        <w:t xml:space="preserve">tematických cílů </w:t>
      </w:r>
      <w:r>
        <w:rPr>
          <w:rFonts w:ascii="Cambria" w:hAnsi="Cambria"/>
          <w:sz w:val="22"/>
        </w:rPr>
        <w:t>5 a 6</w:t>
      </w:r>
      <w:r w:rsidRPr="003F1EB0">
        <w:rPr>
          <w:rFonts w:ascii="Cambria" w:hAnsi="Cambria"/>
          <w:sz w:val="22"/>
        </w:rPr>
        <w:t xml:space="preserve"> </w:t>
      </w:r>
      <w:r>
        <w:rPr>
          <w:rFonts w:ascii="Cambria" w:hAnsi="Cambria"/>
          <w:sz w:val="22"/>
        </w:rPr>
        <w:t xml:space="preserve">bylo přistoupeno </w:t>
      </w:r>
      <w:r w:rsidRPr="003F1EB0">
        <w:rPr>
          <w:rFonts w:ascii="Cambria" w:hAnsi="Cambria"/>
          <w:sz w:val="22"/>
        </w:rPr>
        <w:t>z důvodu potřeb</w:t>
      </w:r>
      <w:r>
        <w:rPr>
          <w:rFonts w:ascii="Cambria" w:hAnsi="Cambria"/>
          <w:sz w:val="22"/>
        </w:rPr>
        <w:t xml:space="preserve">y komplexních intervencí v rámci celé problematiky odpadů, ekologických zátěží a environmentálních rizik. </w:t>
      </w:r>
      <w:r w:rsidRPr="003F1EB0">
        <w:rPr>
          <w:rFonts w:ascii="Cambria" w:hAnsi="Cambria"/>
          <w:sz w:val="22"/>
        </w:rPr>
        <w:t>Tento komplexní přístup přinese kvalitativně vyšší přínosy pro</w:t>
      </w:r>
      <w:r w:rsidR="00D96EB7">
        <w:rPr>
          <w:rFonts w:ascii="Cambria" w:hAnsi="Cambria"/>
          <w:sz w:val="22"/>
        </w:rPr>
        <w:t> </w:t>
      </w:r>
      <w:r>
        <w:rPr>
          <w:rFonts w:ascii="Cambria" w:hAnsi="Cambria"/>
          <w:sz w:val="22"/>
        </w:rPr>
        <w:t xml:space="preserve">celkové řešení intervencí v této souhrnné prioritní ose, </w:t>
      </w:r>
      <w:r w:rsidRPr="003F1EB0">
        <w:rPr>
          <w:rFonts w:ascii="Cambria" w:hAnsi="Cambria"/>
          <w:sz w:val="22"/>
        </w:rPr>
        <w:t>než kdyby byly intervence realizovány</w:t>
      </w:r>
      <w:r>
        <w:rPr>
          <w:rFonts w:ascii="Cambria" w:hAnsi="Cambria"/>
          <w:sz w:val="22"/>
        </w:rPr>
        <w:t xml:space="preserve"> separátně </w:t>
      </w:r>
      <w:r w:rsidRPr="003F1EB0">
        <w:rPr>
          <w:rFonts w:ascii="Cambria" w:hAnsi="Cambria"/>
          <w:sz w:val="22"/>
        </w:rPr>
        <w:t xml:space="preserve">z různých </w:t>
      </w:r>
      <w:r>
        <w:rPr>
          <w:rFonts w:ascii="Cambria" w:hAnsi="Cambria"/>
          <w:sz w:val="22"/>
        </w:rPr>
        <w:t>prioritních os</w:t>
      </w:r>
      <w:r w:rsidRPr="0068667C">
        <w:t>.</w:t>
      </w:r>
    </w:p>
    <w:p w:rsidR="001902C7" w:rsidRDefault="001902C7" w:rsidP="001902C7">
      <w:r>
        <w:t>D</w:t>
      </w:r>
      <w:r w:rsidRPr="004314F4">
        <w:t xml:space="preserve">alší </w:t>
      </w:r>
      <w:r>
        <w:t>směřování</w:t>
      </w:r>
      <w:r w:rsidRPr="004314F4">
        <w:t xml:space="preserve"> odpadového hospodářství </w:t>
      </w:r>
      <w:r>
        <w:t xml:space="preserve">ČR </w:t>
      </w:r>
      <w:r w:rsidRPr="004314F4">
        <w:t>j</w:t>
      </w:r>
      <w:r>
        <w:t>e</w:t>
      </w:r>
      <w:r w:rsidRPr="004314F4">
        <w:t xml:space="preserve"> rámcov</w:t>
      </w:r>
      <w:r>
        <w:t xml:space="preserve">ě vymezeno evropskými předpisy, strategiemi EU v oblasti odpadů, národními předpisy, Státní </w:t>
      </w:r>
      <w:r w:rsidRPr="004314F4">
        <w:t>politi</w:t>
      </w:r>
      <w:r>
        <w:t>kou</w:t>
      </w:r>
      <w:r w:rsidRPr="004314F4">
        <w:t xml:space="preserve"> životního prostředí Č</w:t>
      </w:r>
      <w:r>
        <w:t>eské republiky (2014-2020) a národními strategickými dokumenty (Plán odpadového hospodářství, Program předcházení vzniku odpadu, Politika druhotných surovin)</w:t>
      </w:r>
      <w:r w:rsidRPr="004314F4">
        <w:t>.</w:t>
      </w:r>
      <w:r>
        <w:t xml:space="preserve"> </w:t>
      </w:r>
      <w:r w:rsidRPr="004314F4">
        <w:t xml:space="preserve">Priority podpory projektů v odpadovém hospodářství </w:t>
      </w:r>
      <w:r>
        <w:t xml:space="preserve">budou určovány </w:t>
      </w:r>
      <w:r w:rsidRPr="004314F4">
        <w:t xml:space="preserve">zejména </w:t>
      </w:r>
      <w:r>
        <w:t xml:space="preserve">s ohledem na naplňování požadavků a cílů definovaných </w:t>
      </w:r>
      <w:r w:rsidRPr="004314F4">
        <w:t>Plán</w:t>
      </w:r>
      <w:r>
        <w:t>em</w:t>
      </w:r>
      <w:r w:rsidRPr="004314F4">
        <w:t xml:space="preserve"> odpadového hospodářství České republiky </w:t>
      </w:r>
      <w:r>
        <w:t xml:space="preserve">2015-2024  </w:t>
      </w:r>
      <w:r w:rsidRPr="004314F4">
        <w:t xml:space="preserve">a </w:t>
      </w:r>
      <w:r>
        <w:t>nově také</w:t>
      </w:r>
      <w:r w:rsidRPr="004314F4">
        <w:t xml:space="preserve"> Program</w:t>
      </w:r>
      <w:r>
        <w:t>em</w:t>
      </w:r>
      <w:r w:rsidRPr="004314F4">
        <w:t xml:space="preserve"> předcházení vzniku odpadů </w:t>
      </w:r>
      <w:r>
        <w:t>České republiky</w:t>
      </w:r>
      <w:r w:rsidRPr="004314F4">
        <w:t>.</w:t>
      </w:r>
    </w:p>
    <w:p w:rsidR="001902C7" w:rsidRDefault="001902C7" w:rsidP="001902C7">
      <w:pPr>
        <w:autoSpaceDE w:val="0"/>
        <w:autoSpaceDN w:val="0"/>
        <w:adjustRightInd w:val="0"/>
        <w:rPr>
          <w:rFonts w:cs="Calibri"/>
          <w:color w:val="000000"/>
          <w:szCs w:val="24"/>
        </w:rPr>
      </w:pPr>
      <w:r>
        <w:rPr>
          <w:rFonts w:cs="Times New Roman"/>
        </w:rPr>
        <w:t>Česká republika bere při tvorbě nových legislativních a strategických dokumentů velmi vážně doporučení Evropské komise, která jsou uvedena v tzv. „</w:t>
      </w:r>
      <w:proofErr w:type="spellStart"/>
      <w:r>
        <w:rPr>
          <w:rFonts w:cs="Times New Roman"/>
        </w:rPr>
        <w:t>Roadmap</w:t>
      </w:r>
      <w:proofErr w:type="spellEnd"/>
      <w:r>
        <w:rPr>
          <w:rFonts w:cs="Times New Roman"/>
        </w:rPr>
        <w:t xml:space="preserve"> </w:t>
      </w:r>
      <w:proofErr w:type="spellStart"/>
      <w:r>
        <w:rPr>
          <w:rFonts w:cs="Times New Roman"/>
        </w:rPr>
        <w:t>for</w:t>
      </w:r>
      <w:proofErr w:type="spellEnd"/>
      <w:r>
        <w:rPr>
          <w:rFonts w:cs="Times New Roman"/>
        </w:rPr>
        <w:t xml:space="preserve"> Czech Republic“. Doporučení se zaměřují zejména na odklon odpadů ze skládek, poplatky za skládkování, podpora recyklace a třídění, zpoplatnění spalování odpadů, zavedení strategie pro biologicky rozložitelné odpady, interinstitucionální spolupráce. Doporučení mají vazbu k identifikovaným problémům odpadového hospodářství ČR. </w:t>
      </w:r>
      <w:r w:rsidRPr="00171A9F">
        <w:rPr>
          <w:rFonts w:cs="Calibri"/>
          <w:color w:val="000000"/>
          <w:szCs w:val="24"/>
        </w:rPr>
        <w:t>Ministerstvo životního prostředí (dále jen MŽP) hodlá podporovat nakládání s odpady dle vyšších stupňů hierarchie</w:t>
      </w:r>
      <w:r w:rsidR="00D96EB7">
        <w:rPr>
          <w:rFonts w:cs="Calibri"/>
          <w:color w:val="000000"/>
          <w:szCs w:val="24"/>
        </w:rPr>
        <w:t>, tedy podpořit technologie pro </w:t>
      </w:r>
      <w:r w:rsidRPr="00171A9F">
        <w:rPr>
          <w:rFonts w:cs="Calibri"/>
          <w:color w:val="000000"/>
          <w:szCs w:val="24"/>
        </w:rPr>
        <w:t>opětovné použití, recyklaci a využití odpadů, včetně jeho energetického využívání.</w:t>
      </w:r>
    </w:p>
    <w:p w:rsidR="001902C7" w:rsidRDefault="001902C7" w:rsidP="001902C7">
      <w:pPr>
        <w:autoSpaceDE w:val="0"/>
        <w:autoSpaceDN w:val="0"/>
        <w:adjustRightInd w:val="0"/>
        <w:rPr>
          <w:rFonts w:asciiTheme="majorHAnsi" w:hAnsiTheme="majorHAnsi" w:cs="Cambria"/>
          <w:color w:val="000000"/>
        </w:rPr>
      </w:pPr>
      <w:r>
        <w:rPr>
          <w:rFonts w:cs="Times New Roman"/>
        </w:rPr>
        <w:t>Nový Plán odpadového hospodářství obsahuje opatření k dosažení těchto cílů. Národní Plán odpadového hospodářství je závazný pro tvorbu plánů odpadového hospodářství na regionální (krajské) úrovni. Tím je zajištěno přenesení cílů z národní úrovně na úroveň regionální.</w:t>
      </w:r>
    </w:p>
    <w:p w:rsidR="00674BC9" w:rsidRDefault="001902C7">
      <w:r w:rsidRPr="00AB27B5">
        <w:lastRenderedPageBreak/>
        <w:t>Podporovaná opatření budou respektovat závěry současného proce</w:t>
      </w:r>
      <w:r>
        <w:t xml:space="preserve">su revize politiky legislativy </w:t>
      </w:r>
      <w:r w:rsidRPr="00AB27B5">
        <w:t xml:space="preserve">oblasti nakládání s odpady, která by měla být dokončena v roce 2014, </w:t>
      </w:r>
      <w:r>
        <w:t xml:space="preserve">a </w:t>
      </w:r>
      <w:r w:rsidRPr="00AB27B5">
        <w:t xml:space="preserve">která podpoří naplňování „Plánu pro Evropu účinněji využívající zdroje“ </w:t>
      </w:r>
      <w:r w:rsidRPr="001F2DB2">
        <w:t>(</w:t>
      </w:r>
      <w:proofErr w:type="gramStart"/>
      <w:r w:rsidRPr="00C2220B">
        <w:rPr>
          <w:rFonts w:cs="Times New Roman"/>
          <w:sz w:val="24"/>
          <w:szCs w:val="24"/>
        </w:rPr>
        <w:t>COM(2011</w:t>
      </w:r>
      <w:proofErr w:type="gramEnd"/>
      <w:r w:rsidRPr="00C2220B">
        <w:rPr>
          <w:rFonts w:cs="Times New Roman"/>
          <w:sz w:val="24"/>
          <w:szCs w:val="24"/>
        </w:rPr>
        <w:t xml:space="preserve">) 571 </w:t>
      </w:r>
      <w:proofErr w:type="spellStart"/>
      <w:r w:rsidRPr="00C2220B">
        <w:rPr>
          <w:rFonts w:cs="Times New Roman"/>
          <w:sz w:val="24"/>
          <w:szCs w:val="24"/>
        </w:rPr>
        <w:t>final</w:t>
      </w:r>
      <w:proofErr w:type="spellEnd"/>
      <w:r w:rsidRPr="001F2DB2">
        <w:t>)</w:t>
      </w:r>
      <w:r>
        <w:t xml:space="preserve"> a 7. Environmentálního akčního plánu (Rozhodnutí Evropského parlamentu a Rady č.  1386/2013/EU </w:t>
      </w:r>
      <w:r w:rsidRPr="00920D92">
        <w:rPr>
          <w:rStyle w:val="Siln"/>
          <w:b w:val="0"/>
        </w:rPr>
        <w:t>o všeobecném akčním programu Unie pro životní prostředí na období do roku 2020 „Spokojený život v mezích naší planety</w:t>
      </w:r>
      <w:r w:rsidRPr="000C79E0">
        <w:rPr>
          <w:rStyle w:val="Siln"/>
        </w:rPr>
        <w:t>“</w:t>
      </w:r>
      <w:r w:rsidRPr="008E6B35">
        <w:t xml:space="preserve">). </w:t>
      </w:r>
    </w:p>
    <w:p w:rsidR="00674BC9" w:rsidRDefault="001902C7">
      <w:r w:rsidRPr="004314F4">
        <w:t xml:space="preserve">POH ČR i česká legislativa odpadového hospodářství jsou založeny </w:t>
      </w:r>
      <w:r>
        <w:t xml:space="preserve">dle evropského vzoru </w:t>
      </w:r>
      <w:r w:rsidR="00D96EB7">
        <w:t>na </w:t>
      </w:r>
      <w:r w:rsidRPr="004314F4">
        <w:t xml:space="preserve">principu </w:t>
      </w:r>
      <w:r>
        <w:t xml:space="preserve">naplňování </w:t>
      </w:r>
      <w:r w:rsidRPr="004314F4">
        <w:t>hierarchie nakládání s</w:t>
      </w:r>
      <w:r>
        <w:t> </w:t>
      </w:r>
      <w:r w:rsidRPr="004314F4">
        <w:t>odpady.</w:t>
      </w:r>
    </w:p>
    <w:p w:rsidR="00674BC9" w:rsidRDefault="00324BC4">
      <w:pPr>
        <w:pStyle w:val="Nadpis3"/>
      </w:pPr>
      <w:bookmarkStart w:id="2394" w:name="_Toc391014796"/>
      <w:bookmarkStart w:id="2395" w:name="_Toc391015947"/>
      <w:bookmarkStart w:id="2396" w:name="_Toc391016906"/>
      <w:bookmarkStart w:id="2397" w:name="_Toc391018019"/>
      <w:bookmarkStart w:id="2398" w:name="_Toc391019131"/>
      <w:bookmarkStart w:id="2399" w:name="_Toc392151011"/>
      <w:bookmarkEnd w:id="2394"/>
      <w:bookmarkEnd w:id="2395"/>
      <w:bookmarkEnd w:id="2396"/>
      <w:bookmarkEnd w:id="2397"/>
      <w:bookmarkEnd w:id="2398"/>
      <w:r>
        <w:t>Fond, kategorie regionů a základ pro výpočet podpory Unie</w:t>
      </w:r>
      <w:bookmarkEnd w:id="2399"/>
      <w:r>
        <w:t xml:space="preserve"> </w:t>
      </w:r>
    </w:p>
    <w:tbl>
      <w:tblPr>
        <w:tblStyle w:val="Mkatabulky"/>
        <w:tblW w:w="0" w:type="auto"/>
        <w:tblLook w:val="04A0" w:firstRow="1" w:lastRow="0" w:firstColumn="1" w:lastColumn="0" w:noHBand="0" w:noVBand="1"/>
      </w:tblPr>
      <w:tblGrid>
        <w:gridCol w:w="4605"/>
        <w:gridCol w:w="4605"/>
      </w:tblGrid>
      <w:tr w:rsidR="00324BC4" w:rsidTr="00732AA1">
        <w:tc>
          <w:tcPr>
            <w:tcW w:w="4605" w:type="dxa"/>
            <w:shd w:val="clear" w:color="auto" w:fill="A6A6A6" w:themeFill="background1" w:themeFillShade="A6"/>
          </w:tcPr>
          <w:p w:rsidR="00324BC4" w:rsidRPr="000225A5" w:rsidRDefault="00324BC4" w:rsidP="008139EB">
            <w:pPr>
              <w:rPr>
                <w:b/>
              </w:rPr>
            </w:pPr>
            <w:r w:rsidRPr="003971AB">
              <w:rPr>
                <w:b/>
              </w:rPr>
              <w:t>Fond</w:t>
            </w:r>
          </w:p>
        </w:tc>
        <w:tc>
          <w:tcPr>
            <w:tcW w:w="4605" w:type="dxa"/>
          </w:tcPr>
          <w:p w:rsidR="00324BC4" w:rsidRDefault="00324BC4" w:rsidP="008139EB">
            <w:r>
              <w:t>Fond soudržnosti, E</w:t>
            </w:r>
            <w:r w:rsidR="00610C77">
              <w:t>vropský fond pro regionální rozvoj</w:t>
            </w:r>
          </w:p>
        </w:tc>
      </w:tr>
      <w:tr w:rsidR="00324BC4" w:rsidTr="00732AA1">
        <w:tc>
          <w:tcPr>
            <w:tcW w:w="4605" w:type="dxa"/>
            <w:shd w:val="clear" w:color="auto" w:fill="A6A6A6" w:themeFill="background1" w:themeFillShade="A6"/>
          </w:tcPr>
          <w:p w:rsidR="00324BC4" w:rsidRPr="000225A5" w:rsidRDefault="00324BC4" w:rsidP="008139EB">
            <w:pPr>
              <w:rPr>
                <w:b/>
              </w:rPr>
            </w:pPr>
            <w:r w:rsidRPr="003971AB">
              <w:rPr>
                <w:b/>
              </w:rPr>
              <w:t>Kategorie regionů</w:t>
            </w:r>
          </w:p>
        </w:tc>
        <w:tc>
          <w:tcPr>
            <w:tcW w:w="4605" w:type="dxa"/>
          </w:tcPr>
          <w:p w:rsidR="00324BC4" w:rsidRDefault="00324BC4" w:rsidP="00324BC4">
            <w:r>
              <w:t>Méně rozvinuté regiony u specifického cíle 3.5, ostatní specifické cíle – není relevantní</w:t>
            </w:r>
          </w:p>
          <w:p w:rsidR="00324BC4" w:rsidRDefault="00324BC4" w:rsidP="008139EB"/>
        </w:tc>
      </w:tr>
      <w:tr w:rsidR="00324BC4" w:rsidTr="00732AA1">
        <w:tc>
          <w:tcPr>
            <w:tcW w:w="4605" w:type="dxa"/>
            <w:shd w:val="clear" w:color="auto" w:fill="A6A6A6" w:themeFill="background1" w:themeFillShade="A6"/>
          </w:tcPr>
          <w:p w:rsidR="00324BC4" w:rsidRPr="000225A5" w:rsidRDefault="00324BC4" w:rsidP="008139EB">
            <w:pPr>
              <w:rPr>
                <w:b/>
              </w:rPr>
            </w:pPr>
            <w:r w:rsidRPr="003971AB">
              <w:rPr>
                <w:b/>
              </w:rPr>
              <w:t>Základ pro výpočet (celkové způsobilé výdaje nebo způsobilé veřejné výdaje)</w:t>
            </w:r>
          </w:p>
        </w:tc>
        <w:tc>
          <w:tcPr>
            <w:tcW w:w="4605" w:type="dxa"/>
          </w:tcPr>
          <w:p w:rsidR="00324BC4" w:rsidRDefault="00E37D9C" w:rsidP="008139EB">
            <w:r>
              <w:t>Celkové způsobilé výdaje</w:t>
            </w:r>
          </w:p>
        </w:tc>
      </w:tr>
    </w:tbl>
    <w:p w:rsidR="00EA0B23" w:rsidRPr="004314F4" w:rsidRDefault="00EA0B23" w:rsidP="00B66FDE"/>
    <w:p w:rsidR="0031631F" w:rsidRDefault="001B0121" w:rsidP="00165854">
      <w:pPr>
        <w:pStyle w:val="Nadpis3"/>
      </w:pPr>
      <w:bookmarkStart w:id="2400" w:name="_Toc392151012"/>
      <w:r w:rsidRPr="00303399">
        <w:rPr>
          <w:szCs w:val="28"/>
        </w:rPr>
        <w:t>INVESTIČNÍ PRIORITA 1 prioritní osy 3:</w:t>
      </w:r>
      <w:r w:rsidR="00303399" w:rsidRPr="00303399">
        <w:rPr>
          <w:szCs w:val="28"/>
        </w:rPr>
        <w:t xml:space="preserve"> </w:t>
      </w:r>
      <w:r w:rsidR="00F94A2E">
        <w:rPr>
          <w:szCs w:val="28"/>
        </w:rPr>
        <w:t xml:space="preserve">Zachování a ochrana životního prostředí a podporování účinného využívání zdrojů </w:t>
      </w:r>
      <w:r w:rsidR="00F94A2E">
        <w:t>i</w:t>
      </w:r>
      <w:r w:rsidR="009B492B" w:rsidRPr="005A1A37">
        <w:t>nvestice</w:t>
      </w:r>
      <w:r w:rsidR="00F94A2E">
        <w:t>mi</w:t>
      </w:r>
      <w:r w:rsidR="009B492B" w:rsidRPr="005A1A37">
        <w:t xml:space="preserve"> </w:t>
      </w:r>
      <w:r w:rsidR="0042000C">
        <w:t>do </w:t>
      </w:r>
      <w:r w:rsidR="009B492B" w:rsidRPr="005A1A37">
        <w:t xml:space="preserve">odpadového hospodářství s cílem plnit požadavky </w:t>
      </w:r>
      <w:proofErr w:type="spellStart"/>
      <w:r w:rsidR="0033290F" w:rsidRPr="0033290F">
        <w:rPr>
          <w:i/>
        </w:rPr>
        <w:t>acquis</w:t>
      </w:r>
      <w:proofErr w:type="spellEnd"/>
      <w:r w:rsidR="009B492B" w:rsidRPr="005A1A37">
        <w:t xml:space="preserve"> Unie v oblasti životního prostředí a řešením potřeb investic, které podle zjištění členských států přesahují rámec těchto požadavků</w:t>
      </w:r>
      <w:r w:rsidR="0096405F">
        <w:t xml:space="preserve"> (Dle Nařízení Evropského p</w:t>
      </w:r>
      <w:r w:rsidR="002B13B3">
        <w:t>arlamentu a Rady</w:t>
      </w:r>
      <w:r w:rsidR="0096405F">
        <w:t xml:space="preserve"> (EU) č. 1301/2013</w:t>
      </w:r>
      <w:r w:rsidR="002B13B3">
        <w:t xml:space="preserve"> čl. 5 odst. 6 písm. a))</w:t>
      </w:r>
      <w:bookmarkEnd w:id="2400"/>
    </w:p>
    <w:p w:rsidR="001B0121" w:rsidRPr="004314F4" w:rsidRDefault="001B0121" w:rsidP="009F4BA6">
      <w:pPr>
        <w:pStyle w:val="Nadpis4"/>
      </w:pPr>
      <w:bookmarkStart w:id="2401" w:name="_Toc389822435"/>
      <w:bookmarkStart w:id="2402" w:name="_Toc390414246"/>
      <w:bookmarkStart w:id="2403" w:name="_Toc390414493"/>
      <w:bookmarkStart w:id="2404" w:name="_Toc390414737"/>
      <w:bookmarkStart w:id="2405" w:name="_Toc391014801"/>
      <w:bookmarkStart w:id="2406" w:name="_Toc391015952"/>
      <w:bookmarkStart w:id="2407" w:name="_Toc391016911"/>
      <w:bookmarkStart w:id="2408" w:name="_Toc391018024"/>
      <w:bookmarkStart w:id="2409" w:name="_Toc391019136"/>
      <w:bookmarkStart w:id="2410" w:name="_Toc389822436"/>
      <w:bookmarkStart w:id="2411" w:name="_Toc390414247"/>
      <w:bookmarkStart w:id="2412" w:name="_Toc390414494"/>
      <w:bookmarkStart w:id="2413" w:name="_Toc390414738"/>
      <w:bookmarkStart w:id="2414" w:name="_Toc391014802"/>
      <w:bookmarkStart w:id="2415" w:name="_Toc391015953"/>
      <w:bookmarkStart w:id="2416" w:name="_Toc391016912"/>
      <w:bookmarkStart w:id="2417" w:name="_Toc391018025"/>
      <w:bookmarkStart w:id="2418" w:name="_Toc391019137"/>
      <w:bookmarkStart w:id="2419" w:name="_Toc392151013"/>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r w:rsidRPr="004314F4">
        <w:t>Specifické cíle odpovída</w:t>
      </w:r>
      <w:r w:rsidR="0042000C">
        <w:t>jící dané investiční prioritě a </w:t>
      </w:r>
      <w:r w:rsidR="00B16BE2">
        <w:t>očekávané</w:t>
      </w:r>
      <w:r w:rsidR="00B16BE2" w:rsidRPr="004314F4">
        <w:t xml:space="preserve"> </w:t>
      </w:r>
      <w:r w:rsidRPr="004314F4">
        <w:t>výsledky</w:t>
      </w:r>
      <w:bookmarkEnd w:id="2419"/>
    </w:p>
    <w:p w:rsidR="001B0121" w:rsidRDefault="001B0121" w:rsidP="00165854">
      <w:pPr>
        <w:pStyle w:val="Nadpis6"/>
        <w:rPr>
          <w:rFonts w:eastAsia="Times New Roman"/>
        </w:rPr>
      </w:pPr>
      <w:r w:rsidRPr="001C635F">
        <w:t xml:space="preserve">Specifický cíl 1: </w:t>
      </w:r>
      <w:r w:rsidR="00EB30A3" w:rsidRPr="001C635F">
        <w:rPr>
          <w:rFonts w:eastAsia="Times New Roman"/>
        </w:rPr>
        <w:t>Předcházet vzniku odpadů</w:t>
      </w:r>
      <w:r w:rsidR="00D7183C" w:rsidRPr="00D7183C">
        <w:rPr>
          <w:rFonts w:eastAsia="Times New Roman"/>
        </w:rPr>
        <w:t xml:space="preserve"> </w:t>
      </w:r>
      <w:r w:rsidR="00D7183C">
        <w:rPr>
          <w:rFonts w:eastAsia="Times New Roman"/>
        </w:rPr>
        <w:t>a snížit vliv nebezpečných vlastností odpadů</w:t>
      </w:r>
    </w:p>
    <w:p w:rsidR="0044486F" w:rsidRPr="004314F4" w:rsidRDefault="00EA0B23" w:rsidP="00B66FDE">
      <w:r>
        <w:t>Každý</w:t>
      </w:r>
      <w:r w:rsidR="0044486F" w:rsidRPr="004314F4">
        <w:t xml:space="preserve"> má při své činnosti nebo v rozsahu své působnosti povinnost předcházet vzniku odpadů, omezovat jejich množství a nebezpečné vlastnosti. Odpady, jejichž vzniku nelze zabránit, by</w:t>
      </w:r>
      <w:r w:rsidR="0015404C">
        <w:t> </w:t>
      </w:r>
      <w:r w:rsidR="0044486F" w:rsidRPr="004314F4">
        <w:t>měly být využity, případně odstraněny způsobem, který neohrožuje lidské zdraví a životní prostředí a který je v souladu s příslušnými právními předpisy na ochranu životního prostředí</w:t>
      </w:r>
      <w:r w:rsidR="003F72F7">
        <w:t xml:space="preserve"> a</w:t>
      </w:r>
      <w:r w:rsidR="0015404C">
        <w:t> </w:t>
      </w:r>
      <w:r w:rsidR="003F72F7">
        <w:t>zdraví člověka</w:t>
      </w:r>
      <w:r w:rsidR="0044486F" w:rsidRPr="004314F4">
        <w:t>. Předcházení vzni</w:t>
      </w:r>
      <w:r w:rsidR="0042000C">
        <w:t>ku odpadu je způsob nakládání s </w:t>
      </w:r>
      <w:r w:rsidR="0044486F" w:rsidRPr="004314F4">
        <w:t>odpadem, který se slučuje s</w:t>
      </w:r>
      <w:r w:rsidR="0015404C">
        <w:t> </w:t>
      </w:r>
      <w:r w:rsidR="0044486F" w:rsidRPr="004314F4">
        <w:t>koncepcí udržitelného rozvoje a respektuje jeho principy.</w:t>
      </w:r>
    </w:p>
    <w:p w:rsidR="00EA0B23" w:rsidRDefault="0044486F" w:rsidP="00EA0B23">
      <w:r w:rsidRPr="004314F4">
        <w:t>V souvislosti s</w:t>
      </w:r>
      <w:r w:rsidR="00EA0B23">
        <w:t> </w:t>
      </w:r>
      <w:r w:rsidRPr="004314F4">
        <w:t>prevencí</w:t>
      </w:r>
      <w:r w:rsidR="00EA0B23">
        <w:t xml:space="preserve"> vzniku odpadů</w:t>
      </w:r>
      <w:r w:rsidRPr="004314F4">
        <w:t xml:space="preserve"> je třeba klást důraz na </w:t>
      </w:r>
      <w:r w:rsidR="00EA0B23">
        <w:t>podporu</w:t>
      </w:r>
      <w:r w:rsidR="00EA0B23" w:rsidRPr="004314F4">
        <w:t xml:space="preserve"> </w:t>
      </w:r>
      <w:r w:rsidRPr="004314F4">
        <w:t>čistší produkce,</w:t>
      </w:r>
      <w:r w:rsidR="00EA0B23">
        <w:t xml:space="preserve"> aplikaci technologických změn snižujících produkci odpadů (zahrnujících nejlepší dostupné technologie) a spotřebu primárních surovin. </w:t>
      </w:r>
      <w:r w:rsidR="00EA0B23" w:rsidRPr="004314F4">
        <w:t xml:space="preserve">Významným krokem je taktéž </w:t>
      </w:r>
      <w:r w:rsidR="00EA0B23">
        <w:t xml:space="preserve">umožnění </w:t>
      </w:r>
      <w:r w:rsidR="00EA0B23" w:rsidRPr="004314F4">
        <w:t>opětovné</w:t>
      </w:r>
      <w:r w:rsidR="00EA0B23">
        <w:t>ho</w:t>
      </w:r>
      <w:r w:rsidR="00EA0B23" w:rsidRPr="004314F4">
        <w:t xml:space="preserve"> použití </w:t>
      </w:r>
      <w:r w:rsidR="00EA0B23">
        <w:t xml:space="preserve">výrobků (v souladu s hierarchií nakládání s odpady). Do těchto opatření patří například </w:t>
      </w:r>
      <w:r w:rsidR="00EA0B23" w:rsidRPr="004314F4">
        <w:t xml:space="preserve">budování center </w:t>
      </w:r>
      <w:r w:rsidR="00EA0B23">
        <w:t>pro předcházení vzniku odpadů, tedy výrobků na </w:t>
      </w:r>
      <w:r w:rsidR="00EA0B23" w:rsidRPr="004314F4">
        <w:t>konci životnosti (</w:t>
      </w:r>
      <w:r w:rsidR="00EA0B23">
        <w:t xml:space="preserve">jako jsou </w:t>
      </w:r>
      <w:r w:rsidR="00EA0B23" w:rsidRPr="004314F4">
        <w:lastRenderedPageBreak/>
        <w:t>nábytek, textil</w:t>
      </w:r>
      <w:r w:rsidR="00EA0B23">
        <w:t xml:space="preserve"> a další).</w:t>
      </w:r>
      <w:r w:rsidR="004D77D7">
        <w:t xml:space="preserve"> Alokace určená pro podporu prevence vzniku odpadů činí více než ¾ alokace určené pro SC 3.1.</w:t>
      </w:r>
    </w:p>
    <w:p w:rsidR="00D7183C" w:rsidRDefault="00D7183C" w:rsidP="00B66FDE">
      <w:r>
        <w:t>Kromě předcházení vzniku ostatních a nebezpečných odpadů je z hlediska prevence žádoucí rovněž snižování jejich nebezpečných vlastností. V současné době před</w:t>
      </w:r>
      <w:r w:rsidR="004E7555">
        <w:t>stavují nebezpečné odpady cca 5</w:t>
      </w:r>
      <w:r>
        <w:t xml:space="preserve"> % z celkové produkce všech odpadů vznikajících na území České republiky. </w:t>
      </w:r>
    </w:p>
    <w:p w:rsidR="0044486F" w:rsidRDefault="00D7183C" w:rsidP="00B66FDE">
      <w:r>
        <w:t>Do právní úpravy České republiky v oblasti odpadového hospodářství jsou tak postupně zaváděny limity (nové či zpřísněné) obsahu některých ne</w:t>
      </w:r>
      <w:r w:rsidR="0042000C">
        <w:t>bezpečných látek a materiálů ve </w:t>
      </w:r>
      <w:r>
        <w:t>výrobcích, které nutí výrobce nahrazovat nebezpečné materiály méně nebezpečnými (například při výrobě automobilů, elektrozařízení, baterií, obalů apod.).</w:t>
      </w:r>
      <w:r w:rsidR="00BE7616">
        <w:t xml:space="preserve"> </w:t>
      </w:r>
    </w:p>
    <w:p w:rsidR="008D402E" w:rsidRPr="004314F4" w:rsidRDefault="008D402E" w:rsidP="0015404C">
      <w:pPr>
        <w:spacing w:after="0" w:afterAutospacing="0"/>
        <w:rPr>
          <w:rFonts w:cs="Arial"/>
          <w:szCs w:val="24"/>
        </w:rPr>
      </w:pPr>
      <w:r w:rsidRPr="004314F4">
        <w:rPr>
          <w:rFonts w:cs="Arial"/>
          <w:szCs w:val="24"/>
        </w:rPr>
        <w:t>Mezi hlavní cíle patří:</w:t>
      </w:r>
    </w:p>
    <w:p w:rsidR="006F7D80" w:rsidRPr="009F4BA6" w:rsidRDefault="0015404C" w:rsidP="00495FC1">
      <w:pPr>
        <w:pStyle w:val="Odstavecseseznamem"/>
        <w:numPr>
          <w:ilvl w:val="0"/>
          <w:numId w:val="13"/>
        </w:numPr>
        <w:spacing w:after="0" w:afterAutospacing="0"/>
        <w:rPr>
          <w:rFonts w:cs="Arial"/>
          <w:szCs w:val="24"/>
        </w:rPr>
      </w:pPr>
      <w:r>
        <w:rPr>
          <w:rFonts w:cs="Arial"/>
          <w:szCs w:val="24"/>
        </w:rPr>
        <w:t>r</w:t>
      </w:r>
      <w:r w:rsidR="008D402E" w:rsidRPr="009F4BA6">
        <w:rPr>
          <w:rFonts w:cs="Arial"/>
          <w:szCs w:val="24"/>
        </w:rPr>
        <w:t>acionálnější využívání surovin, materiálů a energií</w:t>
      </w:r>
      <w:r>
        <w:rPr>
          <w:rFonts w:cs="Arial"/>
          <w:szCs w:val="24"/>
        </w:rPr>
        <w:t>,</w:t>
      </w:r>
    </w:p>
    <w:p w:rsidR="006F7D80" w:rsidRPr="009F4BA6" w:rsidRDefault="0015404C" w:rsidP="00495FC1">
      <w:pPr>
        <w:pStyle w:val="Odstavecseseznamem"/>
        <w:numPr>
          <w:ilvl w:val="0"/>
          <w:numId w:val="13"/>
        </w:numPr>
        <w:spacing w:after="0" w:afterAutospacing="0"/>
        <w:rPr>
          <w:rFonts w:cs="Arial"/>
          <w:szCs w:val="24"/>
        </w:rPr>
      </w:pPr>
      <w:r>
        <w:t>s</w:t>
      </w:r>
      <w:r w:rsidR="008D402E" w:rsidRPr="004314F4">
        <w:t>níž</w:t>
      </w:r>
      <w:r w:rsidR="0042000C">
        <w:t>it</w:t>
      </w:r>
      <w:r w:rsidR="008D402E" w:rsidRPr="004314F4">
        <w:t xml:space="preserve"> množství vytvořených odpadů a ztrát ve výrobě</w:t>
      </w:r>
      <w:r>
        <w:t>,</w:t>
      </w:r>
      <w:r w:rsidR="008D402E" w:rsidRPr="004314F4">
        <w:t xml:space="preserve"> </w:t>
      </w:r>
    </w:p>
    <w:p w:rsidR="006F7D80" w:rsidRPr="009F4BA6" w:rsidRDefault="0015404C" w:rsidP="00495FC1">
      <w:pPr>
        <w:pStyle w:val="Odstavecseseznamem"/>
        <w:numPr>
          <w:ilvl w:val="0"/>
          <w:numId w:val="13"/>
        </w:numPr>
        <w:rPr>
          <w:rFonts w:cs="Arial"/>
          <w:szCs w:val="24"/>
        </w:rPr>
      </w:pPr>
      <w:r>
        <w:rPr>
          <w:rFonts w:cs="Arial"/>
          <w:szCs w:val="24"/>
        </w:rPr>
        <w:t>p</w:t>
      </w:r>
      <w:r w:rsidR="008D402E" w:rsidRPr="009F4BA6">
        <w:rPr>
          <w:rFonts w:cs="Arial"/>
          <w:szCs w:val="24"/>
        </w:rPr>
        <w:t>říprava výrobků na konci životnosti pro opětovné použití</w:t>
      </w:r>
      <w:r>
        <w:rPr>
          <w:rFonts w:cs="Arial"/>
          <w:szCs w:val="24"/>
        </w:rPr>
        <w:t>,</w:t>
      </w:r>
    </w:p>
    <w:p w:rsidR="006F7D80" w:rsidRPr="009F4BA6" w:rsidRDefault="0015404C" w:rsidP="00495FC1">
      <w:pPr>
        <w:pStyle w:val="Odstavecseseznamem"/>
        <w:numPr>
          <w:ilvl w:val="0"/>
          <w:numId w:val="13"/>
        </w:numPr>
        <w:rPr>
          <w:rFonts w:cs="Arial"/>
          <w:szCs w:val="24"/>
        </w:rPr>
      </w:pPr>
      <w:r>
        <w:t>s</w:t>
      </w:r>
      <w:r w:rsidR="00D7183C">
        <w:t>nížit měrnou produkci</w:t>
      </w:r>
      <w:r w:rsidR="00D7183C" w:rsidRPr="004314F4">
        <w:t xml:space="preserve"> nebezpečných odpadů</w:t>
      </w:r>
      <w:r>
        <w:t>,</w:t>
      </w:r>
    </w:p>
    <w:p w:rsidR="006F7D80" w:rsidRPr="009F4BA6" w:rsidRDefault="0015404C" w:rsidP="00495FC1">
      <w:pPr>
        <w:pStyle w:val="Odstavecseseznamem"/>
        <w:numPr>
          <w:ilvl w:val="0"/>
          <w:numId w:val="13"/>
        </w:numPr>
        <w:rPr>
          <w:rFonts w:cs="Arial"/>
          <w:szCs w:val="24"/>
        </w:rPr>
      </w:pPr>
      <w:r>
        <w:rPr>
          <w:rFonts w:cs="Arial"/>
        </w:rPr>
        <w:t>n</w:t>
      </w:r>
      <w:r w:rsidR="00D7183C" w:rsidRPr="009F4BA6">
        <w:rPr>
          <w:rFonts w:cs="Arial"/>
        </w:rPr>
        <w:t>ahrazovat nebezpečné materiály ve výrobcích materiály méně nebezpečnými</w:t>
      </w:r>
      <w:r>
        <w:rPr>
          <w:rFonts w:cs="Arial"/>
        </w:rPr>
        <w:t>,</w:t>
      </w:r>
    </w:p>
    <w:p w:rsidR="00674BC9" w:rsidRDefault="0015404C" w:rsidP="00495FC1">
      <w:pPr>
        <w:pStyle w:val="Odstavecseseznamem"/>
        <w:numPr>
          <w:ilvl w:val="0"/>
          <w:numId w:val="13"/>
        </w:numPr>
        <w:ind w:left="714" w:hanging="357"/>
        <w:rPr>
          <w:rFonts w:cs="Arial"/>
          <w:szCs w:val="24"/>
        </w:rPr>
      </w:pPr>
      <w:r>
        <w:t>m</w:t>
      </w:r>
      <w:r w:rsidR="00D7183C" w:rsidRPr="004314F4">
        <w:t>inimaliz</w:t>
      </w:r>
      <w:r w:rsidR="00D7183C">
        <w:t>ovat</w:t>
      </w:r>
      <w:r w:rsidR="00D7183C" w:rsidRPr="004314F4">
        <w:t xml:space="preserve"> nepřízniv</w:t>
      </w:r>
      <w:r w:rsidR="00D7183C">
        <w:t>é účinky</w:t>
      </w:r>
      <w:r w:rsidR="00D7183C" w:rsidRPr="004314F4">
        <w:t xml:space="preserve"> vzniku nebezpečných odpadů a nakládání s nimi</w:t>
      </w:r>
      <w:r w:rsidR="00D7183C" w:rsidRPr="004314F4">
        <w:br/>
        <w:t>na lidské zdraví a životní prostředí</w:t>
      </w:r>
      <w:r>
        <w:t>,</w:t>
      </w:r>
    </w:p>
    <w:p w:rsidR="00EA0B23" w:rsidRDefault="0015404C" w:rsidP="00495FC1">
      <w:pPr>
        <w:pStyle w:val="Odstavecseseznamem"/>
        <w:numPr>
          <w:ilvl w:val="0"/>
          <w:numId w:val="13"/>
        </w:numPr>
        <w:rPr>
          <w:rFonts w:cs="Arial"/>
          <w:szCs w:val="24"/>
        </w:rPr>
      </w:pPr>
      <w:r>
        <w:rPr>
          <w:rFonts w:cs="Arial"/>
          <w:szCs w:val="24"/>
        </w:rPr>
        <w:t>p</w:t>
      </w:r>
      <w:r w:rsidR="00D7183C" w:rsidRPr="009F4BA6">
        <w:rPr>
          <w:rFonts w:cs="Arial"/>
          <w:szCs w:val="24"/>
        </w:rPr>
        <w:t>lnit cíle obsažené ve směrnicích</w:t>
      </w:r>
      <w:r w:rsidR="00EA0B23">
        <w:rPr>
          <w:rFonts w:cs="Arial"/>
          <w:szCs w:val="24"/>
        </w:rPr>
        <w:t>:</w:t>
      </w:r>
    </w:p>
    <w:p w:rsidR="00674BC9" w:rsidRDefault="0033290F" w:rsidP="00495FC1">
      <w:pPr>
        <w:pStyle w:val="Odstavecseseznamem"/>
        <w:numPr>
          <w:ilvl w:val="1"/>
          <w:numId w:val="59"/>
        </w:numPr>
        <w:spacing w:after="0" w:afterAutospacing="0"/>
        <w:ind w:left="1349" w:hanging="357"/>
        <w:rPr>
          <w:rFonts w:cs="Arial"/>
          <w:szCs w:val="24"/>
        </w:rPr>
      </w:pPr>
      <w:r w:rsidRPr="0033290F">
        <w:rPr>
          <w:rFonts w:cs="Arial"/>
          <w:szCs w:val="24"/>
        </w:rPr>
        <w:t xml:space="preserve"> Směrnice Evropského parlamentu a Rady (ES) č. 98/2008 o odpadech a o zrušení některých směrnic</w:t>
      </w:r>
      <w:r w:rsidR="0015404C">
        <w:rPr>
          <w:rFonts w:cs="Arial"/>
          <w:szCs w:val="24"/>
        </w:rPr>
        <w:t>,</w:t>
      </w:r>
    </w:p>
    <w:p w:rsidR="00674BC9" w:rsidRDefault="0033290F" w:rsidP="00495FC1">
      <w:pPr>
        <w:pStyle w:val="Odstavecseseznamem"/>
        <w:numPr>
          <w:ilvl w:val="1"/>
          <w:numId w:val="59"/>
        </w:numPr>
        <w:spacing w:after="0" w:afterAutospacing="0"/>
        <w:ind w:left="1349" w:hanging="357"/>
        <w:rPr>
          <w:rFonts w:cs="Arial"/>
          <w:szCs w:val="24"/>
        </w:rPr>
      </w:pPr>
      <w:r w:rsidRPr="0033290F">
        <w:rPr>
          <w:rFonts w:cs="Arial"/>
          <w:szCs w:val="24"/>
        </w:rPr>
        <w:t>Směrnice Evropského parlamentu a Rady 2011/65/EU o omezení používání některých nebezpečných látek v elektrických a elektronických zařízeních (přepracována)</w:t>
      </w:r>
      <w:r w:rsidR="0015404C">
        <w:rPr>
          <w:rFonts w:cs="Arial"/>
          <w:szCs w:val="24"/>
        </w:rPr>
        <w:t>,</w:t>
      </w:r>
    </w:p>
    <w:p w:rsidR="00674BC9" w:rsidRDefault="0033290F" w:rsidP="00495FC1">
      <w:pPr>
        <w:pStyle w:val="Odstavecseseznamem"/>
        <w:numPr>
          <w:ilvl w:val="1"/>
          <w:numId w:val="59"/>
        </w:numPr>
        <w:spacing w:after="0" w:afterAutospacing="0"/>
        <w:ind w:left="1349" w:hanging="357"/>
        <w:rPr>
          <w:rFonts w:cs="Arial"/>
          <w:szCs w:val="24"/>
        </w:rPr>
      </w:pPr>
      <w:r w:rsidRPr="0033290F">
        <w:rPr>
          <w:rFonts w:cs="Arial"/>
          <w:szCs w:val="24"/>
        </w:rPr>
        <w:t>Nařízení Evropského parlamentu a Rady (ES) č. 850/2004 o perzistentních organických znečišťujících látkách a o změně směrnice 79/117/EHS včetně následných novelizací.</w:t>
      </w:r>
    </w:p>
    <w:p w:rsidR="00674BC9" w:rsidRDefault="00674BC9">
      <w:pPr>
        <w:pStyle w:val="Odstavecseseznamem"/>
        <w:spacing w:after="0" w:afterAutospacing="0" w:line="240" w:lineRule="auto"/>
        <w:ind w:left="1353"/>
        <w:rPr>
          <w:rFonts w:cs="Arial"/>
          <w:i/>
          <w:szCs w:val="24"/>
        </w:rPr>
      </w:pPr>
    </w:p>
    <w:p w:rsidR="009A45B9" w:rsidRPr="00165854" w:rsidRDefault="007A7FFD" w:rsidP="0015404C">
      <w:pPr>
        <w:spacing w:after="0" w:afterAutospacing="0"/>
        <w:rPr>
          <w:b/>
          <w:i/>
        </w:rPr>
      </w:pPr>
      <w:bookmarkStart w:id="2420" w:name="_Toc384907388"/>
      <w:r w:rsidRPr="00165854">
        <w:rPr>
          <w:b/>
        </w:rPr>
        <w:t>Stav, který by měl být dosažen k r. 2020</w:t>
      </w:r>
      <w:r w:rsidRPr="00165854">
        <w:rPr>
          <w:b/>
          <w:i/>
        </w:rPr>
        <w:t>:</w:t>
      </w:r>
      <w:bookmarkEnd w:id="2420"/>
    </w:p>
    <w:p w:rsidR="006F7D80" w:rsidRDefault="0015404C" w:rsidP="00495FC1">
      <w:pPr>
        <w:pStyle w:val="Odstavecseseznamem"/>
        <w:numPr>
          <w:ilvl w:val="0"/>
          <w:numId w:val="14"/>
        </w:numPr>
        <w:spacing w:after="0" w:afterAutospacing="0"/>
      </w:pPr>
      <w:r>
        <w:t>p</w:t>
      </w:r>
      <w:r w:rsidR="008D402E">
        <w:t>osílení role</w:t>
      </w:r>
      <w:r w:rsidR="008D402E" w:rsidRPr="004314F4">
        <w:t xml:space="preserve"> prevence vzniku odpad</w:t>
      </w:r>
      <w:r w:rsidR="008D402E">
        <w:t>ů přímo ve výrobním procesu</w:t>
      </w:r>
      <w:r>
        <w:t>,</w:t>
      </w:r>
    </w:p>
    <w:p w:rsidR="006F7D80" w:rsidRDefault="0015404C" w:rsidP="00495FC1">
      <w:pPr>
        <w:pStyle w:val="Odstavecseseznamem"/>
        <w:numPr>
          <w:ilvl w:val="0"/>
          <w:numId w:val="14"/>
        </w:numPr>
      </w:pPr>
      <w:r>
        <w:t>b</w:t>
      </w:r>
      <w:r w:rsidR="008D402E">
        <w:t xml:space="preserve">udování sítě </w:t>
      </w:r>
      <w:r w:rsidR="008D402E" w:rsidRPr="004314F4">
        <w:t xml:space="preserve">sběrných center pro </w:t>
      </w:r>
      <w:r w:rsidR="00467628" w:rsidRPr="00FA0150">
        <w:t>předcházení vzniku odpadů</w:t>
      </w:r>
      <w:r w:rsidR="00122E44">
        <w:t>, tedy</w:t>
      </w:r>
      <w:r w:rsidR="00467628" w:rsidRPr="004314F4" w:rsidDel="00467628">
        <w:t xml:space="preserve"> </w:t>
      </w:r>
      <w:r w:rsidR="008D402E" w:rsidRPr="004314F4">
        <w:t>výrobků na konci životnosti</w:t>
      </w:r>
      <w:r>
        <w:t>,</w:t>
      </w:r>
    </w:p>
    <w:p w:rsidR="006F7D80" w:rsidRDefault="0015404C" w:rsidP="00495FC1">
      <w:pPr>
        <w:pStyle w:val="Odstavecseseznamem"/>
        <w:numPr>
          <w:ilvl w:val="0"/>
          <w:numId w:val="14"/>
        </w:numPr>
      </w:pPr>
      <w:r>
        <w:t>p</w:t>
      </w:r>
      <w:r w:rsidR="008D402E">
        <w:t>řerušení závislosti</w:t>
      </w:r>
      <w:r w:rsidR="008D402E" w:rsidRPr="004314F4">
        <w:t xml:space="preserve"> </w:t>
      </w:r>
      <w:r w:rsidR="008D402E">
        <w:t>mezi ná</w:t>
      </w:r>
      <w:r w:rsidR="008D402E" w:rsidRPr="004314F4">
        <w:t>růst</w:t>
      </w:r>
      <w:r w:rsidR="008D402E">
        <w:t>em</w:t>
      </w:r>
      <w:r w:rsidR="008D402E" w:rsidRPr="004314F4">
        <w:t xml:space="preserve"> </w:t>
      </w:r>
      <w:r w:rsidR="008D402E">
        <w:t>produkce</w:t>
      </w:r>
      <w:r w:rsidR="008D402E" w:rsidRPr="004314F4">
        <w:t xml:space="preserve"> odpadů</w:t>
      </w:r>
      <w:r w:rsidR="008D402E">
        <w:t xml:space="preserve"> v souvislosti se zvyšujícím se výkonem ekonomiky </w:t>
      </w:r>
      <w:r w:rsidR="008D402E" w:rsidRPr="004314F4">
        <w:t xml:space="preserve">a </w:t>
      </w:r>
      <w:r w:rsidR="008D402E">
        <w:t>od roku 2020 stagnace produkce odpadů, či mírný pokles množství produkovaného odpadu</w:t>
      </w:r>
      <w:r>
        <w:t>,</w:t>
      </w:r>
    </w:p>
    <w:p w:rsidR="006F7D80" w:rsidRDefault="0015404C" w:rsidP="00495FC1">
      <w:pPr>
        <w:pStyle w:val="Odstavecseseznamem"/>
        <w:numPr>
          <w:ilvl w:val="0"/>
          <w:numId w:val="14"/>
        </w:numPr>
      </w:pPr>
      <w:r>
        <w:t>s</w:t>
      </w:r>
      <w:r w:rsidR="00D7183C">
        <w:t>nížení nebezpečných vlastností odpadů</w:t>
      </w:r>
      <w:r>
        <w:t>,</w:t>
      </w:r>
    </w:p>
    <w:p w:rsidR="006F7D80" w:rsidRDefault="0015404C" w:rsidP="00495FC1">
      <w:pPr>
        <w:pStyle w:val="Odstavecseseznamem"/>
        <w:numPr>
          <w:ilvl w:val="0"/>
          <w:numId w:val="14"/>
        </w:numPr>
      </w:pPr>
      <w:r>
        <w:t>v</w:t>
      </w:r>
      <w:r w:rsidR="00D7183C">
        <w:t>ýstavba a modernizace zařízení pro nakládání s nebezpečnými odpady včetně zdravotnických odpadů (vyjma skládkování).</w:t>
      </w:r>
    </w:p>
    <w:p w:rsidR="001A7CDE" w:rsidRDefault="001A7CDE" w:rsidP="004B6C19">
      <w:pPr>
        <w:ind w:left="360"/>
      </w:pPr>
    </w:p>
    <w:p w:rsidR="004B6C19" w:rsidRPr="004314F4" w:rsidRDefault="004B6C19" w:rsidP="004B6C19">
      <w:pPr>
        <w:ind w:left="360"/>
      </w:pPr>
    </w:p>
    <w:p w:rsidR="005E3447" w:rsidRPr="004314F4" w:rsidRDefault="004479EC" w:rsidP="00CB78B6">
      <w:pPr>
        <w:pStyle w:val="Titulek"/>
      </w:pPr>
      <w:bookmarkStart w:id="2421" w:name="_Toc384907389"/>
      <w:r w:rsidRPr="004314F4">
        <w:lastRenderedPageBreak/>
        <w:t xml:space="preserve">Specifické </w:t>
      </w:r>
      <w:r w:rsidR="001036FA">
        <w:t>programové ukazatele</w:t>
      </w:r>
      <w:r w:rsidRPr="004314F4">
        <w:t xml:space="preserve"> výsledků pro SC 3.1</w:t>
      </w:r>
      <w:bookmarkEnd w:id="2421"/>
    </w:p>
    <w:tbl>
      <w:tblPr>
        <w:tblStyle w:val="Mkatabulky"/>
        <w:tblW w:w="8930" w:type="dxa"/>
        <w:tblInd w:w="250" w:type="dxa"/>
        <w:tblLayout w:type="fixed"/>
        <w:tblLook w:val="04A0" w:firstRow="1" w:lastRow="0" w:firstColumn="1" w:lastColumn="0" w:noHBand="0" w:noVBand="1"/>
      </w:tblPr>
      <w:tblGrid>
        <w:gridCol w:w="425"/>
        <w:gridCol w:w="1276"/>
        <w:gridCol w:w="1134"/>
        <w:gridCol w:w="1134"/>
        <w:gridCol w:w="992"/>
        <w:gridCol w:w="851"/>
        <w:gridCol w:w="992"/>
        <w:gridCol w:w="851"/>
        <w:gridCol w:w="1275"/>
      </w:tblGrid>
      <w:tr w:rsidR="001036FA" w:rsidRPr="000A5754" w:rsidTr="00732AA1">
        <w:tc>
          <w:tcPr>
            <w:tcW w:w="425" w:type="dxa"/>
            <w:tcBorders>
              <w:bottom w:val="single" w:sz="12" w:space="0" w:color="auto"/>
            </w:tcBorders>
            <w:shd w:val="clear" w:color="auto" w:fill="BFBFBF" w:themeFill="background1" w:themeFillShade="BF"/>
          </w:tcPr>
          <w:p w:rsidR="001036FA" w:rsidRPr="003A2CB2" w:rsidRDefault="0033290F" w:rsidP="00B66FDE">
            <w:pPr>
              <w:spacing w:line="276" w:lineRule="auto"/>
              <w:rPr>
                <w:b/>
                <w:sz w:val="20"/>
                <w:szCs w:val="20"/>
              </w:rPr>
            </w:pPr>
            <w:r w:rsidRPr="0033290F">
              <w:rPr>
                <w:b/>
                <w:sz w:val="20"/>
                <w:szCs w:val="20"/>
              </w:rPr>
              <w:t xml:space="preserve">ID </w:t>
            </w:r>
          </w:p>
        </w:tc>
        <w:tc>
          <w:tcPr>
            <w:tcW w:w="1276" w:type="dxa"/>
            <w:tcBorders>
              <w:bottom w:val="single" w:sz="12" w:space="0" w:color="auto"/>
            </w:tcBorders>
            <w:shd w:val="clear" w:color="auto" w:fill="BFBFBF" w:themeFill="background1" w:themeFillShade="BF"/>
          </w:tcPr>
          <w:p w:rsidR="001036FA" w:rsidRPr="003A2CB2" w:rsidRDefault="0033290F" w:rsidP="00B66FDE">
            <w:pPr>
              <w:spacing w:line="276" w:lineRule="auto"/>
              <w:rPr>
                <w:b/>
                <w:sz w:val="20"/>
                <w:szCs w:val="20"/>
              </w:rPr>
            </w:pPr>
            <w:r w:rsidRPr="0033290F">
              <w:rPr>
                <w:b/>
                <w:sz w:val="20"/>
                <w:szCs w:val="20"/>
              </w:rPr>
              <w:t>Ukazatel</w:t>
            </w:r>
          </w:p>
        </w:tc>
        <w:tc>
          <w:tcPr>
            <w:tcW w:w="1134" w:type="dxa"/>
            <w:tcBorders>
              <w:bottom w:val="single" w:sz="12" w:space="0" w:color="auto"/>
            </w:tcBorders>
            <w:shd w:val="clear" w:color="auto" w:fill="BFBFBF" w:themeFill="background1" w:themeFillShade="BF"/>
          </w:tcPr>
          <w:p w:rsidR="001036FA" w:rsidRPr="003A2CB2" w:rsidRDefault="0033290F" w:rsidP="00B66FDE">
            <w:pPr>
              <w:spacing w:line="276" w:lineRule="auto"/>
              <w:rPr>
                <w:b/>
                <w:sz w:val="20"/>
                <w:szCs w:val="20"/>
              </w:rPr>
            </w:pPr>
            <w:r w:rsidRPr="0033290F">
              <w:rPr>
                <w:b/>
                <w:sz w:val="20"/>
                <w:szCs w:val="20"/>
              </w:rPr>
              <w:t>Měrná jednotka</w:t>
            </w:r>
          </w:p>
        </w:tc>
        <w:tc>
          <w:tcPr>
            <w:tcW w:w="1134" w:type="dxa"/>
            <w:tcBorders>
              <w:bottom w:val="single" w:sz="12" w:space="0" w:color="auto"/>
            </w:tcBorders>
            <w:shd w:val="clear" w:color="auto" w:fill="BFBFBF" w:themeFill="background1" w:themeFillShade="BF"/>
          </w:tcPr>
          <w:p w:rsidR="001036FA" w:rsidRPr="003A2CB2" w:rsidRDefault="0033290F" w:rsidP="00B66FDE">
            <w:pPr>
              <w:spacing w:line="276" w:lineRule="auto"/>
              <w:rPr>
                <w:b/>
                <w:sz w:val="20"/>
                <w:szCs w:val="20"/>
              </w:rPr>
            </w:pPr>
            <w:r w:rsidRPr="0033290F">
              <w:rPr>
                <w:b/>
                <w:sz w:val="20"/>
                <w:szCs w:val="20"/>
              </w:rPr>
              <w:t>Kategorie regionů</w:t>
            </w:r>
          </w:p>
        </w:tc>
        <w:tc>
          <w:tcPr>
            <w:tcW w:w="992" w:type="dxa"/>
            <w:tcBorders>
              <w:bottom w:val="single" w:sz="12" w:space="0" w:color="auto"/>
            </w:tcBorders>
            <w:shd w:val="clear" w:color="auto" w:fill="BFBFBF" w:themeFill="background1" w:themeFillShade="BF"/>
          </w:tcPr>
          <w:p w:rsidR="001036FA" w:rsidRPr="003A2CB2" w:rsidRDefault="0033290F" w:rsidP="00B66FDE">
            <w:pPr>
              <w:spacing w:line="276" w:lineRule="auto"/>
              <w:rPr>
                <w:b/>
                <w:sz w:val="20"/>
                <w:szCs w:val="20"/>
              </w:rPr>
            </w:pPr>
            <w:r w:rsidRPr="0033290F">
              <w:rPr>
                <w:b/>
                <w:sz w:val="20"/>
                <w:szCs w:val="20"/>
              </w:rPr>
              <w:t>Výchozí hodnota</w:t>
            </w:r>
          </w:p>
        </w:tc>
        <w:tc>
          <w:tcPr>
            <w:tcW w:w="851" w:type="dxa"/>
            <w:tcBorders>
              <w:bottom w:val="single" w:sz="12" w:space="0" w:color="auto"/>
            </w:tcBorders>
            <w:shd w:val="clear" w:color="auto" w:fill="BFBFBF" w:themeFill="background1" w:themeFillShade="BF"/>
          </w:tcPr>
          <w:p w:rsidR="001036FA" w:rsidRPr="003A2CB2" w:rsidRDefault="0033290F" w:rsidP="00B66FDE">
            <w:pPr>
              <w:spacing w:line="276" w:lineRule="auto"/>
              <w:rPr>
                <w:b/>
                <w:sz w:val="20"/>
                <w:szCs w:val="20"/>
              </w:rPr>
            </w:pPr>
            <w:r w:rsidRPr="0033290F">
              <w:rPr>
                <w:b/>
                <w:sz w:val="20"/>
                <w:szCs w:val="20"/>
              </w:rPr>
              <w:t>Výchozí rok</w:t>
            </w:r>
          </w:p>
        </w:tc>
        <w:tc>
          <w:tcPr>
            <w:tcW w:w="992" w:type="dxa"/>
            <w:tcBorders>
              <w:bottom w:val="single" w:sz="12" w:space="0" w:color="auto"/>
            </w:tcBorders>
            <w:shd w:val="clear" w:color="auto" w:fill="BFBFBF" w:themeFill="background1" w:themeFillShade="BF"/>
          </w:tcPr>
          <w:p w:rsidR="001036FA" w:rsidRPr="003A2CB2" w:rsidRDefault="0033290F" w:rsidP="00B66FDE">
            <w:pPr>
              <w:spacing w:line="276" w:lineRule="auto"/>
              <w:rPr>
                <w:b/>
                <w:sz w:val="20"/>
                <w:szCs w:val="20"/>
              </w:rPr>
            </w:pPr>
            <w:r w:rsidRPr="0033290F">
              <w:rPr>
                <w:b/>
                <w:sz w:val="20"/>
                <w:szCs w:val="20"/>
              </w:rPr>
              <w:t>Cílová hodnota (2023)</w:t>
            </w:r>
          </w:p>
        </w:tc>
        <w:tc>
          <w:tcPr>
            <w:tcW w:w="851" w:type="dxa"/>
            <w:tcBorders>
              <w:bottom w:val="single" w:sz="12" w:space="0" w:color="auto"/>
            </w:tcBorders>
            <w:shd w:val="clear" w:color="auto" w:fill="BFBFBF" w:themeFill="background1" w:themeFillShade="BF"/>
          </w:tcPr>
          <w:p w:rsidR="001036FA" w:rsidRPr="003A2CB2" w:rsidRDefault="0033290F" w:rsidP="00B66FDE">
            <w:pPr>
              <w:spacing w:line="276" w:lineRule="auto"/>
              <w:rPr>
                <w:b/>
                <w:sz w:val="20"/>
                <w:szCs w:val="20"/>
              </w:rPr>
            </w:pPr>
            <w:r w:rsidRPr="0033290F">
              <w:rPr>
                <w:b/>
                <w:sz w:val="20"/>
                <w:szCs w:val="20"/>
              </w:rPr>
              <w:t>Zdroj údajů</w:t>
            </w:r>
          </w:p>
        </w:tc>
        <w:tc>
          <w:tcPr>
            <w:tcW w:w="1275" w:type="dxa"/>
            <w:tcBorders>
              <w:bottom w:val="single" w:sz="12" w:space="0" w:color="auto"/>
            </w:tcBorders>
            <w:shd w:val="clear" w:color="auto" w:fill="BFBFBF" w:themeFill="background1" w:themeFillShade="BF"/>
          </w:tcPr>
          <w:p w:rsidR="001036FA" w:rsidRPr="003A2CB2" w:rsidRDefault="0033290F" w:rsidP="00B66FDE">
            <w:pPr>
              <w:spacing w:line="276" w:lineRule="auto"/>
              <w:rPr>
                <w:b/>
                <w:sz w:val="20"/>
                <w:szCs w:val="20"/>
              </w:rPr>
            </w:pPr>
            <w:r w:rsidRPr="0033290F">
              <w:rPr>
                <w:b/>
                <w:sz w:val="20"/>
                <w:szCs w:val="20"/>
              </w:rPr>
              <w:t>Četnost podávání zpráv</w:t>
            </w:r>
          </w:p>
        </w:tc>
      </w:tr>
      <w:tr w:rsidR="001036FA" w:rsidRPr="000A5754" w:rsidTr="00732AA1">
        <w:trPr>
          <w:trHeight w:val="1475"/>
        </w:trPr>
        <w:tc>
          <w:tcPr>
            <w:tcW w:w="425" w:type="dxa"/>
            <w:tcBorders>
              <w:top w:val="single" w:sz="12" w:space="0" w:color="auto"/>
            </w:tcBorders>
          </w:tcPr>
          <w:p w:rsidR="001036FA" w:rsidRPr="003A2CB2" w:rsidRDefault="0001146D" w:rsidP="0001146D">
            <w:pPr>
              <w:spacing w:line="276" w:lineRule="auto"/>
              <w:rPr>
                <w:sz w:val="20"/>
                <w:szCs w:val="20"/>
              </w:rPr>
            </w:pPr>
            <w:r>
              <w:rPr>
                <w:sz w:val="20"/>
                <w:szCs w:val="20"/>
              </w:rPr>
              <w:t>4</w:t>
            </w:r>
            <w:r w:rsidRPr="0001146D">
              <w:rPr>
                <w:sz w:val="20"/>
                <w:szCs w:val="20"/>
              </w:rPr>
              <w:t>0107</w:t>
            </w:r>
          </w:p>
        </w:tc>
        <w:tc>
          <w:tcPr>
            <w:tcW w:w="1276" w:type="dxa"/>
            <w:tcBorders>
              <w:top w:val="single" w:sz="12" w:space="0" w:color="auto"/>
            </w:tcBorders>
          </w:tcPr>
          <w:p w:rsidR="001036FA" w:rsidRPr="003A2CB2" w:rsidRDefault="0033290F" w:rsidP="00B66FDE">
            <w:pPr>
              <w:spacing w:line="276" w:lineRule="auto"/>
              <w:rPr>
                <w:sz w:val="20"/>
                <w:szCs w:val="20"/>
              </w:rPr>
            </w:pPr>
            <w:r w:rsidRPr="0033290F">
              <w:rPr>
                <w:rFonts w:eastAsia="Times New Roman" w:cs="Calibri"/>
                <w:color w:val="000000"/>
                <w:sz w:val="20"/>
                <w:szCs w:val="20"/>
              </w:rPr>
              <w:t>Navýšení množství výrobků připravených k opětovnému použití</w:t>
            </w:r>
          </w:p>
        </w:tc>
        <w:tc>
          <w:tcPr>
            <w:tcW w:w="1134" w:type="dxa"/>
            <w:tcBorders>
              <w:top w:val="single" w:sz="12" w:space="0" w:color="auto"/>
            </w:tcBorders>
          </w:tcPr>
          <w:p w:rsidR="001036FA" w:rsidRPr="003A2CB2" w:rsidRDefault="0033290F" w:rsidP="00B66FDE">
            <w:pPr>
              <w:spacing w:line="276" w:lineRule="auto"/>
              <w:rPr>
                <w:bCs/>
                <w:sz w:val="20"/>
                <w:szCs w:val="20"/>
              </w:rPr>
            </w:pPr>
            <w:r w:rsidRPr="0033290F">
              <w:rPr>
                <w:bCs/>
                <w:sz w:val="20"/>
                <w:szCs w:val="20"/>
              </w:rPr>
              <w:t>t/rok</w:t>
            </w:r>
          </w:p>
        </w:tc>
        <w:tc>
          <w:tcPr>
            <w:tcW w:w="1134" w:type="dxa"/>
            <w:tcBorders>
              <w:top w:val="single" w:sz="12" w:space="0" w:color="auto"/>
            </w:tcBorders>
          </w:tcPr>
          <w:p w:rsidR="001036FA" w:rsidRPr="003A2CB2" w:rsidRDefault="0033290F" w:rsidP="00B66FDE">
            <w:pPr>
              <w:spacing w:line="276" w:lineRule="auto"/>
              <w:rPr>
                <w:bCs/>
                <w:sz w:val="20"/>
                <w:szCs w:val="20"/>
              </w:rPr>
            </w:pPr>
            <w:r w:rsidRPr="0033290F">
              <w:rPr>
                <w:bCs/>
                <w:sz w:val="20"/>
                <w:szCs w:val="20"/>
              </w:rPr>
              <w:t>Není relevantní</w:t>
            </w:r>
          </w:p>
        </w:tc>
        <w:tc>
          <w:tcPr>
            <w:tcW w:w="992" w:type="dxa"/>
            <w:tcBorders>
              <w:top w:val="single" w:sz="12" w:space="0" w:color="auto"/>
            </w:tcBorders>
          </w:tcPr>
          <w:p w:rsidR="001036FA" w:rsidRPr="003A2CB2" w:rsidRDefault="0033290F" w:rsidP="00B66FDE">
            <w:pPr>
              <w:spacing w:line="276" w:lineRule="auto"/>
              <w:rPr>
                <w:bCs/>
                <w:sz w:val="20"/>
                <w:szCs w:val="20"/>
              </w:rPr>
            </w:pPr>
            <w:r w:rsidRPr="0033290F">
              <w:rPr>
                <w:bCs/>
                <w:sz w:val="20"/>
                <w:szCs w:val="20"/>
              </w:rPr>
              <w:t>0</w:t>
            </w:r>
          </w:p>
        </w:tc>
        <w:tc>
          <w:tcPr>
            <w:tcW w:w="851" w:type="dxa"/>
            <w:tcBorders>
              <w:top w:val="single" w:sz="12" w:space="0" w:color="auto"/>
            </w:tcBorders>
          </w:tcPr>
          <w:p w:rsidR="001036FA" w:rsidRPr="003A2CB2" w:rsidRDefault="0033290F" w:rsidP="00B66FDE">
            <w:pPr>
              <w:spacing w:line="276" w:lineRule="auto"/>
              <w:rPr>
                <w:sz w:val="20"/>
                <w:szCs w:val="20"/>
              </w:rPr>
            </w:pPr>
            <w:r w:rsidRPr="0033290F">
              <w:rPr>
                <w:sz w:val="20"/>
                <w:szCs w:val="20"/>
              </w:rPr>
              <w:t>2012</w:t>
            </w:r>
          </w:p>
        </w:tc>
        <w:tc>
          <w:tcPr>
            <w:tcW w:w="992" w:type="dxa"/>
            <w:tcBorders>
              <w:top w:val="single" w:sz="12" w:space="0" w:color="auto"/>
            </w:tcBorders>
          </w:tcPr>
          <w:p w:rsidR="001036FA" w:rsidRPr="003A2CB2" w:rsidRDefault="0033290F" w:rsidP="00B66FDE">
            <w:pPr>
              <w:spacing w:line="276" w:lineRule="auto"/>
              <w:rPr>
                <w:sz w:val="20"/>
                <w:szCs w:val="20"/>
              </w:rPr>
            </w:pPr>
            <w:r w:rsidRPr="0033290F">
              <w:rPr>
                <w:sz w:val="20"/>
                <w:szCs w:val="20"/>
              </w:rPr>
              <w:t>30 000</w:t>
            </w:r>
          </w:p>
        </w:tc>
        <w:tc>
          <w:tcPr>
            <w:tcW w:w="851" w:type="dxa"/>
            <w:tcBorders>
              <w:top w:val="single" w:sz="12" w:space="0" w:color="auto"/>
            </w:tcBorders>
          </w:tcPr>
          <w:p w:rsidR="001036FA" w:rsidRPr="003A2CB2" w:rsidRDefault="0033290F" w:rsidP="00B66FDE">
            <w:pPr>
              <w:spacing w:line="276" w:lineRule="auto"/>
              <w:rPr>
                <w:bCs/>
                <w:sz w:val="20"/>
                <w:szCs w:val="20"/>
              </w:rPr>
            </w:pPr>
            <w:r w:rsidRPr="0033290F">
              <w:rPr>
                <w:bCs/>
                <w:sz w:val="20"/>
                <w:szCs w:val="20"/>
              </w:rPr>
              <w:t>Žadatel/příjemce</w:t>
            </w:r>
          </w:p>
          <w:p w:rsidR="001036FA" w:rsidRPr="003A2CB2" w:rsidRDefault="0033290F" w:rsidP="00B66FDE">
            <w:pPr>
              <w:spacing w:line="276" w:lineRule="auto"/>
              <w:rPr>
                <w:bCs/>
                <w:sz w:val="20"/>
                <w:szCs w:val="20"/>
              </w:rPr>
            </w:pPr>
            <w:r w:rsidRPr="0033290F">
              <w:rPr>
                <w:bCs/>
                <w:sz w:val="20"/>
                <w:szCs w:val="20"/>
              </w:rPr>
              <w:tab/>
            </w:r>
          </w:p>
        </w:tc>
        <w:tc>
          <w:tcPr>
            <w:tcW w:w="1275" w:type="dxa"/>
            <w:tcBorders>
              <w:top w:val="single" w:sz="12" w:space="0" w:color="auto"/>
            </w:tcBorders>
          </w:tcPr>
          <w:p w:rsidR="001036FA" w:rsidRPr="003A2CB2" w:rsidRDefault="0033290F" w:rsidP="00B66FDE">
            <w:pPr>
              <w:spacing w:line="276" w:lineRule="auto"/>
              <w:rPr>
                <w:sz w:val="20"/>
                <w:szCs w:val="20"/>
              </w:rPr>
            </w:pPr>
            <w:r w:rsidRPr="0033290F">
              <w:rPr>
                <w:sz w:val="20"/>
                <w:szCs w:val="20"/>
              </w:rPr>
              <w:t>průběžně</w:t>
            </w:r>
          </w:p>
        </w:tc>
      </w:tr>
      <w:tr w:rsidR="001036FA" w:rsidRPr="000A5754" w:rsidTr="00732AA1">
        <w:trPr>
          <w:trHeight w:val="1007"/>
        </w:trPr>
        <w:tc>
          <w:tcPr>
            <w:tcW w:w="425" w:type="dxa"/>
          </w:tcPr>
          <w:p w:rsidR="001036FA" w:rsidRPr="003A2CB2" w:rsidRDefault="0001146D" w:rsidP="0001146D">
            <w:pPr>
              <w:spacing w:line="276" w:lineRule="auto"/>
              <w:rPr>
                <w:sz w:val="20"/>
                <w:szCs w:val="20"/>
              </w:rPr>
            </w:pPr>
            <w:r w:rsidRPr="0001146D">
              <w:rPr>
                <w:sz w:val="20"/>
                <w:szCs w:val="20"/>
              </w:rPr>
              <w:t>40210</w:t>
            </w:r>
          </w:p>
        </w:tc>
        <w:tc>
          <w:tcPr>
            <w:tcW w:w="1276" w:type="dxa"/>
          </w:tcPr>
          <w:p w:rsidR="001036FA" w:rsidRPr="003A2CB2" w:rsidRDefault="0033290F" w:rsidP="00B66FDE">
            <w:pPr>
              <w:spacing w:line="276" w:lineRule="auto"/>
              <w:rPr>
                <w:sz w:val="20"/>
                <w:szCs w:val="20"/>
              </w:rPr>
            </w:pPr>
            <w:r w:rsidRPr="0033290F">
              <w:rPr>
                <w:bCs/>
                <w:sz w:val="20"/>
                <w:szCs w:val="20"/>
              </w:rPr>
              <w:t>Snížení odpadové náročnosti výroby</w:t>
            </w:r>
          </w:p>
        </w:tc>
        <w:tc>
          <w:tcPr>
            <w:tcW w:w="1134" w:type="dxa"/>
          </w:tcPr>
          <w:p w:rsidR="001036FA" w:rsidRPr="003A2CB2" w:rsidRDefault="0033290F" w:rsidP="00B66FDE">
            <w:pPr>
              <w:spacing w:line="276" w:lineRule="auto"/>
              <w:rPr>
                <w:b/>
                <w:bCs/>
                <w:color w:val="76923C" w:themeColor="accent3" w:themeShade="BF"/>
                <w:sz w:val="20"/>
                <w:szCs w:val="20"/>
              </w:rPr>
            </w:pPr>
            <w:r w:rsidRPr="0033290F">
              <w:rPr>
                <w:bCs/>
                <w:sz w:val="20"/>
                <w:szCs w:val="20"/>
              </w:rPr>
              <w:t>t/rok</w:t>
            </w:r>
          </w:p>
        </w:tc>
        <w:tc>
          <w:tcPr>
            <w:tcW w:w="1134" w:type="dxa"/>
          </w:tcPr>
          <w:p w:rsidR="001036FA" w:rsidRPr="003A2CB2" w:rsidRDefault="0033290F" w:rsidP="00B66FDE">
            <w:pPr>
              <w:spacing w:line="276" w:lineRule="auto"/>
              <w:rPr>
                <w:bCs/>
                <w:sz w:val="20"/>
                <w:szCs w:val="20"/>
              </w:rPr>
            </w:pPr>
            <w:r w:rsidRPr="0033290F">
              <w:rPr>
                <w:bCs/>
                <w:sz w:val="20"/>
                <w:szCs w:val="20"/>
              </w:rPr>
              <w:t>Není relevantní</w:t>
            </w:r>
          </w:p>
        </w:tc>
        <w:tc>
          <w:tcPr>
            <w:tcW w:w="992" w:type="dxa"/>
          </w:tcPr>
          <w:p w:rsidR="001036FA" w:rsidRPr="003A2CB2" w:rsidRDefault="0033290F" w:rsidP="00B66FDE">
            <w:pPr>
              <w:spacing w:line="276" w:lineRule="auto"/>
              <w:rPr>
                <w:bCs/>
                <w:sz w:val="20"/>
                <w:szCs w:val="20"/>
              </w:rPr>
            </w:pPr>
            <w:r w:rsidRPr="0033290F">
              <w:rPr>
                <w:bCs/>
                <w:sz w:val="20"/>
                <w:szCs w:val="20"/>
              </w:rPr>
              <w:t>0</w:t>
            </w:r>
          </w:p>
        </w:tc>
        <w:tc>
          <w:tcPr>
            <w:tcW w:w="851" w:type="dxa"/>
          </w:tcPr>
          <w:p w:rsidR="001036FA" w:rsidRPr="003A2CB2" w:rsidRDefault="0033290F" w:rsidP="00B66FDE">
            <w:pPr>
              <w:spacing w:line="276" w:lineRule="auto"/>
              <w:rPr>
                <w:sz w:val="20"/>
                <w:szCs w:val="20"/>
              </w:rPr>
            </w:pPr>
            <w:r w:rsidRPr="0033290F">
              <w:rPr>
                <w:sz w:val="20"/>
                <w:szCs w:val="20"/>
              </w:rPr>
              <w:t>2012</w:t>
            </w:r>
          </w:p>
        </w:tc>
        <w:tc>
          <w:tcPr>
            <w:tcW w:w="992" w:type="dxa"/>
          </w:tcPr>
          <w:p w:rsidR="001036FA" w:rsidRPr="003A2CB2" w:rsidRDefault="0033290F" w:rsidP="00B66FDE">
            <w:pPr>
              <w:spacing w:line="276" w:lineRule="auto"/>
              <w:rPr>
                <w:sz w:val="20"/>
                <w:szCs w:val="20"/>
              </w:rPr>
            </w:pPr>
            <w:r w:rsidRPr="0033290F">
              <w:rPr>
                <w:sz w:val="20"/>
                <w:szCs w:val="20"/>
              </w:rPr>
              <w:t>100 000</w:t>
            </w:r>
          </w:p>
        </w:tc>
        <w:tc>
          <w:tcPr>
            <w:tcW w:w="851" w:type="dxa"/>
          </w:tcPr>
          <w:p w:rsidR="001036FA" w:rsidRPr="003A2CB2" w:rsidRDefault="0033290F" w:rsidP="00B66FDE">
            <w:pPr>
              <w:spacing w:line="276" w:lineRule="auto"/>
              <w:rPr>
                <w:bCs/>
                <w:sz w:val="20"/>
                <w:szCs w:val="20"/>
              </w:rPr>
            </w:pPr>
            <w:r w:rsidRPr="0033290F">
              <w:rPr>
                <w:bCs/>
                <w:sz w:val="20"/>
                <w:szCs w:val="20"/>
              </w:rPr>
              <w:t>Žadatel/příjemce</w:t>
            </w:r>
          </w:p>
        </w:tc>
        <w:tc>
          <w:tcPr>
            <w:tcW w:w="1275" w:type="dxa"/>
          </w:tcPr>
          <w:p w:rsidR="001036FA" w:rsidRPr="003A2CB2" w:rsidRDefault="0033290F" w:rsidP="00B66FDE">
            <w:pPr>
              <w:spacing w:line="276" w:lineRule="auto"/>
              <w:rPr>
                <w:sz w:val="20"/>
                <w:szCs w:val="20"/>
              </w:rPr>
            </w:pPr>
            <w:r w:rsidRPr="0033290F">
              <w:rPr>
                <w:sz w:val="20"/>
                <w:szCs w:val="20"/>
              </w:rPr>
              <w:t>průběžně</w:t>
            </w:r>
          </w:p>
        </w:tc>
      </w:tr>
      <w:tr w:rsidR="001036FA" w:rsidRPr="000A5754" w:rsidTr="00732AA1">
        <w:tc>
          <w:tcPr>
            <w:tcW w:w="425" w:type="dxa"/>
          </w:tcPr>
          <w:p w:rsidR="001036FA" w:rsidRPr="003A2CB2" w:rsidRDefault="006347EE" w:rsidP="006347EE">
            <w:pPr>
              <w:spacing w:line="276" w:lineRule="auto"/>
              <w:rPr>
                <w:sz w:val="20"/>
                <w:szCs w:val="20"/>
              </w:rPr>
            </w:pPr>
            <w:r>
              <w:rPr>
                <w:sz w:val="20"/>
                <w:szCs w:val="20"/>
              </w:rPr>
              <w:t>4</w:t>
            </w:r>
            <w:r w:rsidRPr="006347EE">
              <w:rPr>
                <w:sz w:val="20"/>
                <w:szCs w:val="20"/>
              </w:rPr>
              <w:t>0911</w:t>
            </w:r>
          </w:p>
        </w:tc>
        <w:tc>
          <w:tcPr>
            <w:tcW w:w="1276" w:type="dxa"/>
          </w:tcPr>
          <w:p w:rsidR="00674BC9" w:rsidRDefault="0033290F">
            <w:pPr>
              <w:rPr>
                <w:bCs/>
                <w:sz w:val="20"/>
                <w:szCs w:val="20"/>
              </w:rPr>
            </w:pPr>
            <w:r w:rsidRPr="0033290F">
              <w:rPr>
                <w:sz w:val="20"/>
                <w:szCs w:val="20"/>
              </w:rPr>
              <w:t>Zvýšení využití nebezpečného odpadu</w:t>
            </w:r>
          </w:p>
        </w:tc>
        <w:tc>
          <w:tcPr>
            <w:tcW w:w="1134" w:type="dxa"/>
          </w:tcPr>
          <w:p w:rsidR="00674BC9" w:rsidRDefault="0033290F">
            <w:pPr>
              <w:rPr>
                <w:bCs/>
                <w:sz w:val="20"/>
                <w:szCs w:val="20"/>
              </w:rPr>
            </w:pPr>
            <w:r w:rsidRPr="0033290F">
              <w:rPr>
                <w:sz w:val="20"/>
                <w:szCs w:val="20"/>
              </w:rPr>
              <w:t>t/rok</w:t>
            </w:r>
          </w:p>
        </w:tc>
        <w:tc>
          <w:tcPr>
            <w:tcW w:w="1134" w:type="dxa"/>
          </w:tcPr>
          <w:p w:rsidR="001036FA" w:rsidRPr="003A2CB2" w:rsidRDefault="0033290F" w:rsidP="00B66FDE">
            <w:pPr>
              <w:spacing w:line="276" w:lineRule="auto"/>
              <w:rPr>
                <w:bCs/>
                <w:sz w:val="20"/>
                <w:szCs w:val="20"/>
              </w:rPr>
            </w:pPr>
            <w:r w:rsidRPr="0033290F">
              <w:rPr>
                <w:bCs/>
                <w:sz w:val="20"/>
                <w:szCs w:val="20"/>
              </w:rPr>
              <w:t>Není relevantní</w:t>
            </w:r>
          </w:p>
        </w:tc>
        <w:tc>
          <w:tcPr>
            <w:tcW w:w="992" w:type="dxa"/>
          </w:tcPr>
          <w:p w:rsidR="001036FA" w:rsidRPr="003A2CB2" w:rsidDel="00CC41F6" w:rsidRDefault="0033290F" w:rsidP="00B66FDE">
            <w:pPr>
              <w:spacing w:line="276" w:lineRule="auto"/>
              <w:rPr>
                <w:bCs/>
                <w:sz w:val="20"/>
                <w:szCs w:val="20"/>
              </w:rPr>
            </w:pPr>
            <w:r w:rsidRPr="0033290F">
              <w:rPr>
                <w:bCs/>
                <w:sz w:val="20"/>
                <w:szCs w:val="20"/>
              </w:rPr>
              <w:t>469 725</w:t>
            </w:r>
          </w:p>
        </w:tc>
        <w:tc>
          <w:tcPr>
            <w:tcW w:w="851" w:type="dxa"/>
          </w:tcPr>
          <w:p w:rsidR="001036FA" w:rsidRPr="003A2CB2" w:rsidDel="00CC41F6" w:rsidRDefault="0033290F" w:rsidP="00B66FDE">
            <w:pPr>
              <w:spacing w:line="276" w:lineRule="auto"/>
              <w:rPr>
                <w:sz w:val="20"/>
                <w:szCs w:val="20"/>
              </w:rPr>
            </w:pPr>
            <w:r w:rsidRPr="0033290F">
              <w:rPr>
                <w:sz w:val="20"/>
                <w:szCs w:val="20"/>
              </w:rPr>
              <w:t>2012</w:t>
            </w:r>
          </w:p>
        </w:tc>
        <w:tc>
          <w:tcPr>
            <w:tcW w:w="992" w:type="dxa"/>
          </w:tcPr>
          <w:p w:rsidR="001036FA" w:rsidRPr="003A2CB2" w:rsidDel="00CC41F6" w:rsidRDefault="0033290F" w:rsidP="00B66FDE">
            <w:pPr>
              <w:spacing w:line="276" w:lineRule="auto"/>
              <w:rPr>
                <w:bCs/>
                <w:sz w:val="20"/>
                <w:szCs w:val="20"/>
              </w:rPr>
            </w:pPr>
            <w:r w:rsidRPr="0033290F">
              <w:rPr>
                <w:bCs/>
                <w:sz w:val="20"/>
                <w:szCs w:val="20"/>
              </w:rPr>
              <w:t>519 725</w:t>
            </w:r>
          </w:p>
        </w:tc>
        <w:tc>
          <w:tcPr>
            <w:tcW w:w="851" w:type="dxa"/>
          </w:tcPr>
          <w:p w:rsidR="001036FA" w:rsidRPr="003A2CB2" w:rsidDel="00CC41F6" w:rsidRDefault="0033290F" w:rsidP="00B66FDE">
            <w:pPr>
              <w:spacing w:line="276" w:lineRule="auto"/>
              <w:rPr>
                <w:bCs/>
                <w:sz w:val="20"/>
                <w:szCs w:val="20"/>
              </w:rPr>
            </w:pPr>
            <w:r w:rsidRPr="0033290F">
              <w:rPr>
                <w:sz w:val="20"/>
                <w:szCs w:val="20"/>
              </w:rPr>
              <w:t>Žadatel/příjemce</w:t>
            </w:r>
          </w:p>
        </w:tc>
        <w:tc>
          <w:tcPr>
            <w:tcW w:w="1275" w:type="dxa"/>
          </w:tcPr>
          <w:p w:rsidR="001036FA" w:rsidRPr="003A2CB2" w:rsidDel="00CC41F6" w:rsidRDefault="0033290F" w:rsidP="00B66FDE">
            <w:pPr>
              <w:spacing w:line="276" w:lineRule="auto"/>
              <w:rPr>
                <w:sz w:val="20"/>
                <w:szCs w:val="20"/>
              </w:rPr>
            </w:pPr>
            <w:r w:rsidRPr="0033290F">
              <w:rPr>
                <w:sz w:val="20"/>
                <w:szCs w:val="20"/>
              </w:rPr>
              <w:t>průběžně</w:t>
            </w:r>
          </w:p>
        </w:tc>
      </w:tr>
    </w:tbl>
    <w:p w:rsidR="001B0121" w:rsidRPr="004314F4" w:rsidRDefault="001B0121" w:rsidP="00B66FDE"/>
    <w:p w:rsidR="001B0121" w:rsidRDefault="001B0121" w:rsidP="00165854">
      <w:pPr>
        <w:pStyle w:val="Nadpis6"/>
        <w:rPr>
          <w:rFonts w:eastAsia="Times New Roman"/>
        </w:rPr>
      </w:pPr>
      <w:r w:rsidRPr="001C635F">
        <w:t xml:space="preserve">Specifický cíl 2: </w:t>
      </w:r>
      <w:r w:rsidR="00AC764B" w:rsidRPr="001C635F">
        <w:rPr>
          <w:rFonts w:eastAsia="Times New Roman"/>
        </w:rPr>
        <w:t xml:space="preserve">Zvýšit podíl materiálového </w:t>
      </w:r>
      <w:r w:rsidR="00CC41F6">
        <w:rPr>
          <w:rFonts w:eastAsia="Times New Roman"/>
        </w:rPr>
        <w:t>a energetického</w:t>
      </w:r>
      <w:r w:rsidR="00CC41F6" w:rsidRPr="001C635F">
        <w:rPr>
          <w:rFonts w:eastAsia="Times New Roman"/>
        </w:rPr>
        <w:t xml:space="preserve"> </w:t>
      </w:r>
      <w:r w:rsidR="00AC764B" w:rsidRPr="001C635F">
        <w:rPr>
          <w:rFonts w:eastAsia="Times New Roman"/>
        </w:rPr>
        <w:t>využití odpadů</w:t>
      </w:r>
    </w:p>
    <w:p w:rsidR="00015136" w:rsidRDefault="00467628" w:rsidP="00015136">
      <w:r>
        <w:t xml:space="preserve">Evropské („Evropa 2020“, Tematická strategie pro odpady) i národní (Politika druhotných surovin) strategie v oblasti využívání surovin kladou důraz na snižování závislosti výrobních procesů na primárních surovinách a jejich nahrazování surovinami získanými z odpadů. </w:t>
      </w:r>
      <w:r w:rsidR="00015136">
        <w:t>Mělo by být podporováno používání recyklovatelných materiálů, a pokud je to možné, nemělo by být podporováno skládkování nebo spalování těchto recyklovatelných materiálů (recitál 29 směrnice o odpadech). Čl. 11 směrnice o odpadech ukládá členským státům zvýšit do roku 2020 nejméně na 50 % hmotnosti celkovou úroveň přípravy k opětovnému použití a recyklace alespoň u odpadů z materiálů, jako jsou papír kov, plast a sklo, pocházejících z domácností a</w:t>
      </w:r>
      <w:r w:rsidR="0015404C">
        <w:t> </w:t>
      </w:r>
      <w:r w:rsidR="00015136">
        <w:t>u</w:t>
      </w:r>
      <w:r w:rsidR="0015404C">
        <w:t> </w:t>
      </w:r>
      <w:r w:rsidR="00015136">
        <w:t xml:space="preserve">odpadů podobným odpadům z domácností. </w:t>
      </w:r>
    </w:p>
    <w:p w:rsidR="00015136" w:rsidRDefault="00015136" w:rsidP="00015136">
      <w:r>
        <w:t>Prioritní podpora materiálového využití odpadů přispěje k plně</w:t>
      </w:r>
      <w:r w:rsidR="004E7555">
        <w:t>ní výše uvedené povinnosti a ke </w:t>
      </w:r>
      <w:r>
        <w:t>snížení spotřeby primárních zdrojů. Smyslem tohoto SC je dosažení zvýšení podílu využívaných odpadů na základě podpory odděleného sběru odpadů, budovaní třídících linek a zařízení na</w:t>
      </w:r>
      <w:r w:rsidR="0015404C">
        <w:t> </w:t>
      </w:r>
      <w:r>
        <w:t>recyklaci odpadů a systémů na podporu odděleně sbíraných a následně využívaných specifických druhů odpadů (papír, plast, sklo, BRKO a kovy).</w:t>
      </w:r>
    </w:p>
    <w:p w:rsidR="00912813" w:rsidRPr="004314F4" w:rsidRDefault="00CC41F6" w:rsidP="00B66FDE">
      <w:r w:rsidRPr="008A6ACA">
        <w:t>Energetické využití</w:t>
      </w:r>
      <w:r>
        <w:t xml:space="preserve"> odpadů</w:t>
      </w:r>
      <w:r w:rsidRPr="008A6ACA">
        <w:t xml:space="preserve"> by mělo být podporováno zejména v případě</w:t>
      </w:r>
      <w:r w:rsidR="00015136">
        <w:t xml:space="preserve"> SKO</w:t>
      </w:r>
      <w:r w:rsidRPr="008A6ACA">
        <w:t xml:space="preserve">, který </w:t>
      </w:r>
      <w:r w:rsidR="004E7555">
        <w:t>zůstane po </w:t>
      </w:r>
      <w:r w:rsidR="00BB6AD6" w:rsidRPr="008A6ACA">
        <w:t xml:space="preserve">separaci recyklovatelných </w:t>
      </w:r>
      <w:r w:rsidR="00BB6AD6">
        <w:t xml:space="preserve">a využitelných </w:t>
      </w:r>
      <w:r w:rsidR="00BB6AD6" w:rsidRPr="008A6ACA">
        <w:t>složek</w:t>
      </w:r>
      <w:r w:rsidR="00BB6AD6">
        <w:t>. Tento odpad není dále</w:t>
      </w:r>
      <w:r w:rsidR="00BB6AD6" w:rsidRPr="008A6ACA">
        <w:t xml:space="preserve"> materiálově využitelný </w:t>
      </w:r>
      <w:r w:rsidR="00BB6AD6">
        <w:t>(</w:t>
      </w:r>
      <w:r w:rsidR="00BB6AD6" w:rsidRPr="008A6ACA">
        <w:t>znečištění</w:t>
      </w:r>
      <w:r w:rsidR="00BB6AD6">
        <w:t xml:space="preserve">, </w:t>
      </w:r>
      <w:r w:rsidR="00BB6AD6" w:rsidRPr="008A6ACA">
        <w:t>kontaminac</w:t>
      </w:r>
      <w:r w:rsidR="00BB6AD6">
        <w:t>e), nicméně nemusí být ukládán nadměrně na skládky, jak je tomu v ČR doposud.</w:t>
      </w:r>
      <w:r w:rsidR="00BB6AD6" w:rsidRPr="008A6ACA">
        <w:t xml:space="preserve"> Energetickým využitím odpadu se </w:t>
      </w:r>
      <w:r w:rsidR="00BB6AD6">
        <w:t xml:space="preserve">omezí skládkování </w:t>
      </w:r>
      <w:r w:rsidR="00BB6AD6" w:rsidRPr="008A6ACA">
        <w:t>a</w:t>
      </w:r>
      <w:r w:rsidR="00BB6AD6">
        <w:t xml:space="preserve"> rovněž dojde k úspoře primárních surovin</w:t>
      </w:r>
      <w:r w:rsidR="00BB6AD6" w:rsidRPr="008A6ACA">
        <w:t xml:space="preserve">. </w:t>
      </w:r>
    </w:p>
    <w:p w:rsidR="00912813" w:rsidRPr="004314F4" w:rsidRDefault="00912813" w:rsidP="000C33A9">
      <w:pPr>
        <w:spacing w:after="0" w:afterAutospacing="0"/>
        <w:rPr>
          <w:rFonts w:cs="Arial"/>
          <w:szCs w:val="24"/>
        </w:rPr>
      </w:pPr>
      <w:r w:rsidRPr="004314F4">
        <w:rPr>
          <w:rFonts w:cs="Arial"/>
          <w:szCs w:val="24"/>
        </w:rPr>
        <w:lastRenderedPageBreak/>
        <w:t>Mezi hlavní cíle patří:</w:t>
      </w:r>
    </w:p>
    <w:p w:rsidR="00912813" w:rsidRPr="009F4BA6" w:rsidRDefault="000C33A9" w:rsidP="00495FC1">
      <w:pPr>
        <w:pStyle w:val="Odstavecseseznamem"/>
        <w:numPr>
          <w:ilvl w:val="0"/>
          <w:numId w:val="15"/>
        </w:numPr>
        <w:spacing w:after="0" w:afterAutospacing="0"/>
        <w:rPr>
          <w:rFonts w:cs="Arial"/>
          <w:szCs w:val="24"/>
        </w:rPr>
      </w:pPr>
      <w:r>
        <w:rPr>
          <w:rFonts w:cs="Arial"/>
          <w:szCs w:val="24"/>
        </w:rPr>
        <w:t>p</w:t>
      </w:r>
      <w:r w:rsidR="00912813" w:rsidRPr="009F4BA6">
        <w:rPr>
          <w:rFonts w:cs="Arial"/>
          <w:szCs w:val="24"/>
        </w:rPr>
        <w:t xml:space="preserve">odporovat způsoby nakládání s odpady, které využívají odpad jako zdroj </w:t>
      </w:r>
      <w:r w:rsidR="00136556" w:rsidRPr="009F4BA6">
        <w:rPr>
          <w:rFonts w:cs="Arial"/>
          <w:szCs w:val="24"/>
        </w:rPr>
        <w:t>druhotných surovin</w:t>
      </w:r>
      <w:r>
        <w:rPr>
          <w:rFonts w:cs="Arial"/>
          <w:szCs w:val="24"/>
        </w:rPr>
        <w:t>,</w:t>
      </w:r>
    </w:p>
    <w:p w:rsidR="00912813" w:rsidRPr="009F4BA6" w:rsidRDefault="000C33A9" w:rsidP="00495FC1">
      <w:pPr>
        <w:pStyle w:val="Odstavecseseznamem"/>
        <w:numPr>
          <w:ilvl w:val="0"/>
          <w:numId w:val="15"/>
        </w:numPr>
        <w:rPr>
          <w:rFonts w:cs="Arial"/>
          <w:szCs w:val="24"/>
        </w:rPr>
      </w:pPr>
      <w:r>
        <w:rPr>
          <w:rFonts w:cs="Arial"/>
          <w:szCs w:val="24"/>
        </w:rPr>
        <w:t>p</w:t>
      </w:r>
      <w:r w:rsidR="00912813" w:rsidRPr="009F4BA6">
        <w:rPr>
          <w:rFonts w:cs="Arial"/>
          <w:szCs w:val="24"/>
        </w:rPr>
        <w:t xml:space="preserve">odporovat </w:t>
      </w:r>
      <w:r w:rsidR="00C74BB1">
        <w:rPr>
          <w:rFonts w:cs="Arial"/>
          <w:szCs w:val="24"/>
        </w:rPr>
        <w:t xml:space="preserve">přípravu k recyklaci odpadu a </w:t>
      </w:r>
      <w:r w:rsidR="00912813" w:rsidRPr="009F4BA6">
        <w:rPr>
          <w:rFonts w:cs="Arial"/>
          <w:szCs w:val="24"/>
        </w:rPr>
        <w:t>nakládání s odpady, které vede ke zvýšení ekonomické hodnoty odpadu</w:t>
      </w:r>
      <w:r>
        <w:rPr>
          <w:rFonts w:cs="Arial"/>
          <w:szCs w:val="24"/>
        </w:rPr>
        <w:t>,</w:t>
      </w:r>
    </w:p>
    <w:p w:rsidR="00912813" w:rsidRPr="009F4BA6" w:rsidRDefault="000C33A9" w:rsidP="00495FC1">
      <w:pPr>
        <w:pStyle w:val="Odstavecseseznamem"/>
        <w:numPr>
          <w:ilvl w:val="0"/>
          <w:numId w:val="15"/>
        </w:numPr>
        <w:rPr>
          <w:rFonts w:cs="Arial"/>
          <w:bCs/>
          <w:szCs w:val="24"/>
        </w:rPr>
      </w:pPr>
      <w:r>
        <w:rPr>
          <w:rFonts w:cs="Arial"/>
          <w:bCs/>
          <w:szCs w:val="24"/>
        </w:rPr>
        <w:t>o</w:t>
      </w:r>
      <w:r w:rsidR="00C74BB1">
        <w:rPr>
          <w:rFonts w:cs="Arial"/>
          <w:bCs/>
          <w:szCs w:val="24"/>
        </w:rPr>
        <w:t xml:space="preserve">mezit množství BRKO ukládaných na skládky tak, aby byl dosažen cíl stanovený pro rok </w:t>
      </w:r>
      <w:r w:rsidR="00912813" w:rsidRPr="009F4BA6">
        <w:rPr>
          <w:rFonts w:cs="Arial"/>
          <w:bCs/>
          <w:szCs w:val="24"/>
        </w:rPr>
        <w:t>2020 směrnicí 1999/31/ES</w:t>
      </w:r>
      <w:r>
        <w:rPr>
          <w:rFonts w:cs="Arial"/>
          <w:bCs/>
          <w:szCs w:val="24"/>
        </w:rPr>
        <w:t>,</w:t>
      </w:r>
      <w:r w:rsidR="00912813" w:rsidRPr="009F4BA6">
        <w:rPr>
          <w:rFonts w:cs="Arial"/>
          <w:bCs/>
          <w:szCs w:val="24"/>
        </w:rPr>
        <w:t xml:space="preserve"> </w:t>
      </w:r>
    </w:p>
    <w:p w:rsidR="0042000C" w:rsidRPr="009F4BA6" w:rsidRDefault="000C33A9" w:rsidP="00495FC1">
      <w:pPr>
        <w:pStyle w:val="Odstavecseseznamem"/>
        <w:numPr>
          <w:ilvl w:val="0"/>
          <w:numId w:val="15"/>
        </w:numPr>
        <w:rPr>
          <w:rFonts w:cs="Arial"/>
          <w:szCs w:val="24"/>
        </w:rPr>
      </w:pPr>
      <w:r>
        <w:rPr>
          <w:rFonts w:cs="Arial"/>
          <w:szCs w:val="24"/>
        </w:rPr>
        <w:t>z</w:t>
      </w:r>
      <w:r w:rsidR="00EF0ECE" w:rsidRPr="009F4BA6">
        <w:rPr>
          <w:rFonts w:cs="Arial"/>
          <w:szCs w:val="24"/>
        </w:rPr>
        <w:t xml:space="preserve">výšit energetické využití odpadů zejm. </w:t>
      </w:r>
      <w:r w:rsidR="00A77EA9">
        <w:rPr>
          <w:rFonts w:cs="Arial"/>
          <w:szCs w:val="24"/>
        </w:rPr>
        <w:t>SKO</w:t>
      </w:r>
      <w:r w:rsidR="003D634A">
        <w:rPr>
          <w:rFonts w:cs="Arial"/>
          <w:szCs w:val="24"/>
        </w:rPr>
        <w:t xml:space="preserve"> </w:t>
      </w:r>
      <w:r w:rsidR="00467628" w:rsidRPr="0014111F">
        <w:rPr>
          <w:rFonts w:cs="Arial"/>
          <w:szCs w:val="24"/>
        </w:rPr>
        <w:t>a jim podobných odpadů od ostatních původců</w:t>
      </w:r>
      <w:r w:rsidR="00467628">
        <w:rPr>
          <w:rFonts w:cs="Arial"/>
          <w:szCs w:val="24"/>
        </w:rPr>
        <w:t xml:space="preserve"> </w:t>
      </w:r>
      <w:r w:rsidR="00467628" w:rsidRPr="0014111F">
        <w:rPr>
          <w:rFonts w:cs="Arial"/>
          <w:szCs w:val="24"/>
        </w:rPr>
        <w:t>(po vytřídění materiálově využitelných složek, nebezpečných složek a</w:t>
      </w:r>
      <w:r w:rsidR="004E7555">
        <w:rPr>
          <w:rFonts w:cs="Arial"/>
          <w:szCs w:val="24"/>
        </w:rPr>
        <w:t xml:space="preserve"> </w:t>
      </w:r>
      <w:r w:rsidR="003D634A">
        <w:rPr>
          <w:rFonts w:cs="Arial"/>
          <w:szCs w:val="24"/>
        </w:rPr>
        <w:t>BRO</w:t>
      </w:r>
      <w:r w:rsidR="00467628" w:rsidRPr="0014111F">
        <w:rPr>
          <w:rFonts w:cs="Arial"/>
          <w:szCs w:val="24"/>
        </w:rPr>
        <w:t>)</w:t>
      </w:r>
      <w:r w:rsidR="00EF0ECE" w:rsidRPr="009F4BA6">
        <w:rPr>
          <w:rFonts w:cs="Arial"/>
          <w:szCs w:val="24"/>
        </w:rPr>
        <w:br/>
        <w:t>v zařízeních k tomu určených</w:t>
      </w:r>
      <w:r>
        <w:rPr>
          <w:rFonts w:cs="Arial"/>
          <w:szCs w:val="24"/>
        </w:rPr>
        <w:t>,</w:t>
      </w:r>
      <w:r w:rsidR="00EF0ECE" w:rsidRPr="009F4BA6">
        <w:rPr>
          <w:rFonts w:cs="Arial"/>
          <w:szCs w:val="24"/>
        </w:rPr>
        <w:t xml:space="preserve"> </w:t>
      </w:r>
    </w:p>
    <w:p w:rsidR="00A74522" w:rsidRDefault="000C33A9" w:rsidP="00495FC1">
      <w:pPr>
        <w:pStyle w:val="Odstavecseseznamem"/>
        <w:numPr>
          <w:ilvl w:val="0"/>
          <w:numId w:val="15"/>
        </w:numPr>
        <w:rPr>
          <w:rFonts w:cs="Arial"/>
          <w:szCs w:val="24"/>
        </w:rPr>
      </w:pPr>
      <w:r>
        <w:rPr>
          <w:rFonts w:cs="Arial"/>
          <w:szCs w:val="24"/>
        </w:rPr>
        <w:t>p</w:t>
      </w:r>
      <w:r w:rsidR="00EF0ECE" w:rsidRPr="009F4BA6">
        <w:rPr>
          <w:rFonts w:cs="Arial"/>
          <w:szCs w:val="24"/>
        </w:rPr>
        <w:t xml:space="preserve">odporovat bezpečné </w:t>
      </w:r>
      <w:proofErr w:type="spellStart"/>
      <w:r w:rsidR="00EF0ECE" w:rsidRPr="009F4BA6">
        <w:rPr>
          <w:rFonts w:cs="Arial"/>
          <w:szCs w:val="24"/>
        </w:rPr>
        <w:t>spoluspalování</w:t>
      </w:r>
      <w:proofErr w:type="spellEnd"/>
      <w:r w:rsidR="00EF0ECE" w:rsidRPr="009F4BA6">
        <w:rPr>
          <w:rFonts w:cs="Arial"/>
          <w:szCs w:val="24"/>
        </w:rPr>
        <w:t xml:space="preserve"> odpadů, které nebude zátěží </w:t>
      </w:r>
      <w:r w:rsidR="003D634A">
        <w:rPr>
          <w:rFonts w:cs="Arial"/>
          <w:szCs w:val="24"/>
        </w:rPr>
        <w:t xml:space="preserve">ŽP </w:t>
      </w:r>
      <w:r w:rsidR="004E7555">
        <w:rPr>
          <w:rFonts w:cs="Arial"/>
          <w:szCs w:val="24"/>
        </w:rPr>
        <w:t>v regionu a </w:t>
      </w:r>
      <w:r w:rsidR="00EF0ECE" w:rsidRPr="009F4BA6">
        <w:rPr>
          <w:rFonts w:cs="Arial"/>
          <w:szCs w:val="24"/>
        </w:rPr>
        <w:t>zabezpe</w:t>
      </w:r>
      <w:r w:rsidR="0042000C" w:rsidRPr="009F4BA6">
        <w:rPr>
          <w:rFonts w:cs="Arial"/>
          <w:szCs w:val="24"/>
        </w:rPr>
        <w:t>čí dodávky tepla či energie pro </w:t>
      </w:r>
      <w:r w:rsidR="00EF0ECE" w:rsidRPr="009F4BA6">
        <w:rPr>
          <w:rFonts w:cs="Arial"/>
          <w:szCs w:val="24"/>
        </w:rPr>
        <w:t>občany namísto využívání primárních zdrojů surovin</w:t>
      </w:r>
      <w:r>
        <w:rPr>
          <w:rFonts w:cs="Arial"/>
          <w:szCs w:val="24"/>
        </w:rPr>
        <w:t>,</w:t>
      </w:r>
    </w:p>
    <w:p w:rsidR="00674BC9" w:rsidRDefault="000C33A9" w:rsidP="00495FC1">
      <w:pPr>
        <w:pStyle w:val="Odstavecseseznamem"/>
        <w:numPr>
          <w:ilvl w:val="0"/>
          <w:numId w:val="60"/>
        </w:numPr>
        <w:autoSpaceDE w:val="0"/>
        <w:autoSpaceDN w:val="0"/>
        <w:adjustRightInd w:val="0"/>
        <w:spacing w:after="0" w:afterAutospacing="0" w:line="240" w:lineRule="auto"/>
        <w:rPr>
          <w:rFonts w:cs="Arial"/>
          <w:szCs w:val="24"/>
        </w:rPr>
      </w:pPr>
      <w:r>
        <w:rPr>
          <w:rFonts w:cs="Arial"/>
          <w:szCs w:val="24"/>
        </w:rPr>
        <w:t>n</w:t>
      </w:r>
      <w:r w:rsidR="00483DAA" w:rsidRPr="004314F4">
        <w:rPr>
          <w:rFonts w:cs="Arial"/>
          <w:szCs w:val="24"/>
        </w:rPr>
        <w:t>aplnit požadavky</w:t>
      </w:r>
      <w:r w:rsidR="00122E44">
        <w:rPr>
          <w:rFonts w:cs="Arial"/>
          <w:szCs w:val="24"/>
        </w:rPr>
        <w:t xml:space="preserve"> a cíle stanovené ve směrnicích EU</w:t>
      </w:r>
      <w:r>
        <w:rPr>
          <w:rFonts w:cs="Arial"/>
          <w:szCs w:val="24"/>
        </w:rPr>
        <w:t xml:space="preserve"> </w:t>
      </w:r>
      <w:r w:rsidR="00122E44">
        <w:rPr>
          <w:rFonts w:cs="Arial"/>
          <w:szCs w:val="24"/>
        </w:rPr>
        <w:t>(viz příloha č. 1) pro recyklaci a</w:t>
      </w:r>
      <w:r w:rsidR="00732AA1">
        <w:rPr>
          <w:rFonts w:cs="Arial"/>
          <w:szCs w:val="24"/>
        </w:rPr>
        <w:t> </w:t>
      </w:r>
      <w:r w:rsidR="00122E44">
        <w:rPr>
          <w:rFonts w:cs="Arial"/>
          <w:szCs w:val="24"/>
        </w:rPr>
        <w:t>využití odpadů</w:t>
      </w:r>
      <w:r w:rsidR="00AE3439">
        <w:rPr>
          <w:rFonts w:cs="Arial"/>
          <w:szCs w:val="24"/>
        </w:rPr>
        <w:t>.</w:t>
      </w:r>
      <w:r w:rsidR="00483DAA" w:rsidRPr="004314F4">
        <w:rPr>
          <w:rFonts w:cs="Arial"/>
          <w:szCs w:val="24"/>
        </w:rPr>
        <w:t xml:space="preserve"> </w:t>
      </w:r>
    </w:p>
    <w:p w:rsidR="00674BC9" w:rsidRDefault="00674BC9">
      <w:pPr>
        <w:autoSpaceDE w:val="0"/>
        <w:autoSpaceDN w:val="0"/>
        <w:adjustRightInd w:val="0"/>
        <w:spacing w:after="0" w:afterAutospacing="0" w:line="240" w:lineRule="auto"/>
        <w:rPr>
          <w:rFonts w:cs="Arial"/>
          <w:szCs w:val="24"/>
        </w:rPr>
      </w:pPr>
    </w:p>
    <w:p w:rsidR="00912813" w:rsidRPr="00165854" w:rsidRDefault="00912813" w:rsidP="000C33A9">
      <w:pPr>
        <w:spacing w:after="0" w:afterAutospacing="0"/>
        <w:rPr>
          <w:b/>
          <w:i/>
        </w:rPr>
      </w:pPr>
      <w:bookmarkStart w:id="2422" w:name="_Toc384907391"/>
      <w:r w:rsidRPr="00165854">
        <w:rPr>
          <w:b/>
        </w:rPr>
        <w:t>Stav, který by měl být dosažen k r. 2020</w:t>
      </w:r>
      <w:r w:rsidRPr="00165854">
        <w:rPr>
          <w:b/>
          <w:i/>
        </w:rPr>
        <w:t>:</w:t>
      </w:r>
      <w:bookmarkEnd w:id="2422"/>
    </w:p>
    <w:p w:rsidR="006F7D80" w:rsidRDefault="000C33A9" w:rsidP="00495FC1">
      <w:pPr>
        <w:pStyle w:val="Odstavecseseznamem"/>
        <w:numPr>
          <w:ilvl w:val="0"/>
          <w:numId w:val="16"/>
        </w:numPr>
        <w:spacing w:after="0" w:afterAutospacing="0"/>
      </w:pPr>
      <w:r>
        <w:t>k</w:t>
      </w:r>
      <w:r w:rsidR="00912813" w:rsidRPr="004314F4">
        <w:t>valitní recyklace a maximální využití odpadů</w:t>
      </w:r>
      <w:r>
        <w:t>,</w:t>
      </w:r>
    </w:p>
    <w:p w:rsidR="006F7D80" w:rsidRDefault="000C33A9" w:rsidP="00495FC1">
      <w:pPr>
        <w:pStyle w:val="Odstavecseseznamem"/>
        <w:numPr>
          <w:ilvl w:val="0"/>
          <w:numId w:val="16"/>
        </w:numPr>
      </w:pPr>
      <w:r>
        <w:t>p</w:t>
      </w:r>
      <w:r w:rsidR="00912813" w:rsidRPr="004314F4">
        <w:t>ovinné zavedení tříděného sběru pro odpady z: papíru, kovu, plastu</w:t>
      </w:r>
      <w:r w:rsidR="00EF0ECE">
        <w:t>,</w:t>
      </w:r>
      <w:r w:rsidR="00912813" w:rsidRPr="004314F4">
        <w:t xml:space="preserve"> </w:t>
      </w:r>
      <w:r w:rsidR="00912813" w:rsidRPr="004314F4">
        <w:br/>
        <w:t xml:space="preserve"> skla</w:t>
      </w:r>
      <w:r w:rsidR="00EF0ECE">
        <w:t xml:space="preserve"> a BRKO</w:t>
      </w:r>
      <w:r>
        <w:t>,</w:t>
      </w:r>
    </w:p>
    <w:p w:rsidR="006F7D80" w:rsidRDefault="000C33A9" w:rsidP="00495FC1">
      <w:pPr>
        <w:pStyle w:val="Odstavecseseznamem"/>
        <w:numPr>
          <w:ilvl w:val="0"/>
          <w:numId w:val="16"/>
        </w:numPr>
      </w:pPr>
      <w:r>
        <w:t>z</w:t>
      </w:r>
      <w:r w:rsidR="00AE3439">
        <w:t>lepšení</w:t>
      </w:r>
      <w:r w:rsidR="00AE3439" w:rsidRPr="004314F4">
        <w:t xml:space="preserve"> </w:t>
      </w:r>
      <w:r w:rsidR="00912813" w:rsidRPr="004314F4">
        <w:t>odděleného sběru</w:t>
      </w:r>
      <w:r w:rsidR="00AE3439">
        <w:t xml:space="preserve">, </w:t>
      </w:r>
      <w:r w:rsidR="00912813" w:rsidRPr="004314F4">
        <w:t>následn</w:t>
      </w:r>
      <w:r w:rsidR="00AE3439">
        <w:t>é</w:t>
      </w:r>
      <w:r w:rsidR="00912813" w:rsidRPr="004314F4">
        <w:t xml:space="preserve"> recyklace a využití materiálově využitelných složek </w:t>
      </w:r>
      <w:r w:rsidR="009841F3">
        <w:t xml:space="preserve">KO </w:t>
      </w:r>
      <w:r w:rsidR="00912813" w:rsidRPr="004314F4">
        <w:t>a odpadů ostatních původců</w:t>
      </w:r>
      <w:r>
        <w:t>,</w:t>
      </w:r>
    </w:p>
    <w:p w:rsidR="006F7D80" w:rsidRDefault="000C33A9" w:rsidP="00495FC1">
      <w:pPr>
        <w:pStyle w:val="Odstavecseseznamem"/>
        <w:numPr>
          <w:ilvl w:val="0"/>
          <w:numId w:val="16"/>
        </w:numPr>
      </w:pPr>
      <w:r>
        <w:t>z</w:t>
      </w:r>
      <w:r w:rsidR="00912813" w:rsidRPr="004314F4">
        <w:t xml:space="preserve">ajištění dostatečných kapacit pro materiálové využití </w:t>
      </w:r>
      <w:r w:rsidR="009841F3">
        <w:t xml:space="preserve">KO </w:t>
      </w:r>
      <w:r w:rsidR="00912813" w:rsidRPr="004314F4">
        <w:t xml:space="preserve">a </w:t>
      </w:r>
      <w:r w:rsidR="009841F3">
        <w:t xml:space="preserve">SKO </w:t>
      </w:r>
      <w:r w:rsidR="00912813" w:rsidRPr="004314F4">
        <w:t>vznikajících na území obcí a jim podobných odpadů od ostatních původců</w:t>
      </w:r>
      <w:r>
        <w:t>,</w:t>
      </w:r>
    </w:p>
    <w:p w:rsidR="006F7D80" w:rsidRDefault="000C33A9" w:rsidP="00495FC1">
      <w:pPr>
        <w:pStyle w:val="Odstavecseseznamem"/>
        <w:numPr>
          <w:ilvl w:val="0"/>
          <w:numId w:val="16"/>
        </w:numPr>
      </w:pPr>
      <w:r>
        <w:t>z</w:t>
      </w:r>
      <w:r w:rsidR="00912813" w:rsidRPr="004314F4">
        <w:t xml:space="preserve">ajištění nakládání s </w:t>
      </w:r>
      <w:proofErr w:type="gramStart"/>
      <w:r w:rsidR="00912813" w:rsidRPr="004314F4">
        <w:t>BRKO</w:t>
      </w:r>
      <w:proofErr w:type="gramEnd"/>
      <w:r w:rsidR="00912813" w:rsidRPr="004314F4">
        <w:t xml:space="preserve"> zejména</w:t>
      </w:r>
      <w:r w:rsidR="0042000C">
        <w:t xml:space="preserve"> na </w:t>
      </w:r>
      <w:r w:rsidR="00912813" w:rsidRPr="004314F4">
        <w:t>úrovni</w:t>
      </w:r>
      <w:r w:rsidR="000A5754">
        <w:t xml:space="preserve"> obcí </w:t>
      </w:r>
      <w:r w:rsidR="00912813" w:rsidRPr="004314F4">
        <w:t>a to od sběru až po konečné využit</w:t>
      </w:r>
      <w:r w:rsidR="0042000C">
        <w:t>í odpadů/výstupních produktů ze </w:t>
      </w:r>
      <w:r w:rsidR="00912813" w:rsidRPr="004314F4">
        <w:t>zařízení</w:t>
      </w:r>
      <w:r>
        <w:t>,</w:t>
      </w:r>
    </w:p>
    <w:p w:rsidR="006F7D80" w:rsidRDefault="000C33A9" w:rsidP="00495FC1">
      <w:pPr>
        <w:pStyle w:val="Odstavecseseznamem"/>
        <w:numPr>
          <w:ilvl w:val="0"/>
          <w:numId w:val="16"/>
        </w:numPr>
      </w:pPr>
      <w:r>
        <w:t>o</w:t>
      </w:r>
      <w:r w:rsidR="00912813" w:rsidRPr="004314F4">
        <w:t xml:space="preserve">ptimalizace nakládání s </w:t>
      </w:r>
      <w:proofErr w:type="gramStart"/>
      <w:r w:rsidR="00912813" w:rsidRPr="004314F4">
        <w:t>BRKO</w:t>
      </w:r>
      <w:proofErr w:type="gramEnd"/>
      <w:r w:rsidR="00912813" w:rsidRPr="004314F4">
        <w:t xml:space="preserve"> a ostatním BRO </w:t>
      </w:r>
      <w:r w:rsidR="00AE3439">
        <w:t xml:space="preserve">v </w:t>
      </w:r>
      <w:r w:rsidR="00912813" w:rsidRPr="004314F4">
        <w:t>ČR</w:t>
      </w:r>
      <w:r>
        <w:t>,</w:t>
      </w:r>
      <w:r w:rsidR="00912813" w:rsidRPr="004314F4">
        <w:t xml:space="preserve"> </w:t>
      </w:r>
    </w:p>
    <w:p w:rsidR="006F7D80" w:rsidRDefault="000C33A9" w:rsidP="00495FC1">
      <w:pPr>
        <w:pStyle w:val="Odstavecseseznamem"/>
        <w:numPr>
          <w:ilvl w:val="0"/>
          <w:numId w:val="16"/>
        </w:numPr>
      </w:pPr>
      <w:r>
        <w:t>m</w:t>
      </w:r>
      <w:r w:rsidR="00AE3439">
        <w:t>odernizace stávající a výstavba nové infrastruktury odpadového hospodářství</w:t>
      </w:r>
      <w:r>
        <w:t>,</w:t>
      </w:r>
    </w:p>
    <w:p w:rsidR="006F7D80" w:rsidRDefault="000C33A9" w:rsidP="00495FC1">
      <w:pPr>
        <w:pStyle w:val="Odstavecseseznamem"/>
        <w:numPr>
          <w:ilvl w:val="0"/>
          <w:numId w:val="16"/>
        </w:numPr>
      </w:pPr>
      <w:r>
        <w:t>z</w:t>
      </w:r>
      <w:r w:rsidR="00EF0ECE">
        <w:t>výšení množství energeticky využitých</w:t>
      </w:r>
      <w:r w:rsidR="00CE0320">
        <w:t xml:space="preserve"> odpadů</w:t>
      </w:r>
      <w:r w:rsidR="00EF0ECE">
        <w:t xml:space="preserve"> zejm. </w:t>
      </w:r>
      <w:r w:rsidR="005F7405">
        <w:t xml:space="preserve">SKO </w:t>
      </w:r>
      <w:r w:rsidR="00AE4BBC">
        <w:t>a jim podobných odpadů od </w:t>
      </w:r>
      <w:r w:rsidR="00CE0320">
        <w:t xml:space="preserve">ostatních původců </w:t>
      </w:r>
      <w:r w:rsidR="00CE0320" w:rsidRPr="0049759B">
        <w:rPr>
          <w:rFonts w:ascii="Calibri" w:hAnsi="Calibri" w:cstheme="minorHAnsi"/>
          <w:bCs/>
          <w:color w:val="000000"/>
          <w:szCs w:val="24"/>
        </w:rPr>
        <w:t>(</w:t>
      </w:r>
      <w:r w:rsidR="00CE0320" w:rsidRPr="0049759B">
        <w:t>po</w:t>
      </w:r>
      <w:r w:rsidR="00CE0320" w:rsidRPr="003F75DD">
        <w:t xml:space="preserve"> vytřídění materiálově využitelných složek,</w:t>
      </w:r>
      <w:r w:rsidR="00CE0320">
        <w:t xml:space="preserve"> </w:t>
      </w:r>
      <w:r w:rsidR="00AE4BBC">
        <w:t>nebezpečných </w:t>
      </w:r>
      <w:r w:rsidR="00CE0320" w:rsidRPr="003F75DD">
        <w:t>složek a</w:t>
      </w:r>
      <w:r w:rsidR="00AE4BBC">
        <w:t xml:space="preserve"> </w:t>
      </w:r>
      <w:proofErr w:type="gramStart"/>
      <w:r w:rsidR="00757A1E">
        <w:t>BRO</w:t>
      </w:r>
      <w:r w:rsidR="00CE0320" w:rsidRPr="0062360E">
        <w:t>)</w:t>
      </w:r>
      <w:r w:rsidR="00CE0320" w:rsidRPr="0062360E">
        <w:rPr>
          <w:rFonts w:ascii="Calibri" w:hAnsi="Calibri" w:cstheme="minorHAnsi"/>
          <w:b/>
          <w:bCs/>
          <w:color w:val="000000"/>
          <w:szCs w:val="24"/>
        </w:rPr>
        <w:t xml:space="preserve"> </w:t>
      </w:r>
      <w:r w:rsidR="00EF0ECE">
        <w:t>(v</w:t>
      </w:r>
      <w:r w:rsidR="008E6B35">
        <w:t> </w:t>
      </w:r>
      <w:r w:rsidR="00EF0ECE">
        <w:t>zařízeních</w:t>
      </w:r>
      <w:proofErr w:type="gramEnd"/>
      <w:r w:rsidR="00EF0ECE">
        <w:t xml:space="preserve"> k tomu určených</w:t>
      </w:r>
      <w:r>
        <w:t>,</w:t>
      </w:r>
      <w:r w:rsidR="00EF0ECE">
        <w:t xml:space="preserve"> </w:t>
      </w:r>
    </w:p>
    <w:p w:rsidR="006F7D80" w:rsidRDefault="000C33A9" w:rsidP="00495FC1">
      <w:pPr>
        <w:pStyle w:val="Odstavecseseznamem"/>
        <w:numPr>
          <w:ilvl w:val="0"/>
          <w:numId w:val="16"/>
        </w:numPr>
      </w:pPr>
      <w:r>
        <w:t>r</w:t>
      </w:r>
      <w:r w:rsidR="00572A22">
        <w:t>ealizace</w:t>
      </w:r>
      <w:r w:rsidR="00EF0ECE">
        <w:t xml:space="preserve"> nových zařízení k energetickému využití odpadů </w:t>
      </w:r>
      <w:r w:rsidR="0042000C">
        <w:t>a související infrastruktury</w:t>
      </w:r>
      <w:r>
        <w:t>,</w:t>
      </w:r>
    </w:p>
    <w:p w:rsidR="006F7D80" w:rsidRDefault="000C33A9" w:rsidP="00495FC1">
      <w:pPr>
        <w:pStyle w:val="Odstavecseseznamem"/>
        <w:numPr>
          <w:ilvl w:val="0"/>
          <w:numId w:val="16"/>
        </w:numPr>
      </w:pPr>
      <w:r>
        <w:t>r</w:t>
      </w:r>
      <w:r w:rsidR="008F73F0">
        <w:t>ealizace</w:t>
      </w:r>
      <w:r w:rsidR="00EF0ECE">
        <w:t xml:space="preserve"> zařízení pro termické zpracování kalů a výstavby bioplynových</w:t>
      </w:r>
      <w:r w:rsidR="008F73F0">
        <w:t xml:space="preserve"> </w:t>
      </w:r>
      <w:r w:rsidR="00EF0ECE">
        <w:t>a</w:t>
      </w:r>
      <w:r>
        <w:t> </w:t>
      </w:r>
      <w:proofErr w:type="spellStart"/>
      <w:r w:rsidR="00EF0ECE">
        <w:t>biofermentačních</w:t>
      </w:r>
      <w:proofErr w:type="spellEnd"/>
      <w:r w:rsidR="00EF0ECE">
        <w:t xml:space="preserve"> stanic pro zpracování bioodpadů.</w:t>
      </w:r>
    </w:p>
    <w:p w:rsidR="00674BC9" w:rsidRDefault="00674BC9">
      <w:pPr>
        <w:pStyle w:val="Odstavecseseznamem"/>
        <w:spacing w:after="0" w:afterAutospacing="0"/>
      </w:pPr>
    </w:p>
    <w:p w:rsidR="00674BC9" w:rsidRDefault="00674BC9">
      <w:pPr>
        <w:pStyle w:val="Odstavecseseznamem"/>
      </w:pPr>
    </w:p>
    <w:p w:rsidR="004B6C19" w:rsidRDefault="004B6C19">
      <w:pPr>
        <w:pStyle w:val="Odstavecseseznamem"/>
      </w:pPr>
    </w:p>
    <w:p w:rsidR="004B6C19" w:rsidRDefault="004B6C19">
      <w:pPr>
        <w:pStyle w:val="Odstavecseseznamem"/>
      </w:pPr>
    </w:p>
    <w:p w:rsidR="004B6C19" w:rsidRDefault="004B6C19">
      <w:pPr>
        <w:pStyle w:val="Odstavecseseznamem"/>
      </w:pPr>
    </w:p>
    <w:p w:rsidR="004B6C19" w:rsidRDefault="004B6C19">
      <w:pPr>
        <w:pStyle w:val="Odstavecseseznamem"/>
      </w:pPr>
    </w:p>
    <w:p w:rsidR="004B6C19" w:rsidRDefault="004B6C19">
      <w:pPr>
        <w:pStyle w:val="Odstavecseseznamem"/>
      </w:pPr>
    </w:p>
    <w:p w:rsidR="004B6C19" w:rsidRDefault="004B6C19">
      <w:pPr>
        <w:pStyle w:val="Odstavecseseznamem"/>
      </w:pPr>
    </w:p>
    <w:p w:rsidR="004B6C19" w:rsidRDefault="004B6C19">
      <w:pPr>
        <w:pStyle w:val="Odstavecseseznamem"/>
      </w:pPr>
    </w:p>
    <w:p w:rsidR="004479EC" w:rsidRPr="004314F4" w:rsidRDefault="004479EC" w:rsidP="00CB78B6">
      <w:pPr>
        <w:pStyle w:val="Titulek"/>
      </w:pPr>
      <w:bookmarkStart w:id="2423" w:name="_Toc384907392"/>
      <w:r w:rsidRPr="004314F4">
        <w:lastRenderedPageBreak/>
        <w:t xml:space="preserve">Specifické </w:t>
      </w:r>
      <w:r w:rsidR="00F64941">
        <w:t>programové ukazatele</w:t>
      </w:r>
      <w:r w:rsidRPr="004314F4">
        <w:t xml:space="preserve"> výsledků pro SC 3.2</w:t>
      </w:r>
      <w:bookmarkEnd w:id="2423"/>
    </w:p>
    <w:tbl>
      <w:tblPr>
        <w:tblStyle w:val="Mkatabulky"/>
        <w:tblW w:w="9072" w:type="dxa"/>
        <w:tblInd w:w="108" w:type="dxa"/>
        <w:tblLayout w:type="fixed"/>
        <w:tblLook w:val="04A0" w:firstRow="1" w:lastRow="0" w:firstColumn="1" w:lastColumn="0" w:noHBand="0" w:noVBand="1"/>
      </w:tblPr>
      <w:tblGrid>
        <w:gridCol w:w="567"/>
        <w:gridCol w:w="1134"/>
        <w:gridCol w:w="851"/>
        <w:gridCol w:w="1134"/>
        <w:gridCol w:w="1134"/>
        <w:gridCol w:w="992"/>
        <w:gridCol w:w="1276"/>
        <w:gridCol w:w="992"/>
        <w:gridCol w:w="992"/>
      </w:tblGrid>
      <w:tr w:rsidR="00F64941" w:rsidRPr="008A17E2" w:rsidTr="00732AA1">
        <w:tc>
          <w:tcPr>
            <w:tcW w:w="567" w:type="dxa"/>
            <w:tcBorders>
              <w:bottom w:val="single" w:sz="12" w:space="0" w:color="auto"/>
            </w:tcBorders>
            <w:shd w:val="clear" w:color="auto" w:fill="BFBFBF" w:themeFill="background1" w:themeFillShade="BF"/>
          </w:tcPr>
          <w:p w:rsidR="00F64941" w:rsidRPr="003A2CB2" w:rsidRDefault="0033290F" w:rsidP="00B66FDE">
            <w:pPr>
              <w:spacing w:line="276" w:lineRule="auto"/>
              <w:rPr>
                <w:b/>
                <w:sz w:val="20"/>
                <w:szCs w:val="20"/>
              </w:rPr>
            </w:pPr>
            <w:r w:rsidRPr="0033290F">
              <w:rPr>
                <w:b/>
                <w:sz w:val="20"/>
                <w:szCs w:val="20"/>
              </w:rPr>
              <w:t xml:space="preserve">ID </w:t>
            </w:r>
          </w:p>
        </w:tc>
        <w:tc>
          <w:tcPr>
            <w:tcW w:w="1134" w:type="dxa"/>
            <w:tcBorders>
              <w:bottom w:val="single" w:sz="12" w:space="0" w:color="auto"/>
            </w:tcBorders>
            <w:shd w:val="clear" w:color="auto" w:fill="BFBFBF" w:themeFill="background1" w:themeFillShade="BF"/>
          </w:tcPr>
          <w:p w:rsidR="00F64941" w:rsidRPr="003A2CB2" w:rsidRDefault="0033290F" w:rsidP="00B66FDE">
            <w:pPr>
              <w:spacing w:line="276" w:lineRule="auto"/>
              <w:rPr>
                <w:b/>
                <w:sz w:val="20"/>
                <w:szCs w:val="20"/>
              </w:rPr>
            </w:pPr>
            <w:r w:rsidRPr="0033290F">
              <w:rPr>
                <w:b/>
                <w:sz w:val="20"/>
                <w:szCs w:val="20"/>
              </w:rPr>
              <w:t>Ukazatel</w:t>
            </w:r>
          </w:p>
        </w:tc>
        <w:tc>
          <w:tcPr>
            <w:tcW w:w="851" w:type="dxa"/>
            <w:tcBorders>
              <w:bottom w:val="single" w:sz="12" w:space="0" w:color="auto"/>
            </w:tcBorders>
            <w:shd w:val="clear" w:color="auto" w:fill="BFBFBF" w:themeFill="background1" w:themeFillShade="BF"/>
          </w:tcPr>
          <w:p w:rsidR="00F64941" w:rsidRPr="003A2CB2" w:rsidRDefault="0033290F" w:rsidP="00B66FDE">
            <w:pPr>
              <w:spacing w:line="276" w:lineRule="auto"/>
              <w:rPr>
                <w:b/>
                <w:sz w:val="20"/>
                <w:szCs w:val="20"/>
              </w:rPr>
            </w:pPr>
            <w:r w:rsidRPr="0033290F">
              <w:rPr>
                <w:b/>
                <w:sz w:val="20"/>
                <w:szCs w:val="20"/>
              </w:rPr>
              <w:t>Měrná jednotka</w:t>
            </w:r>
          </w:p>
        </w:tc>
        <w:tc>
          <w:tcPr>
            <w:tcW w:w="1134" w:type="dxa"/>
            <w:tcBorders>
              <w:bottom w:val="single" w:sz="12" w:space="0" w:color="auto"/>
            </w:tcBorders>
            <w:shd w:val="clear" w:color="auto" w:fill="BFBFBF" w:themeFill="background1" w:themeFillShade="BF"/>
          </w:tcPr>
          <w:p w:rsidR="00F64941" w:rsidRPr="003A2CB2" w:rsidRDefault="0033290F" w:rsidP="00B66FDE">
            <w:pPr>
              <w:spacing w:line="276" w:lineRule="auto"/>
              <w:rPr>
                <w:b/>
                <w:sz w:val="20"/>
                <w:szCs w:val="20"/>
              </w:rPr>
            </w:pPr>
            <w:r w:rsidRPr="0033290F">
              <w:rPr>
                <w:b/>
                <w:sz w:val="20"/>
                <w:szCs w:val="20"/>
              </w:rPr>
              <w:t>Kategorie regionů</w:t>
            </w:r>
          </w:p>
        </w:tc>
        <w:tc>
          <w:tcPr>
            <w:tcW w:w="1134" w:type="dxa"/>
            <w:tcBorders>
              <w:bottom w:val="single" w:sz="12" w:space="0" w:color="auto"/>
            </w:tcBorders>
            <w:shd w:val="clear" w:color="auto" w:fill="BFBFBF" w:themeFill="background1" w:themeFillShade="BF"/>
          </w:tcPr>
          <w:p w:rsidR="00F64941" w:rsidRPr="003A2CB2" w:rsidRDefault="0033290F" w:rsidP="00B66FDE">
            <w:pPr>
              <w:spacing w:line="276" w:lineRule="auto"/>
              <w:rPr>
                <w:b/>
                <w:sz w:val="20"/>
                <w:szCs w:val="20"/>
              </w:rPr>
            </w:pPr>
            <w:r w:rsidRPr="0033290F">
              <w:rPr>
                <w:b/>
                <w:sz w:val="20"/>
                <w:szCs w:val="20"/>
              </w:rPr>
              <w:t>Výchozí hodnota</w:t>
            </w:r>
          </w:p>
        </w:tc>
        <w:tc>
          <w:tcPr>
            <w:tcW w:w="992" w:type="dxa"/>
            <w:tcBorders>
              <w:bottom w:val="single" w:sz="12" w:space="0" w:color="auto"/>
            </w:tcBorders>
            <w:shd w:val="clear" w:color="auto" w:fill="BFBFBF" w:themeFill="background1" w:themeFillShade="BF"/>
          </w:tcPr>
          <w:p w:rsidR="00F64941" w:rsidRPr="003A2CB2" w:rsidRDefault="0033290F" w:rsidP="00B66FDE">
            <w:pPr>
              <w:spacing w:line="276" w:lineRule="auto"/>
              <w:rPr>
                <w:b/>
                <w:sz w:val="20"/>
                <w:szCs w:val="20"/>
              </w:rPr>
            </w:pPr>
            <w:r w:rsidRPr="0033290F">
              <w:rPr>
                <w:b/>
                <w:sz w:val="20"/>
                <w:szCs w:val="20"/>
              </w:rPr>
              <w:t>Výchozí rok</w:t>
            </w:r>
          </w:p>
        </w:tc>
        <w:tc>
          <w:tcPr>
            <w:tcW w:w="1276" w:type="dxa"/>
            <w:tcBorders>
              <w:bottom w:val="single" w:sz="12" w:space="0" w:color="auto"/>
            </w:tcBorders>
            <w:shd w:val="clear" w:color="auto" w:fill="BFBFBF" w:themeFill="background1" w:themeFillShade="BF"/>
          </w:tcPr>
          <w:p w:rsidR="00F64941" w:rsidRPr="003A2CB2" w:rsidRDefault="0033290F" w:rsidP="00B66FDE">
            <w:pPr>
              <w:spacing w:line="276" w:lineRule="auto"/>
              <w:rPr>
                <w:b/>
                <w:sz w:val="20"/>
                <w:szCs w:val="20"/>
              </w:rPr>
            </w:pPr>
            <w:r w:rsidRPr="0033290F">
              <w:rPr>
                <w:b/>
                <w:sz w:val="20"/>
                <w:szCs w:val="20"/>
              </w:rPr>
              <w:t>Cílová hodnota (2023)</w:t>
            </w:r>
          </w:p>
        </w:tc>
        <w:tc>
          <w:tcPr>
            <w:tcW w:w="992" w:type="dxa"/>
            <w:tcBorders>
              <w:bottom w:val="single" w:sz="12" w:space="0" w:color="auto"/>
            </w:tcBorders>
            <w:shd w:val="clear" w:color="auto" w:fill="BFBFBF" w:themeFill="background1" w:themeFillShade="BF"/>
          </w:tcPr>
          <w:p w:rsidR="00F64941" w:rsidRPr="003A2CB2" w:rsidRDefault="0033290F" w:rsidP="00B66FDE">
            <w:pPr>
              <w:spacing w:line="276" w:lineRule="auto"/>
              <w:rPr>
                <w:b/>
                <w:sz w:val="20"/>
                <w:szCs w:val="20"/>
              </w:rPr>
            </w:pPr>
            <w:r w:rsidRPr="0033290F">
              <w:rPr>
                <w:b/>
                <w:sz w:val="20"/>
                <w:szCs w:val="20"/>
              </w:rPr>
              <w:t>Zdroj údajů</w:t>
            </w:r>
          </w:p>
        </w:tc>
        <w:tc>
          <w:tcPr>
            <w:tcW w:w="992" w:type="dxa"/>
            <w:tcBorders>
              <w:bottom w:val="single" w:sz="12" w:space="0" w:color="auto"/>
            </w:tcBorders>
            <w:shd w:val="clear" w:color="auto" w:fill="BFBFBF" w:themeFill="background1" w:themeFillShade="BF"/>
          </w:tcPr>
          <w:p w:rsidR="00F64941" w:rsidRPr="003A2CB2" w:rsidRDefault="0033290F" w:rsidP="00B66FDE">
            <w:pPr>
              <w:spacing w:line="276" w:lineRule="auto"/>
              <w:rPr>
                <w:b/>
                <w:sz w:val="20"/>
                <w:szCs w:val="20"/>
              </w:rPr>
            </w:pPr>
            <w:r w:rsidRPr="0033290F">
              <w:rPr>
                <w:b/>
                <w:sz w:val="20"/>
                <w:szCs w:val="20"/>
              </w:rPr>
              <w:t>Četnost podávání zpráv</w:t>
            </w:r>
          </w:p>
        </w:tc>
      </w:tr>
      <w:tr w:rsidR="00F64941" w:rsidRPr="008A17E2" w:rsidTr="00732AA1">
        <w:tc>
          <w:tcPr>
            <w:tcW w:w="567" w:type="dxa"/>
            <w:tcBorders>
              <w:top w:val="single" w:sz="12" w:space="0" w:color="auto"/>
            </w:tcBorders>
          </w:tcPr>
          <w:p w:rsidR="00F64941" w:rsidRPr="003A2CB2" w:rsidRDefault="006347EE" w:rsidP="006347EE">
            <w:pPr>
              <w:rPr>
                <w:sz w:val="20"/>
                <w:szCs w:val="20"/>
              </w:rPr>
            </w:pPr>
            <w:r>
              <w:rPr>
                <w:sz w:val="20"/>
                <w:szCs w:val="20"/>
              </w:rPr>
              <w:t>4</w:t>
            </w:r>
            <w:r w:rsidRPr="006347EE">
              <w:rPr>
                <w:sz w:val="20"/>
                <w:szCs w:val="20"/>
              </w:rPr>
              <w:t>0105</w:t>
            </w:r>
          </w:p>
        </w:tc>
        <w:tc>
          <w:tcPr>
            <w:tcW w:w="1134" w:type="dxa"/>
            <w:tcBorders>
              <w:top w:val="single" w:sz="12" w:space="0" w:color="auto"/>
            </w:tcBorders>
          </w:tcPr>
          <w:p w:rsidR="00F64941" w:rsidRPr="003A2CB2" w:rsidRDefault="0033290F" w:rsidP="00B66FDE">
            <w:pPr>
              <w:spacing w:line="276" w:lineRule="auto"/>
              <w:rPr>
                <w:bCs/>
                <w:sz w:val="20"/>
                <w:szCs w:val="20"/>
              </w:rPr>
            </w:pPr>
            <w:r w:rsidRPr="0033290F">
              <w:rPr>
                <w:rFonts w:asciiTheme="majorHAnsi" w:eastAsia="Times New Roman" w:hAnsiTheme="majorHAnsi" w:cs="Arial"/>
                <w:color w:val="000000"/>
                <w:sz w:val="20"/>
                <w:szCs w:val="20"/>
              </w:rPr>
              <w:t xml:space="preserve">Navýšení celkového množství materiálově využitého ostatního odpadu </w:t>
            </w:r>
          </w:p>
        </w:tc>
        <w:tc>
          <w:tcPr>
            <w:tcW w:w="851" w:type="dxa"/>
            <w:tcBorders>
              <w:top w:val="single" w:sz="12" w:space="0" w:color="auto"/>
            </w:tcBorders>
          </w:tcPr>
          <w:p w:rsidR="00F64941" w:rsidRPr="003A2CB2" w:rsidRDefault="0033290F" w:rsidP="00B66FDE">
            <w:pPr>
              <w:spacing w:line="276" w:lineRule="auto"/>
              <w:rPr>
                <w:bCs/>
                <w:sz w:val="20"/>
                <w:szCs w:val="20"/>
              </w:rPr>
            </w:pPr>
            <w:r w:rsidRPr="0033290F">
              <w:rPr>
                <w:bCs/>
                <w:sz w:val="20"/>
                <w:szCs w:val="20"/>
              </w:rPr>
              <w:t>t/rok</w:t>
            </w:r>
          </w:p>
        </w:tc>
        <w:tc>
          <w:tcPr>
            <w:tcW w:w="1134" w:type="dxa"/>
            <w:tcBorders>
              <w:top w:val="single" w:sz="12" w:space="0" w:color="auto"/>
            </w:tcBorders>
          </w:tcPr>
          <w:p w:rsidR="00F64941" w:rsidRPr="003A2CB2" w:rsidRDefault="0033290F" w:rsidP="00B66FDE">
            <w:pPr>
              <w:rPr>
                <w:bCs/>
                <w:sz w:val="20"/>
                <w:szCs w:val="20"/>
              </w:rPr>
            </w:pPr>
            <w:r w:rsidRPr="0033290F">
              <w:rPr>
                <w:rFonts w:asciiTheme="majorHAnsi" w:hAnsiTheme="majorHAnsi"/>
                <w:bCs/>
                <w:sz w:val="20"/>
                <w:szCs w:val="20"/>
              </w:rPr>
              <w:t>Není relevantní</w:t>
            </w:r>
          </w:p>
        </w:tc>
        <w:tc>
          <w:tcPr>
            <w:tcW w:w="1134" w:type="dxa"/>
            <w:tcBorders>
              <w:top w:val="single" w:sz="12" w:space="0" w:color="auto"/>
            </w:tcBorders>
          </w:tcPr>
          <w:p w:rsidR="00F64941" w:rsidRPr="003A2CB2" w:rsidRDefault="00F64941" w:rsidP="00B66FDE">
            <w:pPr>
              <w:rPr>
                <w:bCs/>
                <w:sz w:val="20"/>
                <w:szCs w:val="20"/>
              </w:rPr>
            </w:pPr>
            <w:r w:rsidRPr="003A2CB2">
              <w:rPr>
                <w:bCs/>
                <w:sz w:val="20"/>
                <w:szCs w:val="20"/>
              </w:rPr>
              <w:t>22 122 976</w:t>
            </w:r>
          </w:p>
        </w:tc>
        <w:tc>
          <w:tcPr>
            <w:tcW w:w="992" w:type="dxa"/>
            <w:tcBorders>
              <w:top w:val="single" w:sz="12" w:space="0" w:color="auto"/>
            </w:tcBorders>
          </w:tcPr>
          <w:p w:rsidR="00F64941" w:rsidRPr="003A2CB2" w:rsidRDefault="0033290F" w:rsidP="00B66FDE">
            <w:pPr>
              <w:spacing w:line="276" w:lineRule="auto"/>
              <w:rPr>
                <w:sz w:val="20"/>
                <w:szCs w:val="20"/>
              </w:rPr>
            </w:pPr>
            <w:r w:rsidRPr="0033290F">
              <w:rPr>
                <w:sz w:val="20"/>
                <w:szCs w:val="20"/>
              </w:rPr>
              <w:t>2012</w:t>
            </w:r>
          </w:p>
        </w:tc>
        <w:tc>
          <w:tcPr>
            <w:tcW w:w="1276" w:type="dxa"/>
            <w:tcBorders>
              <w:top w:val="single" w:sz="12" w:space="0" w:color="auto"/>
            </w:tcBorders>
          </w:tcPr>
          <w:p w:rsidR="00F64941" w:rsidRPr="003A2CB2" w:rsidRDefault="0033290F" w:rsidP="00B66FDE">
            <w:pPr>
              <w:spacing w:line="276" w:lineRule="auto"/>
              <w:rPr>
                <w:sz w:val="20"/>
                <w:szCs w:val="20"/>
              </w:rPr>
            </w:pPr>
            <w:r w:rsidRPr="0033290F">
              <w:rPr>
                <w:bCs/>
                <w:sz w:val="20"/>
                <w:szCs w:val="20"/>
              </w:rPr>
              <w:t>24 122 976</w:t>
            </w:r>
          </w:p>
        </w:tc>
        <w:tc>
          <w:tcPr>
            <w:tcW w:w="992" w:type="dxa"/>
            <w:tcBorders>
              <w:top w:val="single" w:sz="12" w:space="0" w:color="auto"/>
            </w:tcBorders>
          </w:tcPr>
          <w:p w:rsidR="00F64941" w:rsidRPr="003A2CB2" w:rsidRDefault="0033290F" w:rsidP="00B66FDE">
            <w:pPr>
              <w:spacing w:line="276" w:lineRule="auto"/>
              <w:rPr>
                <w:bCs/>
                <w:sz w:val="20"/>
                <w:szCs w:val="20"/>
              </w:rPr>
            </w:pPr>
            <w:r w:rsidRPr="0033290F">
              <w:rPr>
                <w:bCs/>
                <w:sz w:val="20"/>
                <w:szCs w:val="20"/>
              </w:rPr>
              <w:t>Žadatel/příjemce</w:t>
            </w:r>
          </w:p>
          <w:p w:rsidR="00F64941" w:rsidRPr="003A2CB2" w:rsidRDefault="00F64941" w:rsidP="00B66FDE">
            <w:pPr>
              <w:spacing w:line="276" w:lineRule="auto"/>
              <w:rPr>
                <w:bCs/>
                <w:sz w:val="20"/>
                <w:szCs w:val="20"/>
              </w:rPr>
            </w:pPr>
          </w:p>
        </w:tc>
        <w:tc>
          <w:tcPr>
            <w:tcW w:w="992" w:type="dxa"/>
            <w:tcBorders>
              <w:top w:val="single" w:sz="12" w:space="0" w:color="auto"/>
            </w:tcBorders>
          </w:tcPr>
          <w:p w:rsidR="00F64941" w:rsidRPr="003A2CB2" w:rsidRDefault="0033290F" w:rsidP="00B66FDE">
            <w:pPr>
              <w:spacing w:line="276" w:lineRule="auto"/>
              <w:rPr>
                <w:sz w:val="20"/>
                <w:szCs w:val="20"/>
              </w:rPr>
            </w:pPr>
            <w:r w:rsidRPr="0033290F">
              <w:rPr>
                <w:sz w:val="20"/>
                <w:szCs w:val="20"/>
              </w:rPr>
              <w:t>průběžně</w:t>
            </w:r>
          </w:p>
        </w:tc>
      </w:tr>
      <w:tr w:rsidR="00F64941" w:rsidRPr="008A17E2" w:rsidTr="00732AA1">
        <w:tc>
          <w:tcPr>
            <w:tcW w:w="567" w:type="dxa"/>
          </w:tcPr>
          <w:p w:rsidR="00F64941" w:rsidRPr="003A2CB2" w:rsidRDefault="006347EE" w:rsidP="006347EE">
            <w:pPr>
              <w:spacing w:line="276" w:lineRule="auto"/>
              <w:rPr>
                <w:sz w:val="20"/>
                <w:szCs w:val="20"/>
              </w:rPr>
            </w:pPr>
            <w:r>
              <w:rPr>
                <w:sz w:val="20"/>
                <w:szCs w:val="20"/>
              </w:rPr>
              <w:t>4</w:t>
            </w:r>
            <w:r w:rsidRPr="006347EE">
              <w:rPr>
                <w:sz w:val="20"/>
                <w:szCs w:val="20"/>
              </w:rPr>
              <w:t>0104</w:t>
            </w:r>
          </w:p>
        </w:tc>
        <w:tc>
          <w:tcPr>
            <w:tcW w:w="1134" w:type="dxa"/>
          </w:tcPr>
          <w:p w:rsidR="00F64941" w:rsidRPr="003A2CB2" w:rsidRDefault="0033290F" w:rsidP="000C0987">
            <w:pPr>
              <w:spacing w:line="276" w:lineRule="auto"/>
              <w:rPr>
                <w:bCs/>
                <w:sz w:val="20"/>
                <w:szCs w:val="20"/>
              </w:rPr>
            </w:pPr>
            <w:r w:rsidRPr="0033290F">
              <w:rPr>
                <w:rFonts w:asciiTheme="majorHAnsi" w:eastAsia="Times New Roman" w:hAnsiTheme="majorHAnsi" w:cs="Calibri"/>
                <w:color w:val="000000"/>
                <w:sz w:val="20"/>
                <w:szCs w:val="20"/>
              </w:rPr>
              <w:t xml:space="preserve">Navýšení množství odpadů zpracovaných v  systémech separace a svozu </w:t>
            </w:r>
            <w:r w:rsidR="00925DDB">
              <w:rPr>
                <w:rFonts w:asciiTheme="majorHAnsi" w:eastAsia="Times New Roman" w:hAnsiTheme="majorHAnsi" w:cs="Calibri"/>
                <w:color w:val="000000"/>
                <w:sz w:val="20"/>
                <w:szCs w:val="20"/>
              </w:rPr>
              <w:t xml:space="preserve">všech </w:t>
            </w:r>
            <w:r w:rsidRPr="0033290F">
              <w:rPr>
                <w:rFonts w:asciiTheme="majorHAnsi" w:eastAsia="Times New Roman" w:hAnsiTheme="majorHAnsi" w:cs="Calibri"/>
                <w:color w:val="000000"/>
                <w:sz w:val="20"/>
                <w:szCs w:val="20"/>
              </w:rPr>
              <w:t xml:space="preserve">odpadů </w:t>
            </w:r>
          </w:p>
        </w:tc>
        <w:tc>
          <w:tcPr>
            <w:tcW w:w="851" w:type="dxa"/>
          </w:tcPr>
          <w:p w:rsidR="00F64941" w:rsidRPr="003A2CB2" w:rsidRDefault="0033290F" w:rsidP="00B66FDE">
            <w:pPr>
              <w:spacing w:line="276" w:lineRule="auto"/>
              <w:rPr>
                <w:bCs/>
                <w:sz w:val="20"/>
                <w:szCs w:val="20"/>
              </w:rPr>
            </w:pPr>
            <w:r w:rsidRPr="0033290F">
              <w:rPr>
                <w:bCs/>
                <w:sz w:val="20"/>
                <w:szCs w:val="20"/>
              </w:rPr>
              <w:t>t/rok</w:t>
            </w:r>
          </w:p>
        </w:tc>
        <w:tc>
          <w:tcPr>
            <w:tcW w:w="1134" w:type="dxa"/>
          </w:tcPr>
          <w:p w:rsidR="00F64941" w:rsidRPr="003A2CB2" w:rsidRDefault="0033290F" w:rsidP="00B66FDE">
            <w:pPr>
              <w:rPr>
                <w:rFonts w:eastAsia="Times New Roman" w:cs="Times New Roman"/>
                <w:bCs/>
                <w:sz w:val="20"/>
                <w:szCs w:val="20"/>
                <w:lang w:val="en-GB" w:eastAsia="fr-BE"/>
              </w:rPr>
            </w:pPr>
            <w:r w:rsidRPr="0033290F">
              <w:rPr>
                <w:rFonts w:asciiTheme="majorHAnsi" w:hAnsiTheme="majorHAnsi"/>
                <w:bCs/>
                <w:sz w:val="20"/>
                <w:szCs w:val="20"/>
              </w:rPr>
              <w:t>Není relevantní</w:t>
            </w:r>
          </w:p>
        </w:tc>
        <w:tc>
          <w:tcPr>
            <w:tcW w:w="1134" w:type="dxa"/>
          </w:tcPr>
          <w:p w:rsidR="00F64941" w:rsidRPr="003A2CB2" w:rsidRDefault="00F64941">
            <w:pPr>
              <w:rPr>
                <w:rFonts w:ascii="Times New Roman" w:eastAsia="Times New Roman" w:hAnsi="Times New Roman" w:cs="Times New Roman"/>
                <w:b/>
                <w:bCs/>
                <w:sz w:val="20"/>
                <w:szCs w:val="20"/>
                <w:lang w:val="en-GB" w:eastAsia="fr-BE"/>
              </w:rPr>
            </w:pPr>
            <w:r w:rsidRPr="003A2CB2">
              <w:rPr>
                <w:rFonts w:eastAsia="Times New Roman" w:cs="Times New Roman"/>
                <w:bCs/>
                <w:sz w:val="20"/>
                <w:szCs w:val="20"/>
                <w:lang w:val="en-GB" w:eastAsia="fr-BE"/>
              </w:rPr>
              <w:t>22 </w:t>
            </w:r>
            <w:r w:rsidR="00925DDB">
              <w:rPr>
                <w:rFonts w:eastAsia="Times New Roman" w:cs="Times New Roman"/>
                <w:bCs/>
                <w:sz w:val="20"/>
                <w:szCs w:val="20"/>
                <w:lang w:val="en-GB" w:eastAsia="fr-BE"/>
              </w:rPr>
              <w:t>592 701</w:t>
            </w:r>
          </w:p>
        </w:tc>
        <w:tc>
          <w:tcPr>
            <w:tcW w:w="992" w:type="dxa"/>
          </w:tcPr>
          <w:p w:rsidR="00F64941" w:rsidRPr="003A2CB2" w:rsidRDefault="0033290F" w:rsidP="00B66FDE">
            <w:pPr>
              <w:spacing w:line="276" w:lineRule="auto"/>
              <w:rPr>
                <w:sz w:val="20"/>
                <w:szCs w:val="20"/>
              </w:rPr>
            </w:pPr>
            <w:r w:rsidRPr="0033290F">
              <w:rPr>
                <w:sz w:val="20"/>
                <w:szCs w:val="20"/>
              </w:rPr>
              <w:t>2012</w:t>
            </w:r>
          </w:p>
        </w:tc>
        <w:tc>
          <w:tcPr>
            <w:tcW w:w="1276" w:type="dxa"/>
          </w:tcPr>
          <w:p w:rsidR="00F64941" w:rsidRPr="003A2CB2" w:rsidRDefault="004D77D7" w:rsidP="00B66FDE">
            <w:pPr>
              <w:spacing w:line="276" w:lineRule="auto"/>
              <w:rPr>
                <w:sz w:val="20"/>
                <w:szCs w:val="20"/>
              </w:rPr>
            </w:pPr>
            <w:r>
              <w:rPr>
                <w:sz w:val="20"/>
                <w:szCs w:val="20"/>
              </w:rPr>
              <w:t>22 992 701</w:t>
            </w:r>
          </w:p>
        </w:tc>
        <w:tc>
          <w:tcPr>
            <w:tcW w:w="992" w:type="dxa"/>
          </w:tcPr>
          <w:p w:rsidR="00F64941" w:rsidRPr="003A2CB2" w:rsidRDefault="0033290F" w:rsidP="00B66FDE">
            <w:pPr>
              <w:spacing w:line="276" w:lineRule="auto"/>
              <w:rPr>
                <w:bCs/>
                <w:sz w:val="20"/>
                <w:szCs w:val="20"/>
              </w:rPr>
            </w:pPr>
            <w:r w:rsidRPr="0033290F">
              <w:rPr>
                <w:bCs/>
                <w:sz w:val="20"/>
                <w:szCs w:val="20"/>
              </w:rPr>
              <w:t>Žadatel/příjemce</w:t>
            </w:r>
          </w:p>
          <w:p w:rsidR="00F64941" w:rsidRPr="003A2CB2" w:rsidRDefault="00F64941" w:rsidP="00B66FDE">
            <w:pPr>
              <w:spacing w:line="276" w:lineRule="auto"/>
              <w:rPr>
                <w:bCs/>
                <w:sz w:val="20"/>
                <w:szCs w:val="20"/>
              </w:rPr>
            </w:pPr>
          </w:p>
        </w:tc>
        <w:tc>
          <w:tcPr>
            <w:tcW w:w="992" w:type="dxa"/>
          </w:tcPr>
          <w:p w:rsidR="00F64941" w:rsidRPr="003A2CB2" w:rsidRDefault="0033290F" w:rsidP="00B66FDE">
            <w:pPr>
              <w:spacing w:line="276" w:lineRule="auto"/>
              <w:rPr>
                <w:sz w:val="20"/>
                <w:szCs w:val="20"/>
              </w:rPr>
            </w:pPr>
            <w:r w:rsidRPr="0033290F">
              <w:rPr>
                <w:sz w:val="20"/>
                <w:szCs w:val="20"/>
              </w:rPr>
              <w:t>průběžně</w:t>
            </w:r>
          </w:p>
        </w:tc>
      </w:tr>
      <w:tr w:rsidR="00F64941" w:rsidRPr="008A17E2" w:rsidTr="00732AA1">
        <w:tc>
          <w:tcPr>
            <w:tcW w:w="567" w:type="dxa"/>
          </w:tcPr>
          <w:p w:rsidR="00F64941" w:rsidRPr="003A2CB2" w:rsidRDefault="006347EE" w:rsidP="006347EE">
            <w:pPr>
              <w:spacing w:line="276" w:lineRule="auto"/>
              <w:rPr>
                <w:sz w:val="20"/>
                <w:szCs w:val="20"/>
              </w:rPr>
            </w:pPr>
            <w:r>
              <w:rPr>
                <w:sz w:val="20"/>
                <w:szCs w:val="20"/>
              </w:rPr>
              <w:t>4</w:t>
            </w:r>
            <w:r w:rsidRPr="006347EE">
              <w:rPr>
                <w:sz w:val="20"/>
                <w:szCs w:val="20"/>
              </w:rPr>
              <w:t>0711</w:t>
            </w:r>
          </w:p>
        </w:tc>
        <w:tc>
          <w:tcPr>
            <w:tcW w:w="1134" w:type="dxa"/>
          </w:tcPr>
          <w:p w:rsidR="00F64941" w:rsidRPr="003A2CB2" w:rsidRDefault="0033290F" w:rsidP="00B66FDE">
            <w:pPr>
              <w:spacing w:line="276" w:lineRule="auto"/>
              <w:rPr>
                <w:rFonts w:asciiTheme="majorHAnsi" w:eastAsia="Times New Roman" w:hAnsiTheme="majorHAnsi" w:cs="Calibri"/>
                <w:color w:val="000000"/>
                <w:sz w:val="20"/>
                <w:szCs w:val="20"/>
              </w:rPr>
            </w:pPr>
            <w:r w:rsidRPr="0033290F">
              <w:rPr>
                <w:rFonts w:asciiTheme="majorHAnsi" w:eastAsia="Times New Roman" w:hAnsiTheme="majorHAnsi" w:cs="Calibri"/>
                <w:color w:val="000000"/>
                <w:sz w:val="20"/>
                <w:szCs w:val="20"/>
              </w:rPr>
              <w:t xml:space="preserve"> Navýšení celkového množství energeticky využitých ostatních odpadů </w:t>
            </w:r>
          </w:p>
        </w:tc>
        <w:tc>
          <w:tcPr>
            <w:tcW w:w="851" w:type="dxa"/>
          </w:tcPr>
          <w:p w:rsidR="00F64941" w:rsidRPr="003A2CB2" w:rsidRDefault="0033290F" w:rsidP="00B66FDE">
            <w:pPr>
              <w:spacing w:line="276" w:lineRule="auto"/>
              <w:rPr>
                <w:bCs/>
                <w:sz w:val="20"/>
                <w:szCs w:val="20"/>
              </w:rPr>
            </w:pPr>
            <w:r w:rsidRPr="0033290F">
              <w:rPr>
                <w:rFonts w:asciiTheme="majorHAnsi" w:hAnsiTheme="majorHAnsi"/>
                <w:bCs/>
                <w:sz w:val="20"/>
                <w:szCs w:val="20"/>
              </w:rPr>
              <w:t>t/rok</w:t>
            </w:r>
          </w:p>
        </w:tc>
        <w:tc>
          <w:tcPr>
            <w:tcW w:w="1134" w:type="dxa"/>
          </w:tcPr>
          <w:p w:rsidR="00F64941" w:rsidRPr="003A2CB2" w:rsidRDefault="0033290F" w:rsidP="00B66FDE">
            <w:pPr>
              <w:rPr>
                <w:rFonts w:asciiTheme="majorHAnsi" w:hAnsiTheme="majorHAnsi"/>
                <w:bCs/>
                <w:sz w:val="20"/>
                <w:szCs w:val="20"/>
              </w:rPr>
            </w:pPr>
            <w:r w:rsidRPr="0033290F">
              <w:rPr>
                <w:rFonts w:asciiTheme="majorHAnsi" w:hAnsiTheme="majorHAnsi"/>
                <w:bCs/>
                <w:sz w:val="20"/>
                <w:szCs w:val="20"/>
              </w:rPr>
              <w:t>Není relevantní</w:t>
            </w:r>
          </w:p>
        </w:tc>
        <w:tc>
          <w:tcPr>
            <w:tcW w:w="1134" w:type="dxa"/>
          </w:tcPr>
          <w:p w:rsidR="00F64941" w:rsidRPr="003A2CB2" w:rsidRDefault="00F64941" w:rsidP="00B66FDE">
            <w:pPr>
              <w:rPr>
                <w:rFonts w:eastAsia="Times New Roman" w:cs="Times New Roman"/>
                <w:bCs/>
                <w:sz w:val="20"/>
                <w:szCs w:val="20"/>
                <w:lang w:val="en-GB" w:eastAsia="fr-BE"/>
              </w:rPr>
            </w:pPr>
            <w:r w:rsidRPr="003A2CB2">
              <w:rPr>
                <w:rFonts w:asciiTheme="majorHAnsi" w:hAnsiTheme="majorHAnsi"/>
                <w:bCs/>
                <w:sz w:val="20"/>
                <w:szCs w:val="20"/>
              </w:rPr>
              <w:t>1 009 000</w:t>
            </w:r>
          </w:p>
        </w:tc>
        <w:tc>
          <w:tcPr>
            <w:tcW w:w="992" w:type="dxa"/>
          </w:tcPr>
          <w:p w:rsidR="00F64941" w:rsidRPr="003A2CB2" w:rsidRDefault="0033290F" w:rsidP="00B66FDE">
            <w:pPr>
              <w:spacing w:line="276" w:lineRule="auto"/>
              <w:rPr>
                <w:sz w:val="20"/>
                <w:szCs w:val="20"/>
              </w:rPr>
            </w:pPr>
            <w:r w:rsidRPr="0033290F">
              <w:rPr>
                <w:rFonts w:asciiTheme="majorHAnsi" w:hAnsiTheme="majorHAnsi"/>
                <w:sz w:val="20"/>
                <w:szCs w:val="20"/>
              </w:rPr>
              <w:t>2012</w:t>
            </w:r>
          </w:p>
        </w:tc>
        <w:tc>
          <w:tcPr>
            <w:tcW w:w="1276" w:type="dxa"/>
          </w:tcPr>
          <w:p w:rsidR="00F64941" w:rsidRPr="003A2CB2" w:rsidRDefault="0033290F" w:rsidP="00B66FDE">
            <w:pPr>
              <w:spacing w:line="276" w:lineRule="auto"/>
              <w:rPr>
                <w:rFonts w:asciiTheme="majorHAnsi" w:hAnsiTheme="majorHAnsi"/>
                <w:bCs/>
                <w:color w:val="000000" w:themeColor="text1"/>
                <w:sz w:val="20"/>
                <w:szCs w:val="20"/>
              </w:rPr>
            </w:pPr>
            <w:r w:rsidRPr="0033290F">
              <w:rPr>
                <w:rFonts w:asciiTheme="majorHAnsi" w:hAnsiTheme="majorHAnsi"/>
                <w:bCs/>
                <w:color w:val="000000" w:themeColor="text1"/>
                <w:sz w:val="20"/>
                <w:szCs w:val="20"/>
              </w:rPr>
              <w:t>1 409 000</w:t>
            </w:r>
          </w:p>
          <w:p w:rsidR="00F64941" w:rsidRPr="003A2CB2" w:rsidRDefault="0033290F" w:rsidP="00B66FDE">
            <w:pPr>
              <w:rPr>
                <w:sz w:val="20"/>
                <w:szCs w:val="20"/>
              </w:rPr>
            </w:pPr>
            <w:r w:rsidRPr="0033290F">
              <w:rPr>
                <w:rFonts w:asciiTheme="majorHAnsi" w:hAnsiTheme="majorHAnsi"/>
                <w:bCs/>
                <w:color w:val="000000" w:themeColor="text1"/>
                <w:sz w:val="20"/>
                <w:szCs w:val="20"/>
              </w:rPr>
              <w:t> </w:t>
            </w:r>
          </w:p>
        </w:tc>
        <w:tc>
          <w:tcPr>
            <w:tcW w:w="992" w:type="dxa"/>
          </w:tcPr>
          <w:p w:rsidR="00F64941" w:rsidRPr="003A2CB2" w:rsidRDefault="00F64941" w:rsidP="00B66FDE">
            <w:pPr>
              <w:rPr>
                <w:rFonts w:asciiTheme="majorHAnsi" w:hAnsiTheme="majorHAnsi"/>
                <w:bCs/>
                <w:sz w:val="20"/>
                <w:szCs w:val="20"/>
              </w:rPr>
            </w:pPr>
            <w:r w:rsidRPr="003A2CB2">
              <w:rPr>
                <w:rFonts w:asciiTheme="majorHAnsi" w:hAnsiTheme="majorHAnsi"/>
                <w:bCs/>
                <w:sz w:val="20"/>
                <w:szCs w:val="20"/>
              </w:rPr>
              <w:t>Žadatel/příjemce</w:t>
            </w:r>
          </w:p>
          <w:p w:rsidR="00F64941" w:rsidRPr="003A2CB2" w:rsidRDefault="00F64941" w:rsidP="00B66FDE">
            <w:pPr>
              <w:spacing w:line="276" w:lineRule="auto"/>
              <w:rPr>
                <w:bCs/>
                <w:sz w:val="20"/>
                <w:szCs w:val="20"/>
              </w:rPr>
            </w:pPr>
          </w:p>
        </w:tc>
        <w:tc>
          <w:tcPr>
            <w:tcW w:w="992" w:type="dxa"/>
          </w:tcPr>
          <w:p w:rsidR="00F64941" w:rsidRPr="003A2CB2" w:rsidDel="00EF0ECE" w:rsidRDefault="0033290F" w:rsidP="00B66FDE">
            <w:pPr>
              <w:spacing w:line="276" w:lineRule="auto"/>
              <w:rPr>
                <w:sz w:val="20"/>
                <w:szCs w:val="20"/>
              </w:rPr>
            </w:pPr>
            <w:r w:rsidRPr="0033290F">
              <w:rPr>
                <w:sz w:val="20"/>
                <w:szCs w:val="20"/>
              </w:rPr>
              <w:t>průběžně</w:t>
            </w:r>
          </w:p>
        </w:tc>
      </w:tr>
    </w:tbl>
    <w:p w:rsidR="001B0121" w:rsidRPr="004314F4" w:rsidRDefault="001B0121" w:rsidP="00B66FDE"/>
    <w:p w:rsidR="001B0121" w:rsidRDefault="001B0121" w:rsidP="00165854">
      <w:pPr>
        <w:pStyle w:val="Nadpis6"/>
      </w:pPr>
      <w:r w:rsidRPr="004314F4">
        <w:t xml:space="preserve">Specifický cíl </w:t>
      </w:r>
      <w:r w:rsidR="00EF0ECE">
        <w:t>3</w:t>
      </w:r>
      <w:r w:rsidRPr="004314F4">
        <w:t xml:space="preserve">: </w:t>
      </w:r>
      <w:r w:rsidR="004C3F80" w:rsidRPr="004314F4">
        <w:t>Odstranit nepovolené skládky a rekultivovat staré skládky</w:t>
      </w:r>
    </w:p>
    <w:p w:rsidR="00B96280" w:rsidRPr="004314F4" w:rsidRDefault="00EA6441" w:rsidP="00B66FDE">
      <w:r w:rsidRPr="004314F4">
        <w:t>Významný negativní dopad zejména na krajinný ráz, stejně tak jako na kvalitu podzemních</w:t>
      </w:r>
      <w:r w:rsidRPr="004314F4">
        <w:br/>
        <w:t xml:space="preserve">i povrchových vod, mají skládky, především staré skládky, které </w:t>
      </w:r>
      <w:r w:rsidR="0042000C">
        <w:t>nejsou často ani monitorovány a </w:t>
      </w:r>
      <w:r w:rsidRPr="004314F4">
        <w:t xml:space="preserve">jejich vliv na životní prostředí proto může být velký. Skládkování odpadu je navíc také zdrojem </w:t>
      </w:r>
      <w:proofErr w:type="spellStart"/>
      <w:r w:rsidRPr="004314F4">
        <w:t>methanu</w:t>
      </w:r>
      <w:proofErr w:type="spellEnd"/>
      <w:r w:rsidRPr="004314F4">
        <w:t xml:space="preserve">, silného skleníkového plynu, vznikajícího anaerobním rozkladem organického uhlíku. </w:t>
      </w:r>
    </w:p>
    <w:p w:rsidR="00EA6441" w:rsidRPr="004314F4" w:rsidRDefault="00EA6441" w:rsidP="00B66FDE">
      <w:r w:rsidRPr="004314F4">
        <w:t>Na území ČR se hojně vyskytují skládky, které byly provozovány v době, kdy ještě nebyly nastaveny dostatečně přísné technické parametry pro stavbu a provoz skládek (těsnící vrstvy apod.). Tyto skládky nebyly postaveny jako řádně vodohospodářsky zabezpečené stavby a ani</w:t>
      </w:r>
      <w:r w:rsidRPr="004314F4">
        <w:br/>
        <w:t xml:space="preserve">v tomto smyslu nebyly provozovány a představují tudíž možnou velkou zátěž pro životní prostředí. </w:t>
      </w:r>
      <w:r w:rsidR="00456053" w:rsidRPr="00787274">
        <w:t>Nepovolené skládky a staré nerekultivované skládky</w:t>
      </w:r>
      <w:r w:rsidR="00456053" w:rsidRPr="00787274" w:rsidDel="00787274">
        <w:t xml:space="preserve"> </w:t>
      </w:r>
      <w:r w:rsidRPr="004314F4">
        <w:t>jsou přetrvávajícím problémem v oblasti komunální ochrany životního prostředí každého města</w:t>
      </w:r>
      <w:r w:rsidR="0042000C">
        <w:t xml:space="preserve"> a obce. Představují riziko pro </w:t>
      </w:r>
      <w:r w:rsidRPr="004314F4">
        <w:t>životní prostředí a v některých případech i pro lidské zdraví.</w:t>
      </w:r>
    </w:p>
    <w:p w:rsidR="00EA6441" w:rsidRPr="00165854" w:rsidRDefault="00EA6441" w:rsidP="000C33A9">
      <w:pPr>
        <w:spacing w:after="0" w:afterAutospacing="0"/>
        <w:rPr>
          <w:b/>
        </w:rPr>
      </w:pPr>
      <w:bookmarkStart w:id="2424" w:name="_Toc384907394"/>
      <w:r w:rsidRPr="00165854">
        <w:rPr>
          <w:b/>
        </w:rPr>
        <w:lastRenderedPageBreak/>
        <w:t>Stav, který by měl být dosažen k r. 2020:</w:t>
      </w:r>
      <w:bookmarkEnd w:id="2424"/>
    </w:p>
    <w:p w:rsidR="00F25F63" w:rsidRDefault="000C33A9" w:rsidP="00495FC1">
      <w:pPr>
        <w:pStyle w:val="Odstavecseseznamem"/>
        <w:numPr>
          <w:ilvl w:val="0"/>
          <w:numId w:val="17"/>
        </w:numPr>
        <w:spacing w:after="0" w:afterAutospacing="0"/>
      </w:pPr>
      <w:r>
        <w:t>s</w:t>
      </w:r>
      <w:r w:rsidR="00EA6441" w:rsidRPr="004314F4">
        <w:t xml:space="preserve">nížení nebezpečnosti starých skládek a </w:t>
      </w:r>
      <w:bookmarkStart w:id="2425" w:name="_Toc384907395"/>
      <w:r w:rsidR="00BD4248">
        <w:t>odstranění nepovolených skládek,</w:t>
      </w:r>
    </w:p>
    <w:p w:rsidR="00CE0320" w:rsidRDefault="000C33A9" w:rsidP="00495FC1">
      <w:pPr>
        <w:pStyle w:val="Odstavecseseznamem"/>
        <w:numPr>
          <w:ilvl w:val="0"/>
          <w:numId w:val="17"/>
        </w:numPr>
        <w:spacing w:after="0" w:afterAutospacing="0"/>
      </w:pPr>
      <w:r>
        <w:t>p</w:t>
      </w:r>
      <w:r w:rsidR="00CE0320" w:rsidRPr="005808AE">
        <w:t xml:space="preserve">rovádět </w:t>
      </w:r>
      <w:proofErr w:type="spellStart"/>
      <w:r w:rsidR="00CE0320" w:rsidRPr="005808AE">
        <w:t>vymísťování</w:t>
      </w:r>
      <w:proofErr w:type="spellEnd"/>
      <w:r w:rsidR="00CE0320" w:rsidRPr="005808AE">
        <w:t xml:space="preserve"> starých „skládek“, které byly využívány k ukládání odpadů bez povolení v době, kdy v ČR neexistovala legislativa </w:t>
      </w:r>
      <w:r w:rsidR="00CE0320">
        <w:t>pro oblast odpadů</w:t>
      </w:r>
      <w:r w:rsidR="00BD4248">
        <w:t>,</w:t>
      </w:r>
    </w:p>
    <w:p w:rsidR="00CE0320" w:rsidRDefault="000C33A9" w:rsidP="00495FC1">
      <w:pPr>
        <w:pStyle w:val="Odstavecseseznamem"/>
        <w:numPr>
          <w:ilvl w:val="0"/>
          <w:numId w:val="17"/>
        </w:numPr>
        <w:spacing w:after="0" w:afterAutospacing="0"/>
      </w:pPr>
      <w:r>
        <w:t>p</w:t>
      </w:r>
      <w:r w:rsidR="00CE0320" w:rsidRPr="005808AE">
        <w:t xml:space="preserve">rovádět </w:t>
      </w:r>
      <w:proofErr w:type="spellStart"/>
      <w:r w:rsidR="00CE0320" w:rsidRPr="005808AE">
        <w:t>vymísťování</w:t>
      </w:r>
      <w:proofErr w:type="spellEnd"/>
      <w:r w:rsidR="00CE0320" w:rsidRPr="005808AE">
        <w:t xml:space="preserve"> </w:t>
      </w:r>
      <w:r w:rsidR="00CE0320">
        <w:t>nepovolených</w:t>
      </w:r>
      <w:r w:rsidR="00CE0320" w:rsidRPr="005808AE">
        <w:t xml:space="preserve"> „skládek“</w:t>
      </w:r>
      <w:r w:rsidR="00CE0320">
        <w:t xml:space="preserve"> na území zvláště chráněných územích, evropsky významných lokalitách, ptačích oblastech a </w:t>
      </w:r>
      <w:r w:rsidR="00CE0320" w:rsidRPr="005808AE">
        <w:t>územích NATURA 2000.</w:t>
      </w:r>
    </w:p>
    <w:p w:rsidR="00674BC9" w:rsidRDefault="00674BC9">
      <w:pPr>
        <w:pStyle w:val="Odstavecseseznamem"/>
      </w:pPr>
    </w:p>
    <w:p w:rsidR="004479EC" w:rsidRPr="004314F4" w:rsidRDefault="004479EC" w:rsidP="00165854">
      <w:pPr>
        <w:pStyle w:val="Titulek"/>
      </w:pPr>
      <w:r w:rsidRPr="004314F4">
        <w:t xml:space="preserve">Specifické </w:t>
      </w:r>
      <w:r w:rsidR="00F64941">
        <w:t>programové ukazatele</w:t>
      </w:r>
      <w:r w:rsidRPr="004314F4">
        <w:t xml:space="preserve"> výsledků pro SC 3.</w:t>
      </w:r>
      <w:bookmarkEnd w:id="2425"/>
      <w:r w:rsidR="00901D07">
        <w:t>3</w:t>
      </w:r>
    </w:p>
    <w:tbl>
      <w:tblPr>
        <w:tblStyle w:val="Mkatabulky"/>
        <w:tblW w:w="9072" w:type="dxa"/>
        <w:tblInd w:w="108" w:type="dxa"/>
        <w:tblLayout w:type="fixed"/>
        <w:tblLook w:val="04A0" w:firstRow="1" w:lastRow="0" w:firstColumn="1" w:lastColumn="0" w:noHBand="0" w:noVBand="1"/>
      </w:tblPr>
      <w:tblGrid>
        <w:gridCol w:w="426"/>
        <w:gridCol w:w="1134"/>
        <w:gridCol w:w="850"/>
        <w:gridCol w:w="851"/>
        <w:gridCol w:w="850"/>
        <w:gridCol w:w="709"/>
        <w:gridCol w:w="992"/>
        <w:gridCol w:w="1276"/>
        <w:gridCol w:w="1984"/>
      </w:tblGrid>
      <w:tr w:rsidR="00F64941" w:rsidRPr="00F668C7" w:rsidTr="00177B95">
        <w:tc>
          <w:tcPr>
            <w:tcW w:w="426" w:type="dxa"/>
            <w:tcBorders>
              <w:bottom w:val="single" w:sz="12" w:space="0" w:color="auto"/>
            </w:tcBorders>
            <w:shd w:val="clear" w:color="auto" w:fill="BFBFBF" w:themeFill="background1" w:themeFillShade="BF"/>
          </w:tcPr>
          <w:p w:rsidR="00F64941" w:rsidRPr="003A2CB2" w:rsidRDefault="00F64941" w:rsidP="00B66FDE">
            <w:pPr>
              <w:rPr>
                <w:b/>
                <w:sz w:val="20"/>
                <w:szCs w:val="20"/>
              </w:rPr>
            </w:pPr>
            <w:r w:rsidRPr="003A2CB2">
              <w:rPr>
                <w:b/>
                <w:sz w:val="20"/>
                <w:szCs w:val="20"/>
              </w:rPr>
              <w:t xml:space="preserve">ID </w:t>
            </w:r>
          </w:p>
        </w:tc>
        <w:tc>
          <w:tcPr>
            <w:tcW w:w="1134" w:type="dxa"/>
            <w:tcBorders>
              <w:bottom w:val="single" w:sz="12" w:space="0" w:color="auto"/>
            </w:tcBorders>
            <w:shd w:val="clear" w:color="auto" w:fill="BFBFBF" w:themeFill="background1" w:themeFillShade="BF"/>
          </w:tcPr>
          <w:p w:rsidR="00F64941" w:rsidRPr="003A2CB2" w:rsidRDefault="0033290F" w:rsidP="00B66FDE">
            <w:pPr>
              <w:spacing w:line="276" w:lineRule="auto"/>
              <w:rPr>
                <w:b/>
                <w:sz w:val="20"/>
                <w:szCs w:val="20"/>
              </w:rPr>
            </w:pPr>
            <w:r w:rsidRPr="0033290F">
              <w:rPr>
                <w:b/>
                <w:sz w:val="20"/>
                <w:szCs w:val="20"/>
              </w:rPr>
              <w:t>Ukazatel</w:t>
            </w:r>
          </w:p>
        </w:tc>
        <w:tc>
          <w:tcPr>
            <w:tcW w:w="850" w:type="dxa"/>
            <w:tcBorders>
              <w:bottom w:val="single" w:sz="12" w:space="0" w:color="auto"/>
            </w:tcBorders>
            <w:shd w:val="clear" w:color="auto" w:fill="BFBFBF" w:themeFill="background1" w:themeFillShade="BF"/>
          </w:tcPr>
          <w:p w:rsidR="00F64941" w:rsidRPr="003A2CB2" w:rsidRDefault="0033290F" w:rsidP="00B66FDE">
            <w:pPr>
              <w:spacing w:line="276" w:lineRule="auto"/>
              <w:rPr>
                <w:b/>
                <w:sz w:val="20"/>
                <w:szCs w:val="20"/>
              </w:rPr>
            </w:pPr>
            <w:r w:rsidRPr="0033290F">
              <w:rPr>
                <w:b/>
                <w:sz w:val="20"/>
                <w:szCs w:val="20"/>
              </w:rPr>
              <w:t>Měrná jednotka</w:t>
            </w:r>
          </w:p>
        </w:tc>
        <w:tc>
          <w:tcPr>
            <w:tcW w:w="851" w:type="dxa"/>
            <w:tcBorders>
              <w:bottom w:val="single" w:sz="12" w:space="0" w:color="auto"/>
            </w:tcBorders>
            <w:shd w:val="clear" w:color="auto" w:fill="BFBFBF" w:themeFill="background1" w:themeFillShade="BF"/>
          </w:tcPr>
          <w:p w:rsidR="00F64941" w:rsidRPr="003A2CB2" w:rsidRDefault="0033290F" w:rsidP="00B66FDE">
            <w:pPr>
              <w:spacing w:line="276" w:lineRule="auto"/>
              <w:rPr>
                <w:b/>
                <w:sz w:val="20"/>
                <w:szCs w:val="20"/>
              </w:rPr>
            </w:pPr>
            <w:r w:rsidRPr="0033290F">
              <w:rPr>
                <w:b/>
                <w:sz w:val="20"/>
                <w:szCs w:val="20"/>
              </w:rPr>
              <w:t>Kategorie regionů</w:t>
            </w:r>
          </w:p>
        </w:tc>
        <w:tc>
          <w:tcPr>
            <w:tcW w:w="850" w:type="dxa"/>
            <w:tcBorders>
              <w:bottom w:val="single" w:sz="12" w:space="0" w:color="auto"/>
            </w:tcBorders>
            <w:shd w:val="clear" w:color="auto" w:fill="BFBFBF" w:themeFill="background1" w:themeFillShade="BF"/>
          </w:tcPr>
          <w:p w:rsidR="00F64941" w:rsidRPr="003A2CB2" w:rsidRDefault="0033290F" w:rsidP="00B66FDE">
            <w:pPr>
              <w:spacing w:line="276" w:lineRule="auto"/>
              <w:rPr>
                <w:b/>
                <w:sz w:val="20"/>
                <w:szCs w:val="20"/>
              </w:rPr>
            </w:pPr>
            <w:r w:rsidRPr="0033290F">
              <w:rPr>
                <w:b/>
                <w:sz w:val="20"/>
                <w:szCs w:val="20"/>
              </w:rPr>
              <w:t>Výchozí hodnota</w:t>
            </w:r>
          </w:p>
        </w:tc>
        <w:tc>
          <w:tcPr>
            <w:tcW w:w="709" w:type="dxa"/>
            <w:tcBorders>
              <w:bottom w:val="single" w:sz="12" w:space="0" w:color="auto"/>
            </w:tcBorders>
            <w:shd w:val="clear" w:color="auto" w:fill="BFBFBF" w:themeFill="background1" w:themeFillShade="BF"/>
          </w:tcPr>
          <w:p w:rsidR="00F64941" w:rsidRPr="003A2CB2" w:rsidRDefault="0033290F" w:rsidP="00B66FDE">
            <w:pPr>
              <w:spacing w:line="276" w:lineRule="auto"/>
              <w:rPr>
                <w:b/>
                <w:sz w:val="20"/>
                <w:szCs w:val="20"/>
              </w:rPr>
            </w:pPr>
            <w:r w:rsidRPr="0033290F">
              <w:rPr>
                <w:b/>
                <w:sz w:val="20"/>
                <w:szCs w:val="20"/>
              </w:rPr>
              <w:t>Výchozí rok</w:t>
            </w:r>
          </w:p>
        </w:tc>
        <w:tc>
          <w:tcPr>
            <w:tcW w:w="992" w:type="dxa"/>
            <w:tcBorders>
              <w:bottom w:val="single" w:sz="12" w:space="0" w:color="auto"/>
            </w:tcBorders>
            <w:shd w:val="clear" w:color="auto" w:fill="BFBFBF" w:themeFill="background1" w:themeFillShade="BF"/>
          </w:tcPr>
          <w:p w:rsidR="00F64941" w:rsidRPr="003A2CB2" w:rsidRDefault="0033290F" w:rsidP="00B66FDE">
            <w:pPr>
              <w:spacing w:line="276" w:lineRule="auto"/>
              <w:rPr>
                <w:b/>
                <w:sz w:val="20"/>
                <w:szCs w:val="20"/>
              </w:rPr>
            </w:pPr>
            <w:r w:rsidRPr="0033290F">
              <w:rPr>
                <w:b/>
                <w:sz w:val="20"/>
                <w:szCs w:val="20"/>
              </w:rPr>
              <w:t>Cílová hodnota (2023)</w:t>
            </w:r>
          </w:p>
        </w:tc>
        <w:tc>
          <w:tcPr>
            <w:tcW w:w="1276" w:type="dxa"/>
            <w:tcBorders>
              <w:bottom w:val="single" w:sz="12" w:space="0" w:color="auto"/>
            </w:tcBorders>
            <w:shd w:val="clear" w:color="auto" w:fill="BFBFBF" w:themeFill="background1" w:themeFillShade="BF"/>
          </w:tcPr>
          <w:p w:rsidR="00F64941" w:rsidRPr="003A2CB2" w:rsidRDefault="0033290F" w:rsidP="00B66FDE">
            <w:pPr>
              <w:spacing w:line="276" w:lineRule="auto"/>
              <w:rPr>
                <w:b/>
                <w:sz w:val="20"/>
                <w:szCs w:val="20"/>
              </w:rPr>
            </w:pPr>
            <w:r w:rsidRPr="0033290F">
              <w:rPr>
                <w:b/>
                <w:sz w:val="20"/>
                <w:szCs w:val="20"/>
              </w:rPr>
              <w:t>Zdroj údajů</w:t>
            </w:r>
          </w:p>
        </w:tc>
        <w:tc>
          <w:tcPr>
            <w:tcW w:w="1984" w:type="dxa"/>
            <w:tcBorders>
              <w:bottom w:val="single" w:sz="12" w:space="0" w:color="auto"/>
            </w:tcBorders>
            <w:shd w:val="clear" w:color="auto" w:fill="BFBFBF" w:themeFill="background1" w:themeFillShade="BF"/>
          </w:tcPr>
          <w:p w:rsidR="00F64941" w:rsidRPr="003A2CB2" w:rsidRDefault="0033290F" w:rsidP="00B66FDE">
            <w:pPr>
              <w:spacing w:line="276" w:lineRule="auto"/>
              <w:rPr>
                <w:b/>
                <w:sz w:val="20"/>
                <w:szCs w:val="20"/>
              </w:rPr>
            </w:pPr>
            <w:r w:rsidRPr="0033290F">
              <w:rPr>
                <w:b/>
                <w:sz w:val="20"/>
                <w:szCs w:val="20"/>
              </w:rPr>
              <w:t>Četnost podávání zpráv</w:t>
            </w:r>
          </w:p>
        </w:tc>
      </w:tr>
      <w:tr w:rsidR="00F64941" w:rsidRPr="00F668C7" w:rsidTr="00177B95">
        <w:tc>
          <w:tcPr>
            <w:tcW w:w="426" w:type="dxa"/>
            <w:tcBorders>
              <w:top w:val="single" w:sz="12" w:space="0" w:color="auto"/>
            </w:tcBorders>
          </w:tcPr>
          <w:p w:rsidR="00F64941" w:rsidRPr="003A2CB2" w:rsidRDefault="00262C0E" w:rsidP="00B66FDE">
            <w:pPr>
              <w:rPr>
                <w:sz w:val="20"/>
                <w:szCs w:val="20"/>
              </w:rPr>
            </w:pPr>
            <w:r>
              <w:rPr>
                <w:sz w:val="20"/>
                <w:szCs w:val="20"/>
              </w:rPr>
              <w:t>403</w:t>
            </w:r>
            <w:r w:rsidRPr="00262C0E">
              <w:rPr>
                <w:sz w:val="20"/>
                <w:szCs w:val="20"/>
              </w:rPr>
              <w:t>10</w:t>
            </w:r>
          </w:p>
        </w:tc>
        <w:tc>
          <w:tcPr>
            <w:tcW w:w="1134" w:type="dxa"/>
            <w:tcBorders>
              <w:top w:val="single" w:sz="12" w:space="0" w:color="auto"/>
            </w:tcBorders>
          </w:tcPr>
          <w:p w:rsidR="00F64941" w:rsidRPr="003A2CB2" w:rsidRDefault="00F64941" w:rsidP="00B66FDE">
            <w:pPr>
              <w:spacing w:line="276" w:lineRule="auto"/>
              <w:rPr>
                <w:sz w:val="20"/>
                <w:szCs w:val="20"/>
              </w:rPr>
            </w:pPr>
            <w:r w:rsidRPr="003A2CB2">
              <w:rPr>
                <w:rFonts w:eastAsia="Times New Roman" w:cs="Calibri"/>
                <w:sz w:val="20"/>
                <w:szCs w:val="20"/>
              </w:rPr>
              <w:t>Navýšení plochy</w:t>
            </w:r>
            <w:r w:rsidR="0033290F" w:rsidRPr="0033290F">
              <w:rPr>
                <w:rFonts w:eastAsia="Times New Roman" w:cs="Calibri"/>
                <w:sz w:val="20"/>
                <w:szCs w:val="20"/>
              </w:rPr>
              <w:t xml:space="preserve"> zrekultivovaných starých skládek</w:t>
            </w:r>
          </w:p>
        </w:tc>
        <w:tc>
          <w:tcPr>
            <w:tcW w:w="850" w:type="dxa"/>
            <w:tcBorders>
              <w:top w:val="single" w:sz="12" w:space="0" w:color="auto"/>
            </w:tcBorders>
          </w:tcPr>
          <w:p w:rsidR="00F64941" w:rsidRPr="003A2CB2" w:rsidRDefault="0033290F" w:rsidP="00B66FDE">
            <w:pPr>
              <w:spacing w:line="276" w:lineRule="auto"/>
              <w:rPr>
                <w:sz w:val="20"/>
                <w:szCs w:val="20"/>
              </w:rPr>
            </w:pPr>
            <w:r w:rsidRPr="0033290F">
              <w:rPr>
                <w:bCs/>
                <w:sz w:val="20"/>
                <w:szCs w:val="20"/>
              </w:rPr>
              <w:t>m</w:t>
            </w:r>
            <w:r w:rsidRPr="0033290F">
              <w:rPr>
                <w:bCs/>
                <w:sz w:val="20"/>
                <w:szCs w:val="20"/>
                <w:vertAlign w:val="superscript"/>
              </w:rPr>
              <w:t>2</w:t>
            </w:r>
          </w:p>
        </w:tc>
        <w:tc>
          <w:tcPr>
            <w:tcW w:w="851" w:type="dxa"/>
            <w:tcBorders>
              <w:top w:val="single" w:sz="12" w:space="0" w:color="auto"/>
            </w:tcBorders>
          </w:tcPr>
          <w:p w:rsidR="00F64941" w:rsidRPr="003A2CB2" w:rsidRDefault="0033290F" w:rsidP="00B66FDE">
            <w:pPr>
              <w:rPr>
                <w:sz w:val="20"/>
                <w:szCs w:val="20"/>
              </w:rPr>
            </w:pPr>
            <w:r w:rsidRPr="0033290F">
              <w:rPr>
                <w:rFonts w:asciiTheme="majorHAnsi" w:hAnsiTheme="majorHAnsi"/>
                <w:bCs/>
                <w:sz w:val="20"/>
                <w:szCs w:val="20"/>
              </w:rPr>
              <w:t>Není relevantní</w:t>
            </w:r>
          </w:p>
        </w:tc>
        <w:tc>
          <w:tcPr>
            <w:tcW w:w="850" w:type="dxa"/>
            <w:tcBorders>
              <w:top w:val="single" w:sz="12" w:space="0" w:color="auto"/>
            </w:tcBorders>
          </w:tcPr>
          <w:p w:rsidR="00F64941" w:rsidRPr="003A2CB2" w:rsidRDefault="00F64941" w:rsidP="00B66FDE">
            <w:pPr>
              <w:rPr>
                <w:sz w:val="20"/>
                <w:szCs w:val="20"/>
              </w:rPr>
            </w:pPr>
            <w:r w:rsidRPr="003A2CB2">
              <w:rPr>
                <w:sz w:val="20"/>
                <w:szCs w:val="20"/>
              </w:rPr>
              <w:t>949 075</w:t>
            </w:r>
          </w:p>
        </w:tc>
        <w:tc>
          <w:tcPr>
            <w:tcW w:w="709" w:type="dxa"/>
            <w:tcBorders>
              <w:top w:val="single" w:sz="12" w:space="0" w:color="auto"/>
            </w:tcBorders>
          </w:tcPr>
          <w:p w:rsidR="00F64941" w:rsidRPr="003A2CB2" w:rsidRDefault="0033290F" w:rsidP="00B66FDE">
            <w:pPr>
              <w:spacing w:line="276" w:lineRule="auto"/>
              <w:rPr>
                <w:sz w:val="20"/>
                <w:szCs w:val="20"/>
              </w:rPr>
            </w:pPr>
            <w:r w:rsidRPr="0033290F">
              <w:rPr>
                <w:sz w:val="20"/>
                <w:szCs w:val="20"/>
              </w:rPr>
              <w:t>2012</w:t>
            </w:r>
          </w:p>
        </w:tc>
        <w:tc>
          <w:tcPr>
            <w:tcW w:w="992" w:type="dxa"/>
            <w:tcBorders>
              <w:top w:val="single" w:sz="12" w:space="0" w:color="auto"/>
            </w:tcBorders>
          </w:tcPr>
          <w:p w:rsidR="00F64941" w:rsidRPr="003A2CB2" w:rsidRDefault="0033290F" w:rsidP="00B66FDE">
            <w:pPr>
              <w:spacing w:line="276" w:lineRule="auto"/>
              <w:rPr>
                <w:sz w:val="20"/>
                <w:szCs w:val="20"/>
              </w:rPr>
            </w:pPr>
            <w:r w:rsidRPr="0033290F">
              <w:rPr>
                <w:sz w:val="20"/>
                <w:szCs w:val="20"/>
              </w:rPr>
              <w:t>1 249 000</w:t>
            </w:r>
          </w:p>
        </w:tc>
        <w:tc>
          <w:tcPr>
            <w:tcW w:w="1276" w:type="dxa"/>
            <w:tcBorders>
              <w:top w:val="single" w:sz="12" w:space="0" w:color="auto"/>
            </w:tcBorders>
          </w:tcPr>
          <w:p w:rsidR="00F64941" w:rsidRPr="003A2CB2" w:rsidRDefault="0033290F" w:rsidP="00B66FDE">
            <w:pPr>
              <w:spacing w:line="276" w:lineRule="auto"/>
              <w:rPr>
                <w:sz w:val="20"/>
                <w:szCs w:val="20"/>
              </w:rPr>
            </w:pPr>
            <w:r w:rsidRPr="0033290F">
              <w:rPr>
                <w:sz w:val="20"/>
                <w:szCs w:val="20"/>
              </w:rPr>
              <w:t>Žadatel/příjemce</w:t>
            </w:r>
          </w:p>
        </w:tc>
        <w:tc>
          <w:tcPr>
            <w:tcW w:w="1984" w:type="dxa"/>
            <w:tcBorders>
              <w:top w:val="single" w:sz="12" w:space="0" w:color="auto"/>
            </w:tcBorders>
          </w:tcPr>
          <w:p w:rsidR="00F64941" w:rsidRPr="003A2CB2" w:rsidRDefault="0033290F" w:rsidP="00B66FDE">
            <w:pPr>
              <w:spacing w:line="276" w:lineRule="auto"/>
              <w:rPr>
                <w:sz w:val="20"/>
                <w:szCs w:val="20"/>
              </w:rPr>
            </w:pPr>
            <w:r w:rsidRPr="0033290F">
              <w:rPr>
                <w:sz w:val="20"/>
                <w:szCs w:val="20"/>
              </w:rPr>
              <w:t>Průběžně</w:t>
            </w:r>
          </w:p>
        </w:tc>
      </w:tr>
      <w:tr w:rsidR="00F64941" w:rsidRPr="00F668C7" w:rsidTr="00177B95">
        <w:tc>
          <w:tcPr>
            <w:tcW w:w="426" w:type="dxa"/>
          </w:tcPr>
          <w:p w:rsidR="00F64941" w:rsidRPr="003A2CB2" w:rsidRDefault="00262C0E" w:rsidP="00262C0E">
            <w:pPr>
              <w:rPr>
                <w:sz w:val="20"/>
                <w:szCs w:val="20"/>
              </w:rPr>
            </w:pPr>
            <w:r>
              <w:rPr>
                <w:sz w:val="20"/>
                <w:szCs w:val="20"/>
              </w:rPr>
              <w:t>4</w:t>
            </w:r>
            <w:r w:rsidRPr="00262C0E">
              <w:rPr>
                <w:sz w:val="20"/>
                <w:szCs w:val="20"/>
              </w:rPr>
              <w:t>0311</w:t>
            </w:r>
          </w:p>
        </w:tc>
        <w:tc>
          <w:tcPr>
            <w:tcW w:w="1134" w:type="dxa"/>
          </w:tcPr>
          <w:p w:rsidR="00F64941" w:rsidRPr="003A2CB2" w:rsidDel="0058255B" w:rsidRDefault="00F64941" w:rsidP="00B66FDE">
            <w:pPr>
              <w:spacing w:line="276" w:lineRule="auto"/>
              <w:rPr>
                <w:bCs/>
                <w:sz w:val="20"/>
                <w:szCs w:val="20"/>
              </w:rPr>
            </w:pPr>
            <w:r w:rsidRPr="003A2CB2">
              <w:rPr>
                <w:rFonts w:eastAsia="Times New Roman" w:cs="Calibri"/>
                <w:sz w:val="20"/>
                <w:szCs w:val="20"/>
              </w:rPr>
              <w:t xml:space="preserve">Navýšení plochy </w:t>
            </w:r>
            <w:proofErr w:type="gramStart"/>
            <w:r w:rsidRPr="003A2CB2">
              <w:rPr>
                <w:rFonts w:eastAsia="Times New Roman" w:cs="Calibri"/>
                <w:sz w:val="20"/>
                <w:szCs w:val="20"/>
              </w:rPr>
              <w:t>odstraněných  nepovolených</w:t>
            </w:r>
            <w:proofErr w:type="gramEnd"/>
            <w:r w:rsidRPr="003A2CB2">
              <w:rPr>
                <w:rFonts w:eastAsia="Times New Roman" w:cs="Calibri"/>
                <w:sz w:val="20"/>
                <w:szCs w:val="20"/>
              </w:rPr>
              <w:t xml:space="preserve"> skládek v ZCHÚ</w:t>
            </w:r>
          </w:p>
        </w:tc>
        <w:tc>
          <w:tcPr>
            <w:tcW w:w="850" w:type="dxa"/>
          </w:tcPr>
          <w:p w:rsidR="00F64941" w:rsidRPr="003A2CB2" w:rsidRDefault="0033290F" w:rsidP="00B66FDE">
            <w:pPr>
              <w:spacing w:line="276" w:lineRule="auto"/>
              <w:rPr>
                <w:bCs/>
                <w:sz w:val="20"/>
                <w:szCs w:val="20"/>
              </w:rPr>
            </w:pPr>
            <w:r w:rsidRPr="0033290F">
              <w:rPr>
                <w:bCs/>
                <w:sz w:val="20"/>
                <w:szCs w:val="20"/>
              </w:rPr>
              <w:t>m</w:t>
            </w:r>
            <w:r w:rsidRPr="0033290F">
              <w:rPr>
                <w:bCs/>
                <w:sz w:val="20"/>
                <w:szCs w:val="20"/>
                <w:vertAlign w:val="superscript"/>
              </w:rPr>
              <w:t>2</w:t>
            </w:r>
          </w:p>
        </w:tc>
        <w:tc>
          <w:tcPr>
            <w:tcW w:w="851" w:type="dxa"/>
          </w:tcPr>
          <w:p w:rsidR="00F64941" w:rsidRPr="003A2CB2" w:rsidRDefault="0033290F" w:rsidP="00B66FDE">
            <w:pPr>
              <w:rPr>
                <w:sz w:val="20"/>
                <w:szCs w:val="20"/>
              </w:rPr>
            </w:pPr>
            <w:r w:rsidRPr="0033290F">
              <w:rPr>
                <w:rFonts w:asciiTheme="majorHAnsi" w:hAnsiTheme="majorHAnsi"/>
                <w:bCs/>
                <w:sz w:val="20"/>
                <w:szCs w:val="20"/>
              </w:rPr>
              <w:t>Není relevantní</w:t>
            </w:r>
          </w:p>
        </w:tc>
        <w:tc>
          <w:tcPr>
            <w:tcW w:w="850" w:type="dxa"/>
          </w:tcPr>
          <w:p w:rsidR="00F64941" w:rsidRPr="003A2CB2" w:rsidRDefault="00F64941" w:rsidP="00B66FDE">
            <w:pPr>
              <w:rPr>
                <w:sz w:val="20"/>
                <w:szCs w:val="20"/>
              </w:rPr>
            </w:pPr>
            <w:r w:rsidRPr="003A2CB2">
              <w:rPr>
                <w:sz w:val="20"/>
                <w:szCs w:val="20"/>
              </w:rPr>
              <w:t>0</w:t>
            </w:r>
          </w:p>
        </w:tc>
        <w:tc>
          <w:tcPr>
            <w:tcW w:w="709" w:type="dxa"/>
          </w:tcPr>
          <w:p w:rsidR="00F64941" w:rsidRPr="003A2CB2" w:rsidRDefault="0033290F" w:rsidP="00B66FDE">
            <w:pPr>
              <w:spacing w:line="276" w:lineRule="auto"/>
              <w:rPr>
                <w:sz w:val="20"/>
                <w:szCs w:val="20"/>
              </w:rPr>
            </w:pPr>
            <w:r w:rsidRPr="0033290F">
              <w:rPr>
                <w:sz w:val="20"/>
                <w:szCs w:val="20"/>
              </w:rPr>
              <w:t>2014</w:t>
            </w:r>
          </w:p>
        </w:tc>
        <w:tc>
          <w:tcPr>
            <w:tcW w:w="992" w:type="dxa"/>
          </w:tcPr>
          <w:p w:rsidR="00F64941" w:rsidRPr="003A2CB2" w:rsidRDefault="0033290F" w:rsidP="00B66FDE">
            <w:pPr>
              <w:spacing w:line="276" w:lineRule="auto"/>
              <w:rPr>
                <w:sz w:val="20"/>
                <w:szCs w:val="20"/>
              </w:rPr>
            </w:pPr>
            <w:r w:rsidRPr="0033290F">
              <w:rPr>
                <w:sz w:val="20"/>
                <w:szCs w:val="20"/>
              </w:rPr>
              <w:t>200 000</w:t>
            </w:r>
          </w:p>
        </w:tc>
        <w:tc>
          <w:tcPr>
            <w:tcW w:w="1276" w:type="dxa"/>
          </w:tcPr>
          <w:p w:rsidR="00F64941" w:rsidRPr="003A2CB2" w:rsidRDefault="0033290F" w:rsidP="00B66FDE">
            <w:pPr>
              <w:spacing w:line="276" w:lineRule="auto"/>
              <w:rPr>
                <w:sz w:val="20"/>
                <w:szCs w:val="20"/>
              </w:rPr>
            </w:pPr>
            <w:r w:rsidRPr="0033290F">
              <w:rPr>
                <w:sz w:val="20"/>
                <w:szCs w:val="20"/>
              </w:rPr>
              <w:t>Žadatel/příjemce</w:t>
            </w:r>
          </w:p>
        </w:tc>
        <w:tc>
          <w:tcPr>
            <w:tcW w:w="1984" w:type="dxa"/>
          </w:tcPr>
          <w:p w:rsidR="00F64941" w:rsidRPr="003A2CB2" w:rsidRDefault="0033290F" w:rsidP="00B66FDE">
            <w:pPr>
              <w:spacing w:line="276" w:lineRule="auto"/>
              <w:rPr>
                <w:sz w:val="20"/>
                <w:szCs w:val="20"/>
              </w:rPr>
            </w:pPr>
            <w:r w:rsidRPr="0033290F">
              <w:rPr>
                <w:sz w:val="20"/>
                <w:szCs w:val="20"/>
              </w:rPr>
              <w:t>Průběžně</w:t>
            </w:r>
          </w:p>
        </w:tc>
      </w:tr>
    </w:tbl>
    <w:p w:rsidR="001B0121" w:rsidRPr="004314F4" w:rsidRDefault="001B0121" w:rsidP="00B66FDE"/>
    <w:p w:rsidR="001B0121" w:rsidRPr="00946352" w:rsidRDefault="00F64941" w:rsidP="00165854">
      <w:pPr>
        <w:pStyle w:val="Nadpis4"/>
      </w:pPr>
      <w:bookmarkStart w:id="2426" w:name="_Toc392151014"/>
      <w:r>
        <w:t>Opatření, jež má být podpořeno v rámci investiční priority</w:t>
      </w:r>
      <w:bookmarkEnd w:id="2426"/>
      <w:r>
        <w:t xml:space="preserve"> </w:t>
      </w:r>
    </w:p>
    <w:p w:rsidR="001B0121" w:rsidRDefault="001B0121" w:rsidP="00165854">
      <w:pPr>
        <w:pStyle w:val="Nadpis5"/>
      </w:pPr>
      <w:bookmarkStart w:id="2427" w:name="_Toc392151015"/>
      <w:r w:rsidRPr="004314F4">
        <w:t xml:space="preserve">Popis typů </w:t>
      </w:r>
      <w:r w:rsidR="00F64941">
        <w:t xml:space="preserve">a </w:t>
      </w:r>
      <w:r w:rsidRPr="004314F4">
        <w:t>příkladů</w:t>
      </w:r>
      <w:r w:rsidR="00F64941">
        <w:t xml:space="preserve"> opatření, která mají být podporována, a jejich očekávaný přínos k plnění specifických cílů, případně včetně určení hlavních cílových skupin, konkrétních cílových území a druhů příjemců</w:t>
      </w:r>
      <w:bookmarkEnd w:id="2427"/>
      <w:r w:rsidRPr="004314F4">
        <w:t xml:space="preserve"> </w:t>
      </w:r>
    </w:p>
    <w:p w:rsidR="001F33E4" w:rsidRPr="004314F4" w:rsidRDefault="001F33E4" w:rsidP="00165854">
      <w:pPr>
        <w:pStyle w:val="Nadpis6"/>
        <w:rPr>
          <w:szCs w:val="16"/>
        </w:rPr>
      </w:pPr>
      <w:r w:rsidRPr="004314F4">
        <w:t xml:space="preserve">Specifický cíl 1: </w:t>
      </w:r>
      <w:r w:rsidR="001D55BF">
        <w:rPr>
          <w:szCs w:val="16"/>
        </w:rPr>
        <w:t xml:space="preserve">Předcházet </w:t>
      </w:r>
      <w:r w:rsidRPr="004314F4">
        <w:rPr>
          <w:szCs w:val="16"/>
        </w:rPr>
        <w:t>vzniku odpadů</w:t>
      </w:r>
      <w:r w:rsidR="00EF0ECE" w:rsidRPr="00EF0ECE">
        <w:rPr>
          <w:rFonts w:eastAsia="Times New Roman" w:cs="Calibri"/>
        </w:rPr>
        <w:t xml:space="preserve"> </w:t>
      </w:r>
      <w:r w:rsidR="00EF0ECE">
        <w:rPr>
          <w:rFonts w:eastAsia="Times New Roman" w:cs="Calibri"/>
        </w:rPr>
        <w:t>a snížit vliv nebezpečných vlastností odpadů</w:t>
      </w:r>
    </w:p>
    <w:p w:rsidR="00BB55A2" w:rsidRPr="004314F4" w:rsidRDefault="00BB55A2" w:rsidP="00BD4248">
      <w:pPr>
        <w:spacing w:after="0" w:afterAutospacing="0"/>
      </w:pPr>
      <w:r w:rsidRPr="004314F4">
        <w:t>Podporované aktivity v rámci specifického cíle 3.1 - budou:</w:t>
      </w:r>
    </w:p>
    <w:p w:rsidR="00674BC9" w:rsidRDefault="00BD4248" w:rsidP="00495FC1">
      <w:pPr>
        <w:pStyle w:val="Odstavecseseznamem"/>
        <w:numPr>
          <w:ilvl w:val="0"/>
          <w:numId w:val="61"/>
        </w:numPr>
        <w:spacing w:after="0" w:afterAutospacing="0"/>
      </w:pPr>
      <w:r>
        <w:t>a</w:t>
      </w:r>
      <w:r w:rsidR="003617AA">
        <w:t>plikace</w:t>
      </w:r>
      <w:r w:rsidR="003617AA" w:rsidRPr="004314F4">
        <w:t xml:space="preserve"> </w:t>
      </w:r>
      <w:r w:rsidR="006A1538" w:rsidRPr="004314F4">
        <w:t xml:space="preserve">inovativních technologií pro </w:t>
      </w:r>
      <w:r w:rsidR="003617AA">
        <w:t>předcházení</w:t>
      </w:r>
      <w:r w:rsidR="003617AA" w:rsidRPr="004314F4">
        <w:t xml:space="preserve"> </w:t>
      </w:r>
      <w:r w:rsidR="006A1538" w:rsidRPr="004314F4">
        <w:t xml:space="preserve">vzniku </w:t>
      </w:r>
      <w:r w:rsidR="003617AA">
        <w:t>a nakládání s</w:t>
      </w:r>
      <w:r>
        <w:t> </w:t>
      </w:r>
      <w:r w:rsidR="006A1538" w:rsidRPr="004314F4">
        <w:t>o</w:t>
      </w:r>
      <w:r w:rsidR="00946352">
        <w:t>dpad</w:t>
      </w:r>
      <w:r w:rsidR="003617AA">
        <w:t>y</w:t>
      </w:r>
      <w:r w:rsidR="00946352">
        <w:t xml:space="preserve"> </w:t>
      </w:r>
      <w:r w:rsidR="003617AA">
        <w:t>(zahrnující nejlepší dostupné technologie)</w:t>
      </w:r>
      <w:r>
        <w:t>,</w:t>
      </w:r>
      <w:r w:rsidR="003617AA">
        <w:t xml:space="preserve"> </w:t>
      </w:r>
      <w:r>
        <w:t>p</w:t>
      </w:r>
      <w:r w:rsidR="003617AA">
        <w:t xml:space="preserve">odpora </w:t>
      </w:r>
      <w:r w:rsidR="006A1538" w:rsidRPr="004314F4">
        <w:t>opětovné</w:t>
      </w:r>
      <w:r w:rsidR="003617AA">
        <w:t>ho</w:t>
      </w:r>
      <w:r w:rsidR="006A1538" w:rsidRPr="004314F4">
        <w:t xml:space="preserve"> použití</w:t>
      </w:r>
      <w:r w:rsidR="003617AA">
        <w:t xml:space="preserve"> výrobků na</w:t>
      </w:r>
      <w:r>
        <w:t> </w:t>
      </w:r>
      <w:r w:rsidR="003617AA">
        <w:t>konci životnosti a přípravy k opětovnému použití</w:t>
      </w:r>
      <w:r>
        <w:t>,</w:t>
      </w:r>
      <w:r w:rsidR="003617AA" w:rsidRPr="00560FFE">
        <w:t xml:space="preserve"> </w:t>
      </w:r>
    </w:p>
    <w:p w:rsidR="006F7D80" w:rsidRDefault="00BD4248" w:rsidP="00495FC1">
      <w:pPr>
        <w:pStyle w:val="Odstavecseseznamem"/>
        <w:numPr>
          <w:ilvl w:val="0"/>
          <w:numId w:val="17"/>
        </w:numPr>
      </w:pPr>
      <w:r>
        <w:t>v</w:t>
      </w:r>
      <w:r w:rsidR="00EF0ECE" w:rsidRPr="004314F4">
        <w:t xml:space="preserve">ýstavba </w:t>
      </w:r>
      <w:r w:rsidR="00EF0ECE">
        <w:t xml:space="preserve">a modernizace </w:t>
      </w:r>
      <w:r w:rsidR="00EF0ECE" w:rsidRPr="004314F4">
        <w:t>zařízení pro nakládání s nebezpečnými odpady</w:t>
      </w:r>
      <w:r w:rsidR="00EF0ECE">
        <w:t xml:space="preserve"> včetně zdravotnických odpadů</w:t>
      </w:r>
      <w:r w:rsidR="00EF0ECE" w:rsidRPr="004314F4">
        <w:t xml:space="preserve"> (vyjma skládkování)</w:t>
      </w:r>
      <w:r w:rsidR="00946352">
        <w:t>.</w:t>
      </w:r>
    </w:p>
    <w:p w:rsidR="004B6C19" w:rsidRDefault="004B6C19" w:rsidP="004B6C19"/>
    <w:p w:rsidR="004B6C19" w:rsidRDefault="004B6C19" w:rsidP="004B6C19"/>
    <w:p w:rsidR="00914864" w:rsidRPr="004314F4" w:rsidRDefault="00914864" w:rsidP="00961042">
      <w:pPr>
        <w:spacing w:after="0" w:afterAutospacing="0"/>
      </w:pPr>
      <w:r w:rsidRPr="004314F4">
        <w:lastRenderedPageBreak/>
        <w:t>Příklady podporovaných projektů:</w:t>
      </w:r>
    </w:p>
    <w:p w:rsidR="006F7D80" w:rsidRDefault="00961042" w:rsidP="00495FC1">
      <w:pPr>
        <w:pStyle w:val="Odstavecseseznamem"/>
        <w:numPr>
          <w:ilvl w:val="0"/>
          <w:numId w:val="18"/>
        </w:numPr>
        <w:spacing w:after="0" w:afterAutospacing="0"/>
      </w:pPr>
      <w:r>
        <w:t>p</w:t>
      </w:r>
      <w:r w:rsidR="00E1497C" w:rsidRPr="004314F4">
        <w:t xml:space="preserve">odpora </w:t>
      </w:r>
      <w:r w:rsidR="00E1497C">
        <w:t xml:space="preserve">modernizace výrobních </w:t>
      </w:r>
      <w:r w:rsidR="00E1497C" w:rsidRPr="004314F4">
        <w:t xml:space="preserve">technologií, jejichž výstupem bude výrobek neobsahující nebezpečné látky, nebo </w:t>
      </w:r>
      <w:r w:rsidR="00E1497C">
        <w:t xml:space="preserve">výrobek </w:t>
      </w:r>
      <w:r w:rsidR="00E1497C" w:rsidRPr="004314F4">
        <w:t>se sníženým obsahem nebezpečných látek</w:t>
      </w:r>
      <w:r w:rsidR="00E1497C">
        <w:t>, oproti výrobkům vyrobených původní výrobní te</w:t>
      </w:r>
      <w:r>
        <w:t>chnologií,</w:t>
      </w:r>
      <w:r w:rsidR="00E1497C" w:rsidRPr="004314F4">
        <w:t xml:space="preserve"> </w:t>
      </w:r>
    </w:p>
    <w:p w:rsidR="006F7D80" w:rsidRDefault="00961042" w:rsidP="00495FC1">
      <w:pPr>
        <w:pStyle w:val="Odstavecseseznamem"/>
        <w:numPr>
          <w:ilvl w:val="0"/>
          <w:numId w:val="18"/>
        </w:numPr>
      </w:pPr>
      <w:r>
        <w:t>p</w:t>
      </w:r>
      <w:r w:rsidR="00456053">
        <w:t xml:space="preserve">odpora </w:t>
      </w:r>
      <w:r w:rsidR="003617AA">
        <w:t xml:space="preserve">realizace nebo modernizace </w:t>
      </w:r>
      <w:r w:rsidR="00456053">
        <w:t>technologií, jejichž výstupem bude menší m</w:t>
      </w:r>
      <w:r w:rsidR="00946352">
        <w:t>nožství produkovaných odpadů na </w:t>
      </w:r>
      <w:r w:rsidR="00456053">
        <w:t>jednotku výrobku, řešících primárně na</w:t>
      </w:r>
      <w:r>
        <w:t>kládání s odpady daného podniku,</w:t>
      </w:r>
    </w:p>
    <w:p w:rsidR="006F7D80" w:rsidRDefault="00961042" w:rsidP="00495FC1">
      <w:pPr>
        <w:pStyle w:val="Odstavecseseznamem"/>
        <w:numPr>
          <w:ilvl w:val="0"/>
          <w:numId w:val="18"/>
        </w:numPr>
      </w:pPr>
      <w:r>
        <w:t>b</w:t>
      </w:r>
      <w:r w:rsidR="00E1497C" w:rsidRPr="004314F4">
        <w:t xml:space="preserve">udování center pro </w:t>
      </w:r>
      <w:r w:rsidR="003617AA">
        <w:t xml:space="preserve">předcházení vzniku odpadů </w:t>
      </w:r>
      <w:r w:rsidR="00E1497C" w:rsidRPr="004314F4">
        <w:t>(např. pro</w:t>
      </w:r>
      <w:r w:rsidR="003749A7">
        <w:t xml:space="preserve"> </w:t>
      </w:r>
      <w:r w:rsidR="00E1497C" w:rsidRPr="004314F4">
        <w:t>nábytek, textil</w:t>
      </w:r>
      <w:r>
        <w:t>),</w:t>
      </w:r>
    </w:p>
    <w:p w:rsidR="006F7D80" w:rsidRDefault="00961042" w:rsidP="00495FC1">
      <w:pPr>
        <w:pStyle w:val="Odstavecseseznamem"/>
        <w:numPr>
          <w:ilvl w:val="0"/>
          <w:numId w:val="18"/>
        </w:numPr>
      </w:pPr>
      <w:r>
        <w:t>z</w:t>
      </w:r>
      <w:r w:rsidR="00EF0ECE">
        <w:t xml:space="preserve">ařízení pro energetické zpracování zdravotnických </w:t>
      </w:r>
      <w:r w:rsidR="003617AA">
        <w:t xml:space="preserve">a nebezpečných </w:t>
      </w:r>
      <w:r w:rsidR="00EF0ECE">
        <w:t>odpadů, či je</w:t>
      </w:r>
      <w:r w:rsidR="003617AA">
        <w:t>jich</w:t>
      </w:r>
      <w:r>
        <w:t xml:space="preserve"> modernizace,</w:t>
      </w:r>
    </w:p>
    <w:p w:rsidR="006F7D80" w:rsidRDefault="00961042" w:rsidP="00495FC1">
      <w:pPr>
        <w:pStyle w:val="Odstavecseseznamem"/>
        <w:numPr>
          <w:ilvl w:val="0"/>
          <w:numId w:val="18"/>
        </w:numPr>
      </w:pPr>
      <w:r>
        <w:t>z</w:t>
      </w:r>
      <w:r w:rsidR="00EF0ECE">
        <w:t xml:space="preserve">ařízení pro nakládání s nebezpečnými odpady (např. autoklávy, </w:t>
      </w:r>
      <w:proofErr w:type="spellStart"/>
      <w:r w:rsidR="00EF0ECE">
        <w:t>homogenizéry</w:t>
      </w:r>
      <w:proofErr w:type="spellEnd"/>
      <w:r w:rsidR="00EF0ECE">
        <w:t>, separátory, termická desorpce, reaktory, biodegradační zařízení), či je</w:t>
      </w:r>
      <w:r w:rsidR="003617AA">
        <w:t>jich</w:t>
      </w:r>
      <w:r>
        <w:t xml:space="preserve"> modernizace,</w:t>
      </w:r>
      <w:r w:rsidR="00EF0ECE">
        <w:t xml:space="preserve"> </w:t>
      </w:r>
    </w:p>
    <w:p w:rsidR="006F7D80" w:rsidRDefault="006F7D80" w:rsidP="00495FC1">
      <w:pPr>
        <w:pStyle w:val="Odstavecseseznamem"/>
        <w:numPr>
          <w:ilvl w:val="0"/>
          <w:numId w:val="18"/>
        </w:numPr>
      </w:pPr>
    </w:p>
    <w:p w:rsidR="00CE607D" w:rsidRPr="004314F4" w:rsidRDefault="00961042" w:rsidP="00495FC1">
      <w:pPr>
        <w:pStyle w:val="Odstavecseseznamem"/>
        <w:numPr>
          <w:ilvl w:val="0"/>
          <w:numId w:val="18"/>
        </w:numPr>
      </w:pPr>
      <w:r>
        <w:t>b</w:t>
      </w:r>
      <w:r w:rsidR="00EF0ECE">
        <w:t xml:space="preserve">udování separačních technologií pro plastový odpad s obsahem </w:t>
      </w:r>
      <w:proofErr w:type="spellStart"/>
      <w:r w:rsidR="00EF0ECE">
        <w:t>POP’s</w:t>
      </w:r>
      <w:proofErr w:type="spellEnd"/>
      <w:r w:rsidR="00EF0ECE">
        <w:t xml:space="preserve"> </w:t>
      </w:r>
      <w:r w:rsidR="00EF0ECE">
        <w:br/>
        <w:t>s návaznými zpracovatelskými technologiemi.</w:t>
      </w:r>
    </w:p>
    <w:p w:rsidR="00BE7616" w:rsidRPr="00CB78B6" w:rsidRDefault="00BB55A2" w:rsidP="00B66FDE">
      <w:bookmarkStart w:id="2428" w:name="_Toc384907399"/>
      <w:r w:rsidRPr="004314F4">
        <w:t>Hlavní cílové skupiny:</w:t>
      </w:r>
      <w:r w:rsidR="00C87D29" w:rsidRPr="004314F4">
        <w:t xml:space="preserve"> kraje, města a obce, města a pověřené obce, původci odpadu</w:t>
      </w:r>
      <w:r w:rsidR="00EF0ECE">
        <w:t>, podnikatelské subjekty.</w:t>
      </w:r>
      <w:bookmarkEnd w:id="2428"/>
    </w:p>
    <w:p w:rsidR="00BE7616" w:rsidRPr="004314F4" w:rsidRDefault="00BB55A2" w:rsidP="00165854">
      <w:bookmarkStart w:id="2429" w:name="_Toc384907400"/>
      <w:r w:rsidRPr="004314F4">
        <w:t xml:space="preserve">Cílová území: území celé </w:t>
      </w:r>
      <w:r w:rsidR="00C774E6">
        <w:t>České republi</w:t>
      </w:r>
      <w:r w:rsidR="0007549A">
        <w:t>ky</w:t>
      </w:r>
      <w:bookmarkEnd w:id="2429"/>
    </w:p>
    <w:p w:rsidR="000E7F1B" w:rsidRPr="008920FB" w:rsidRDefault="000E7F1B" w:rsidP="000E7F1B">
      <w:pPr>
        <w:pStyle w:val="Default"/>
        <w:spacing w:after="100" w:afterAutospacing="1" w:line="276" w:lineRule="auto"/>
        <w:rPr>
          <w:rFonts w:ascii="Cambria" w:hAnsi="Cambria"/>
          <w:b/>
          <w:sz w:val="22"/>
          <w:szCs w:val="22"/>
        </w:rPr>
      </w:pPr>
      <w:r w:rsidRPr="008920FB">
        <w:rPr>
          <w:rFonts w:ascii="Cambria" w:hAnsi="Cambria"/>
          <w:b/>
          <w:sz w:val="22"/>
          <w:szCs w:val="22"/>
        </w:rPr>
        <w:t>Typy příjemců</w:t>
      </w:r>
      <w:r w:rsidR="00C93845" w:rsidRPr="008920FB">
        <w:rPr>
          <w:rFonts w:ascii="Cambria" w:hAnsi="Cambria"/>
          <w:b/>
          <w:sz w:val="22"/>
          <w:szCs w:val="22"/>
        </w:rPr>
        <w:t>:</w:t>
      </w:r>
    </w:p>
    <w:p w:rsidR="000E7F1B" w:rsidRPr="00CA2D14" w:rsidRDefault="000E7F1B" w:rsidP="000E7F1B">
      <w:pPr>
        <w:pStyle w:val="Default"/>
        <w:spacing w:line="276" w:lineRule="auto"/>
        <w:rPr>
          <w:rFonts w:ascii="Cambria" w:hAnsi="Cambria" w:cstheme="minorBidi"/>
          <w:sz w:val="22"/>
          <w:szCs w:val="22"/>
        </w:rPr>
      </w:pPr>
      <w:r w:rsidRPr="00CA2D14">
        <w:rPr>
          <w:rFonts w:ascii="Cambria" w:hAnsi="Cambria"/>
          <w:sz w:val="22"/>
          <w:szCs w:val="22"/>
        </w:rPr>
        <w:t>P</w:t>
      </w:r>
      <w:r w:rsidRPr="00CA2D14">
        <w:rPr>
          <w:rFonts w:ascii="Cambria" w:hAnsi="Cambria" w:cstheme="minorBidi"/>
          <w:sz w:val="22"/>
          <w:szCs w:val="22"/>
        </w:rPr>
        <w:t xml:space="preserve">rávnické </w:t>
      </w:r>
      <w:r w:rsidRPr="008920FB">
        <w:rPr>
          <w:rFonts w:ascii="Cambria" w:hAnsi="Cambria"/>
          <w:sz w:val="22"/>
          <w:szCs w:val="22"/>
        </w:rPr>
        <w:t>osoby</w:t>
      </w:r>
      <w:r w:rsidR="008920FB">
        <w:rPr>
          <w:rFonts w:ascii="Cambria" w:hAnsi="Cambria"/>
          <w:sz w:val="22"/>
          <w:szCs w:val="22"/>
        </w:rPr>
        <w:t xml:space="preserve"> </w:t>
      </w:r>
      <w:r w:rsidR="0033290F" w:rsidRPr="0033290F">
        <w:rPr>
          <w:rFonts w:ascii="Cambria" w:hAnsi="Cambria"/>
          <w:sz w:val="22"/>
          <w:szCs w:val="22"/>
        </w:rPr>
        <w:t>(pouze indikativní výčet)</w:t>
      </w:r>
      <w:r w:rsidRPr="008920FB">
        <w:rPr>
          <w:rFonts w:ascii="Cambria" w:hAnsi="Cambria"/>
          <w:sz w:val="22"/>
          <w:szCs w:val="22"/>
        </w:rPr>
        <w:t>:</w:t>
      </w:r>
      <w:r w:rsidRPr="00CA2D14">
        <w:rPr>
          <w:rFonts w:ascii="Cambria" w:hAnsi="Cambria" w:cstheme="minorBidi"/>
          <w:sz w:val="22"/>
          <w:szCs w:val="22"/>
        </w:rPr>
        <w:t xml:space="preserve"> </w:t>
      </w:r>
    </w:p>
    <w:p w:rsidR="000E7F1B" w:rsidRPr="00CA2D14" w:rsidRDefault="000E7F1B" w:rsidP="00495FC1">
      <w:pPr>
        <w:pStyle w:val="Default"/>
        <w:numPr>
          <w:ilvl w:val="0"/>
          <w:numId w:val="102"/>
        </w:numPr>
        <w:spacing w:line="276" w:lineRule="auto"/>
        <w:rPr>
          <w:rFonts w:ascii="Cambria" w:hAnsi="Cambria" w:cstheme="minorBidi"/>
          <w:sz w:val="22"/>
          <w:szCs w:val="22"/>
        </w:rPr>
      </w:pPr>
      <w:r w:rsidRPr="00CA2D14">
        <w:rPr>
          <w:rFonts w:ascii="Cambria" w:hAnsi="Cambria" w:cstheme="minorBidi"/>
          <w:sz w:val="22"/>
          <w:szCs w:val="22"/>
        </w:rPr>
        <w:t>kraje</w:t>
      </w:r>
      <w:r w:rsidR="008920FB">
        <w:rPr>
          <w:rFonts w:ascii="Cambria" w:hAnsi="Cambria" w:cstheme="minorBidi"/>
          <w:sz w:val="22"/>
          <w:szCs w:val="22"/>
        </w:rPr>
        <w:t>,</w:t>
      </w:r>
    </w:p>
    <w:p w:rsidR="000E7F1B" w:rsidRPr="00CA2D14" w:rsidRDefault="008920FB" w:rsidP="00495FC1">
      <w:pPr>
        <w:pStyle w:val="Default"/>
        <w:numPr>
          <w:ilvl w:val="0"/>
          <w:numId w:val="102"/>
        </w:numPr>
        <w:spacing w:line="276" w:lineRule="auto"/>
        <w:rPr>
          <w:rFonts w:ascii="Cambria" w:hAnsi="Cambria" w:cstheme="minorBidi"/>
          <w:sz w:val="22"/>
          <w:szCs w:val="22"/>
        </w:rPr>
      </w:pPr>
      <w:r>
        <w:rPr>
          <w:rFonts w:ascii="Cambria" w:hAnsi="Cambria" w:cstheme="minorBidi"/>
          <w:sz w:val="22"/>
          <w:szCs w:val="22"/>
        </w:rPr>
        <w:t>obce,</w:t>
      </w:r>
    </w:p>
    <w:p w:rsidR="000E7F1B" w:rsidRPr="00CA2D14" w:rsidRDefault="000E7F1B" w:rsidP="00495FC1">
      <w:pPr>
        <w:pStyle w:val="Default"/>
        <w:numPr>
          <w:ilvl w:val="0"/>
          <w:numId w:val="102"/>
        </w:numPr>
        <w:spacing w:after="100" w:afterAutospacing="1" w:line="276" w:lineRule="auto"/>
        <w:rPr>
          <w:rFonts w:ascii="Cambria" w:hAnsi="Cambria" w:cstheme="minorBidi"/>
          <w:sz w:val="22"/>
          <w:szCs w:val="22"/>
        </w:rPr>
      </w:pPr>
      <w:r w:rsidRPr="00CA2D14">
        <w:rPr>
          <w:rFonts w:ascii="Cambria" w:hAnsi="Cambria" w:cstheme="minorBidi"/>
          <w:sz w:val="22"/>
          <w:szCs w:val="22"/>
        </w:rPr>
        <w:t>dobrovolné svazky obcí</w:t>
      </w:r>
      <w:r w:rsidR="008920FB">
        <w:rPr>
          <w:rFonts w:ascii="Cambria" w:hAnsi="Cambria" w:cstheme="minorBidi"/>
          <w:sz w:val="22"/>
          <w:szCs w:val="22"/>
        </w:rPr>
        <w:t>,</w:t>
      </w:r>
    </w:p>
    <w:p w:rsidR="000E7F1B" w:rsidRPr="00CA2D14" w:rsidRDefault="000E7F1B" w:rsidP="00495FC1">
      <w:pPr>
        <w:pStyle w:val="Default"/>
        <w:numPr>
          <w:ilvl w:val="0"/>
          <w:numId w:val="102"/>
        </w:numPr>
        <w:spacing w:after="100" w:afterAutospacing="1" w:line="276" w:lineRule="auto"/>
        <w:rPr>
          <w:rFonts w:ascii="Cambria" w:hAnsi="Cambria" w:cstheme="minorBidi"/>
          <w:sz w:val="22"/>
          <w:szCs w:val="22"/>
        </w:rPr>
      </w:pPr>
      <w:r w:rsidRPr="00CA2D14">
        <w:rPr>
          <w:rFonts w:ascii="Cambria" w:hAnsi="Cambria" w:cstheme="minorBidi"/>
          <w:sz w:val="22"/>
          <w:szCs w:val="22"/>
        </w:rPr>
        <w:t>příspěvkové organizace</w:t>
      </w:r>
      <w:r w:rsidR="008920FB">
        <w:rPr>
          <w:rFonts w:ascii="Cambria" w:hAnsi="Cambria" w:cstheme="minorBidi"/>
          <w:sz w:val="22"/>
          <w:szCs w:val="22"/>
        </w:rPr>
        <w:t>,</w:t>
      </w:r>
    </w:p>
    <w:p w:rsidR="000E7F1B" w:rsidRPr="00CA2D14" w:rsidRDefault="000E7F1B" w:rsidP="00495FC1">
      <w:pPr>
        <w:pStyle w:val="Default"/>
        <w:numPr>
          <w:ilvl w:val="0"/>
          <w:numId w:val="102"/>
        </w:numPr>
        <w:spacing w:after="100" w:afterAutospacing="1" w:line="276" w:lineRule="auto"/>
        <w:rPr>
          <w:rFonts w:ascii="Cambria" w:hAnsi="Cambria" w:cstheme="minorBidi"/>
          <w:sz w:val="22"/>
          <w:szCs w:val="22"/>
        </w:rPr>
      </w:pPr>
      <w:r w:rsidRPr="00CA2D14">
        <w:rPr>
          <w:rFonts w:ascii="Cambria" w:hAnsi="Cambria" w:cstheme="minorBidi"/>
          <w:sz w:val="22"/>
          <w:szCs w:val="22"/>
        </w:rPr>
        <w:t>organizační složky státu</w:t>
      </w:r>
      <w:r w:rsidR="008920FB">
        <w:rPr>
          <w:rFonts w:ascii="Cambria" w:hAnsi="Cambria" w:cstheme="minorBidi"/>
          <w:sz w:val="22"/>
          <w:szCs w:val="22"/>
        </w:rPr>
        <w:t>,</w:t>
      </w:r>
    </w:p>
    <w:p w:rsidR="000E7F1B" w:rsidRPr="00CA2D14" w:rsidRDefault="000E7F1B" w:rsidP="00495FC1">
      <w:pPr>
        <w:pStyle w:val="Default"/>
        <w:numPr>
          <w:ilvl w:val="0"/>
          <w:numId w:val="102"/>
        </w:numPr>
        <w:spacing w:after="100" w:afterAutospacing="1" w:line="276" w:lineRule="auto"/>
        <w:rPr>
          <w:rFonts w:ascii="Cambria" w:hAnsi="Cambria" w:cstheme="minorBidi"/>
          <w:sz w:val="22"/>
          <w:szCs w:val="22"/>
        </w:rPr>
      </w:pPr>
      <w:r w:rsidRPr="00CA2D14">
        <w:rPr>
          <w:rFonts w:ascii="Cambria" w:hAnsi="Cambria" w:cstheme="minorBidi"/>
          <w:sz w:val="22"/>
          <w:szCs w:val="22"/>
        </w:rPr>
        <w:t>státní podniky</w:t>
      </w:r>
      <w:r w:rsidR="008920FB">
        <w:rPr>
          <w:rFonts w:ascii="Cambria" w:hAnsi="Cambria" w:cstheme="minorBidi"/>
          <w:sz w:val="22"/>
          <w:szCs w:val="22"/>
        </w:rPr>
        <w:t>,</w:t>
      </w:r>
    </w:p>
    <w:p w:rsidR="000E7F1B" w:rsidRPr="00CA2D14" w:rsidRDefault="000E7F1B" w:rsidP="00495FC1">
      <w:pPr>
        <w:pStyle w:val="Default"/>
        <w:numPr>
          <w:ilvl w:val="0"/>
          <w:numId w:val="102"/>
        </w:numPr>
        <w:spacing w:after="100" w:afterAutospacing="1" w:line="276" w:lineRule="auto"/>
        <w:rPr>
          <w:rFonts w:ascii="Cambria" w:hAnsi="Cambria" w:cstheme="minorBidi"/>
          <w:sz w:val="22"/>
          <w:szCs w:val="22"/>
        </w:rPr>
      </w:pPr>
      <w:r w:rsidRPr="00CA2D14">
        <w:rPr>
          <w:rFonts w:ascii="Cambria" w:hAnsi="Cambria" w:cstheme="minorBidi"/>
          <w:sz w:val="22"/>
          <w:szCs w:val="22"/>
        </w:rPr>
        <w:t>spolky</w:t>
      </w:r>
      <w:r w:rsidR="008920FB">
        <w:rPr>
          <w:rFonts w:ascii="Cambria" w:hAnsi="Cambria" w:cstheme="minorBidi"/>
          <w:sz w:val="22"/>
          <w:szCs w:val="22"/>
        </w:rPr>
        <w:t>,</w:t>
      </w:r>
    </w:p>
    <w:p w:rsidR="000E7F1B" w:rsidRPr="00CA2D14" w:rsidRDefault="000E7F1B" w:rsidP="00495FC1">
      <w:pPr>
        <w:pStyle w:val="Default"/>
        <w:numPr>
          <w:ilvl w:val="0"/>
          <w:numId w:val="102"/>
        </w:numPr>
        <w:spacing w:after="100" w:afterAutospacing="1" w:line="276" w:lineRule="auto"/>
        <w:rPr>
          <w:rFonts w:ascii="Cambria" w:hAnsi="Cambria" w:cstheme="minorBidi"/>
          <w:sz w:val="22"/>
          <w:szCs w:val="22"/>
        </w:rPr>
      </w:pPr>
      <w:r w:rsidRPr="00CA2D14">
        <w:rPr>
          <w:rFonts w:ascii="Cambria" w:hAnsi="Cambria" w:cstheme="minorBidi"/>
          <w:sz w:val="22"/>
          <w:szCs w:val="22"/>
        </w:rPr>
        <w:t>podnikatelské subjekty</w:t>
      </w:r>
      <w:r w:rsidR="008920FB">
        <w:rPr>
          <w:rFonts w:ascii="Cambria" w:hAnsi="Cambria" w:cstheme="minorBidi"/>
          <w:sz w:val="22"/>
          <w:szCs w:val="22"/>
        </w:rPr>
        <w:t>,</w:t>
      </w:r>
    </w:p>
    <w:p w:rsidR="000E7F1B" w:rsidRPr="00CA2D14" w:rsidRDefault="000E7F1B" w:rsidP="00495FC1">
      <w:pPr>
        <w:pStyle w:val="Default"/>
        <w:numPr>
          <w:ilvl w:val="0"/>
          <w:numId w:val="102"/>
        </w:numPr>
        <w:spacing w:after="100" w:afterAutospacing="1" w:line="276" w:lineRule="auto"/>
        <w:rPr>
          <w:rFonts w:ascii="Cambria" w:hAnsi="Cambria" w:cstheme="minorBidi"/>
          <w:sz w:val="22"/>
          <w:szCs w:val="22"/>
        </w:rPr>
      </w:pPr>
      <w:r w:rsidRPr="00CA2D14">
        <w:rPr>
          <w:rFonts w:ascii="Cambria" w:hAnsi="Cambria" w:cstheme="minorBidi"/>
          <w:sz w:val="22"/>
          <w:szCs w:val="22"/>
        </w:rPr>
        <w:t>obchodní společnosti</w:t>
      </w:r>
      <w:r w:rsidR="008920FB">
        <w:rPr>
          <w:rFonts w:ascii="Cambria" w:hAnsi="Cambria" w:cstheme="minorBidi"/>
          <w:sz w:val="22"/>
          <w:szCs w:val="22"/>
        </w:rPr>
        <w:t>,</w:t>
      </w:r>
    </w:p>
    <w:p w:rsidR="000E7F1B" w:rsidRPr="00CA2D14" w:rsidRDefault="008920FB" w:rsidP="00495FC1">
      <w:pPr>
        <w:pStyle w:val="Default"/>
        <w:numPr>
          <w:ilvl w:val="0"/>
          <w:numId w:val="102"/>
        </w:numPr>
        <w:spacing w:after="100" w:afterAutospacing="1" w:line="276" w:lineRule="auto"/>
        <w:rPr>
          <w:rFonts w:ascii="Cambria" w:hAnsi="Cambria" w:cstheme="minorBidi"/>
          <w:sz w:val="22"/>
          <w:szCs w:val="22"/>
        </w:rPr>
      </w:pPr>
      <w:r>
        <w:rPr>
          <w:rFonts w:ascii="Cambria" w:hAnsi="Cambria" w:cstheme="minorBidi"/>
          <w:sz w:val="22"/>
          <w:szCs w:val="22"/>
        </w:rPr>
        <w:t>občanská sdružení</w:t>
      </w:r>
      <w:r w:rsidR="000E7F1B" w:rsidRPr="00CA2D14">
        <w:rPr>
          <w:rFonts w:ascii="Cambria" w:hAnsi="Cambria" w:cstheme="minorBidi"/>
          <w:sz w:val="22"/>
          <w:szCs w:val="22"/>
        </w:rPr>
        <w:t>.</w:t>
      </w:r>
    </w:p>
    <w:p w:rsidR="000E7F1B" w:rsidRDefault="000E7F1B" w:rsidP="000E7F1B">
      <w:pPr>
        <w:pStyle w:val="Default"/>
        <w:spacing w:after="100" w:afterAutospacing="1" w:line="276" w:lineRule="auto"/>
        <w:rPr>
          <w:rFonts w:ascii="Cambria" w:hAnsi="Cambria" w:cstheme="minorBidi"/>
          <w:sz w:val="22"/>
          <w:szCs w:val="22"/>
        </w:rPr>
      </w:pPr>
      <w:r w:rsidRPr="00CA2D14">
        <w:rPr>
          <w:rFonts w:ascii="Cambria" w:hAnsi="Cambria" w:cstheme="minorBidi"/>
          <w:sz w:val="22"/>
          <w:szCs w:val="22"/>
        </w:rPr>
        <w:t>Fyzické osoby (podnikající)</w:t>
      </w:r>
    </w:p>
    <w:p w:rsidR="00674BC9" w:rsidRDefault="000E7F1B">
      <w:pPr>
        <w:pStyle w:val="Default"/>
        <w:spacing w:after="100" w:afterAutospacing="1" w:line="276" w:lineRule="auto"/>
        <w:rPr>
          <w:rFonts w:ascii="Cambria" w:hAnsi="Cambria" w:cstheme="minorBidi"/>
          <w:sz w:val="22"/>
          <w:szCs w:val="22"/>
        </w:rPr>
      </w:pPr>
      <w:r w:rsidRPr="00CA2D14">
        <w:rPr>
          <w:rFonts w:ascii="Cambria" w:hAnsi="Cambria" w:cstheme="minorBidi"/>
          <w:sz w:val="22"/>
          <w:szCs w:val="22"/>
        </w:rPr>
        <w:br/>
        <w:t>Pozn.: Okruh příjemců bude dále podrobněji definován v návazné řídící dokumentaci.</w:t>
      </w:r>
    </w:p>
    <w:p w:rsidR="004B6C19" w:rsidRDefault="004B6C19">
      <w:pPr>
        <w:pStyle w:val="Default"/>
        <w:spacing w:after="100" w:afterAutospacing="1" w:line="276" w:lineRule="auto"/>
        <w:rPr>
          <w:rFonts w:ascii="Cambria" w:hAnsi="Cambria" w:cstheme="minorBidi"/>
          <w:sz w:val="22"/>
          <w:szCs w:val="22"/>
        </w:rPr>
      </w:pPr>
    </w:p>
    <w:p w:rsidR="004B6C19" w:rsidRDefault="004B6C19">
      <w:pPr>
        <w:pStyle w:val="Default"/>
        <w:spacing w:after="100" w:afterAutospacing="1" w:line="276" w:lineRule="auto"/>
      </w:pPr>
    </w:p>
    <w:p w:rsidR="001F33E4" w:rsidRPr="004314F4" w:rsidRDefault="001F33E4" w:rsidP="00165854">
      <w:pPr>
        <w:pStyle w:val="Nadpis6"/>
      </w:pPr>
      <w:r w:rsidRPr="004314F4">
        <w:lastRenderedPageBreak/>
        <w:t xml:space="preserve">Specifický cíl 2: Zvýšit </w:t>
      </w:r>
      <w:r w:rsidR="00B909A1">
        <w:t xml:space="preserve">podíl </w:t>
      </w:r>
      <w:r w:rsidRPr="004314F4">
        <w:t xml:space="preserve">materiálového </w:t>
      </w:r>
      <w:r w:rsidR="00EF0ECE">
        <w:t xml:space="preserve">a energetického </w:t>
      </w:r>
      <w:r w:rsidRPr="004314F4">
        <w:t>využití odpadů</w:t>
      </w:r>
    </w:p>
    <w:p w:rsidR="00B54DE5" w:rsidRPr="004314F4" w:rsidRDefault="00B54DE5" w:rsidP="008920FB">
      <w:pPr>
        <w:spacing w:after="0" w:afterAutospacing="0"/>
      </w:pPr>
      <w:r w:rsidRPr="004314F4">
        <w:t>Podporované aktivity v rámci specifického cíle 3.2 - budou:</w:t>
      </w:r>
    </w:p>
    <w:p w:rsidR="006F7D80" w:rsidRDefault="008920FB" w:rsidP="00495FC1">
      <w:pPr>
        <w:pStyle w:val="Odstavecseseznamem"/>
        <w:numPr>
          <w:ilvl w:val="0"/>
          <w:numId w:val="19"/>
        </w:numPr>
        <w:spacing w:after="0" w:afterAutospacing="0"/>
      </w:pPr>
      <w:r>
        <w:t>v</w:t>
      </w:r>
      <w:r w:rsidR="006A1538" w:rsidRPr="004314F4">
        <w:t>ýstavba a modernizace zařízení pro sběr, třídění a úpravu odpadů (</w:t>
      </w:r>
      <w:r w:rsidR="002152AA">
        <w:t>s</w:t>
      </w:r>
      <w:r w:rsidR="006A1538" w:rsidRPr="004314F4">
        <w:t xml:space="preserve">ystémy pro sběr, svoz a separaci odpadů a bioodpadů, sběrné dvory a sklady komunálního odpadu, </w:t>
      </w:r>
      <w:r w:rsidR="002152AA">
        <w:t>s</w:t>
      </w:r>
      <w:r w:rsidR="006A1538" w:rsidRPr="004314F4">
        <w:t>ystémy pro separaci komunálních odpadů, nadzemní a podzemní kontejnery včetně související infrastruktury)</w:t>
      </w:r>
      <w:r>
        <w:t>,</w:t>
      </w:r>
    </w:p>
    <w:p w:rsidR="006F7D80" w:rsidRDefault="008920FB" w:rsidP="00495FC1">
      <w:pPr>
        <w:pStyle w:val="Odstavecseseznamem"/>
        <w:numPr>
          <w:ilvl w:val="0"/>
          <w:numId w:val="19"/>
        </w:numPr>
      </w:pPr>
      <w:r>
        <w:t>v</w:t>
      </w:r>
      <w:r w:rsidR="00A4005E" w:rsidRPr="004314F4">
        <w:t>ýstavba a modernizace zařízení pro materiálové využití odpadů (</w:t>
      </w:r>
      <w:r w:rsidR="00A4005E">
        <w:t xml:space="preserve">např. </w:t>
      </w:r>
      <w:r w:rsidR="00A4005E" w:rsidRPr="004314F4">
        <w:t>kompostárny</w:t>
      </w:r>
      <w:r w:rsidR="00946352">
        <w:t xml:space="preserve"> a </w:t>
      </w:r>
      <w:r w:rsidR="00A4005E">
        <w:t>jiná vhodná zařízení pro materiálové využití odpadů</w:t>
      </w:r>
      <w:r w:rsidR="00A4005E" w:rsidRPr="004314F4">
        <w:t>)</w:t>
      </w:r>
      <w:r w:rsidR="00EF0ECE">
        <w:t>,</w:t>
      </w:r>
    </w:p>
    <w:p w:rsidR="001A7CDE" w:rsidRPr="004314F4" w:rsidRDefault="008920FB" w:rsidP="00495FC1">
      <w:pPr>
        <w:pStyle w:val="Odstavecseseznamem"/>
        <w:numPr>
          <w:ilvl w:val="0"/>
          <w:numId w:val="19"/>
        </w:numPr>
      </w:pPr>
      <w:r>
        <w:t>v</w:t>
      </w:r>
      <w:r w:rsidR="00EF0ECE" w:rsidRPr="0099622B">
        <w:t>ýstavba a modernizace zařízení na energetické využití odpadů a související infrastruktury</w:t>
      </w:r>
      <w:r w:rsidR="00EF0ECE">
        <w:t>.</w:t>
      </w:r>
    </w:p>
    <w:p w:rsidR="003B6D83" w:rsidRPr="004314F4" w:rsidRDefault="003B6D83" w:rsidP="008920FB">
      <w:pPr>
        <w:spacing w:after="0" w:afterAutospacing="0"/>
      </w:pPr>
      <w:r w:rsidRPr="004314F4">
        <w:t>Příklady podporovaných projektů:</w:t>
      </w:r>
    </w:p>
    <w:p w:rsidR="006F7D80" w:rsidRDefault="008920FB" w:rsidP="00495FC1">
      <w:pPr>
        <w:pStyle w:val="Odstavecseseznamem"/>
        <w:numPr>
          <w:ilvl w:val="0"/>
          <w:numId w:val="20"/>
        </w:numPr>
        <w:spacing w:after="0" w:afterAutospacing="0"/>
      </w:pPr>
      <w:r>
        <w:t>v</w:t>
      </w:r>
      <w:r w:rsidR="00C25141" w:rsidRPr="004314F4">
        <w:t>ýstavba a modernizace zařízení pro sběr, třídění a úpravu odpadů</w:t>
      </w:r>
      <w:r>
        <w:t>,</w:t>
      </w:r>
      <w:r w:rsidR="00C25141" w:rsidRPr="004314F4">
        <w:t xml:space="preserve"> </w:t>
      </w:r>
    </w:p>
    <w:p w:rsidR="006F7D80" w:rsidRDefault="008920FB" w:rsidP="00495FC1">
      <w:pPr>
        <w:pStyle w:val="Odstavecseseznamem"/>
        <w:numPr>
          <w:ilvl w:val="0"/>
          <w:numId w:val="20"/>
        </w:numPr>
      </w:pPr>
      <w:r>
        <w:t>d</w:t>
      </w:r>
      <w:r w:rsidR="00C25141" w:rsidRPr="004314F4">
        <w:t>oplnění systémů odděleného sběru, skladování a manipulace s</w:t>
      </w:r>
      <w:r>
        <w:t> </w:t>
      </w:r>
      <w:r w:rsidR="00C25141" w:rsidRPr="004314F4">
        <w:t>odpady</w:t>
      </w:r>
      <w:r>
        <w:t>,</w:t>
      </w:r>
      <w:r w:rsidR="00C25141" w:rsidRPr="004314F4">
        <w:t xml:space="preserve"> </w:t>
      </w:r>
    </w:p>
    <w:p w:rsidR="006F7D80" w:rsidRDefault="008920FB" w:rsidP="00495FC1">
      <w:pPr>
        <w:pStyle w:val="Odstavecseseznamem"/>
        <w:numPr>
          <w:ilvl w:val="0"/>
          <w:numId w:val="20"/>
        </w:numPr>
      </w:pPr>
      <w:r>
        <w:t>b</w:t>
      </w:r>
      <w:r w:rsidR="00C25141" w:rsidRPr="004314F4">
        <w:t>udování nových a modernizace stávajících sběrných dvorů</w:t>
      </w:r>
      <w:r>
        <w:t>,</w:t>
      </w:r>
      <w:r w:rsidR="00C25141" w:rsidRPr="004314F4">
        <w:t xml:space="preserve"> </w:t>
      </w:r>
    </w:p>
    <w:p w:rsidR="006F7D80" w:rsidRDefault="008920FB" w:rsidP="00495FC1">
      <w:pPr>
        <w:pStyle w:val="Odstavecseseznamem"/>
        <w:numPr>
          <w:ilvl w:val="0"/>
          <w:numId w:val="20"/>
        </w:numPr>
      </w:pPr>
      <w:r>
        <w:t>t</w:t>
      </w:r>
      <w:r w:rsidR="00AC66A7">
        <w:t xml:space="preserve">řídící a </w:t>
      </w:r>
      <w:proofErr w:type="spellStart"/>
      <w:r w:rsidR="00AC66A7">
        <w:t>dotřiďovací</w:t>
      </w:r>
      <w:proofErr w:type="spellEnd"/>
      <w:r w:rsidR="00AC66A7" w:rsidRPr="004314F4">
        <w:t xml:space="preserve"> linky zabezpečující kvalitní výstupní</w:t>
      </w:r>
      <w:r w:rsidR="00AC66A7">
        <w:t xml:space="preserve"> </w:t>
      </w:r>
      <w:r w:rsidR="00AC66A7" w:rsidRPr="004314F4">
        <w:t>surovinu</w:t>
      </w:r>
      <w:r w:rsidR="00B96280">
        <w:t xml:space="preserve"> </w:t>
      </w:r>
      <w:r w:rsidR="00AC66A7">
        <w:t>a linky</w:t>
      </w:r>
      <w:r w:rsidR="00AC66A7" w:rsidRPr="004314F4">
        <w:t xml:space="preserve"> s</w:t>
      </w:r>
      <w:r>
        <w:t> </w:t>
      </w:r>
      <w:r w:rsidR="00AC66A7" w:rsidRPr="004314F4">
        <w:t>navazujícími technologiemi</w:t>
      </w:r>
      <w:r>
        <w:t>,</w:t>
      </w:r>
    </w:p>
    <w:p w:rsidR="006F7D80" w:rsidRDefault="008920FB" w:rsidP="00495FC1">
      <w:pPr>
        <w:pStyle w:val="Odstavecseseznamem"/>
        <w:numPr>
          <w:ilvl w:val="0"/>
          <w:numId w:val="20"/>
        </w:numPr>
      </w:pPr>
      <w:r>
        <w:t>d</w:t>
      </w:r>
      <w:r w:rsidR="00456053" w:rsidRPr="004314F4">
        <w:t xml:space="preserve">oplnění překladišť </w:t>
      </w:r>
      <w:r w:rsidR="00456053">
        <w:t xml:space="preserve">a skladů </w:t>
      </w:r>
      <w:r w:rsidR="00456053" w:rsidRPr="004314F4">
        <w:t>pro KO a jeho vytříděné složky a pro další odpady, které nejsou z kategorie nebezpečné</w:t>
      </w:r>
      <w:r>
        <w:t>,</w:t>
      </w:r>
      <w:r w:rsidR="00456053" w:rsidRPr="004314F4">
        <w:t xml:space="preserve"> </w:t>
      </w:r>
      <w:r w:rsidR="00C25141" w:rsidRPr="004314F4">
        <w:t xml:space="preserve"> </w:t>
      </w:r>
    </w:p>
    <w:p w:rsidR="006F7D80" w:rsidRDefault="008920FB" w:rsidP="00495FC1">
      <w:pPr>
        <w:pStyle w:val="Odstavecseseznamem"/>
        <w:numPr>
          <w:ilvl w:val="0"/>
          <w:numId w:val="20"/>
        </w:numPr>
      </w:pPr>
      <w:r>
        <w:t>b</w:t>
      </w:r>
      <w:r w:rsidR="00C25141" w:rsidRPr="004314F4">
        <w:t>udování systémů odděleného sběru bioodpadů</w:t>
      </w:r>
      <w:r>
        <w:t>,</w:t>
      </w:r>
      <w:r w:rsidR="00C25141" w:rsidRPr="004314F4">
        <w:t xml:space="preserve"> </w:t>
      </w:r>
    </w:p>
    <w:p w:rsidR="00674BC9" w:rsidRDefault="008920FB" w:rsidP="00495FC1">
      <w:pPr>
        <w:pStyle w:val="Odstavecseseznamem"/>
        <w:numPr>
          <w:ilvl w:val="0"/>
          <w:numId w:val="20"/>
        </w:numPr>
        <w:spacing w:after="0" w:afterAutospacing="0"/>
      </w:pPr>
      <w:r>
        <w:t>p</w:t>
      </w:r>
      <w:r w:rsidR="002217F6" w:rsidRPr="00A670B3">
        <w:t>odpora a rozvoj systému sběru, shromažďování a nakládání s</w:t>
      </w:r>
      <w:r w:rsidR="002217F6">
        <w:t> </w:t>
      </w:r>
      <w:r w:rsidR="002217F6" w:rsidRPr="00A670B3">
        <w:t>nebezpečnými</w:t>
      </w:r>
      <w:r w:rsidR="002217F6">
        <w:t xml:space="preserve"> a</w:t>
      </w:r>
      <w:r>
        <w:t> </w:t>
      </w:r>
      <w:r w:rsidR="002217F6">
        <w:t>zdravotnickými</w:t>
      </w:r>
      <w:r w:rsidR="002217F6" w:rsidRPr="00A670B3">
        <w:t xml:space="preserve"> </w:t>
      </w:r>
      <w:r w:rsidR="002217F6">
        <w:t>odpady</w:t>
      </w:r>
      <w:r>
        <w:t>,</w:t>
      </w:r>
    </w:p>
    <w:p w:rsidR="006F7D80" w:rsidRDefault="008920FB" w:rsidP="00495FC1">
      <w:pPr>
        <w:pStyle w:val="Odstavecseseznamem"/>
        <w:numPr>
          <w:ilvl w:val="0"/>
          <w:numId w:val="20"/>
        </w:numPr>
      </w:pPr>
      <w:r>
        <w:t>b</w:t>
      </w:r>
      <w:r w:rsidR="00564402">
        <w:t xml:space="preserve">udování kompostáren s využitím kompostu </w:t>
      </w:r>
      <w:r w:rsidR="00456053">
        <w:t xml:space="preserve">převážně </w:t>
      </w:r>
      <w:r w:rsidR="00564402">
        <w:t>na zemědělské půdě</w:t>
      </w:r>
      <w:r>
        <w:t>,</w:t>
      </w:r>
    </w:p>
    <w:p w:rsidR="006F7D80" w:rsidRDefault="008920FB" w:rsidP="00495FC1">
      <w:pPr>
        <w:pStyle w:val="Odstavecseseznamem"/>
        <w:numPr>
          <w:ilvl w:val="0"/>
          <w:numId w:val="20"/>
        </w:numPr>
      </w:pPr>
      <w:r>
        <w:t>o</w:t>
      </w:r>
      <w:r w:rsidR="00564402">
        <w:t>becní/komunitní kompostárny</w:t>
      </w:r>
      <w:r>
        <w:t>,</w:t>
      </w:r>
    </w:p>
    <w:p w:rsidR="006F7D80" w:rsidRDefault="008920FB" w:rsidP="00495FC1">
      <w:pPr>
        <w:pStyle w:val="Odstavecseseznamem"/>
        <w:numPr>
          <w:ilvl w:val="0"/>
          <w:numId w:val="20"/>
        </w:numPr>
      </w:pPr>
      <w:r>
        <w:t>b</w:t>
      </w:r>
      <w:r w:rsidR="00A61FD0" w:rsidRPr="004314F4">
        <w:t xml:space="preserve">udování samostatného sběru a svozu </w:t>
      </w:r>
      <w:proofErr w:type="spellStart"/>
      <w:r w:rsidR="00A61FD0" w:rsidRPr="004314F4">
        <w:t>gastroodpadů</w:t>
      </w:r>
      <w:proofErr w:type="spellEnd"/>
      <w:r w:rsidR="00A61FD0" w:rsidRPr="004314F4">
        <w:t>/kuchyňských odpadů</w:t>
      </w:r>
      <w:r>
        <w:t>,</w:t>
      </w:r>
    </w:p>
    <w:p w:rsidR="006F7D80" w:rsidRDefault="008920FB" w:rsidP="00495FC1">
      <w:pPr>
        <w:pStyle w:val="Odstavecseseznamem"/>
        <w:numPr>
          <w:ilvl w:val="0"/>
          <w:numId w:val="20"/>
        </w:numPr>
      </w:pPr>
      <w:r>
        <w:t>d</w:t>
      </w:r>
      <w:r w:rsidR="00A61FD0" w:rsidRPr="004314F4">
        <w:t>oplnění systému sběru u výrobků na konci životnosti</w:t>
      </w:r>
      <w:r>
        <w:t>,</w:t>
      </w:r>
      <w:r w:rsidR="00A61FD0" w:rsidRPr="004314F4">
        <w:t xml:space="preserve"> </w:t>
      </w:r>
    </w:p>
    <w:p w:rsidR="006F7D80" w:rsidRDefault="008920FB" w:rsidP="00495FC1">
      <w:pPr>
        <w:pStyle w:val="Odstavecseseznamem"/>
        <w:numPr>
          <w:ilvl w:val="0"/>
          <w:numId w:val="20"/>
        </w:numPr>
      </w:pPr>
      <w:r>
        <w:t>v</w:t>
      </w:r>
      <w:r w:rsidR="00A61FD0" w:rsidRPr="004314F4">
        <w:t>ybudování automatizované technologie pro třídění přenosných baterií</w:t>
      </w:r>
      <w:r>
        <w:t>,</w:t>
      </w:r>
    </w:p>
    <w:p w:rsidR="006F7D80" w:rsidRDefault="008920FB" w:rsidP="00495FC1">
      <w:pPr>
        <w:pStyle w:val="Odstavecseseznamem"/>
        <w:numPr>
          <w:ilvl w:val="0"/>
          <w:numId w:val="20"/>
        </w:numPr>
      </w:pPr>
      <w:r>
        <w:t>v</w:t>
      </w:r>
      <w:r w:rsidR="00A61FD0" w:rsidRPr="004314F4">
        <w:t>ýstavba a modernizace zařízení pro materiálové využití odpadů</w:t>
      </w:r>
      <w:r>
        <w:t>,</w:t>
      </w:r>
    </w:p>
    <w:p w:rsidR="006F7D80" w:rsidRDefault="008920FB" w:rsidP="00495FC1">
      <w:pPr>
        <w:pStyle w:val="Odstavecseseznamem"/>
        <w:numPr>
          <w:ilvl w:val="0"/>
          <w:numId w:val="20"/>
        </w:numPr>
      </w:pPr>
      <w:r>
        <w:t>z</w:t>
      </w:r>
      <w:r w:rsidR="00A61FD0" w:rsidRPr="004314F4">
        <w:t>ařízení na úpravu</w:t>
      </w:r>
      <w:r w:rsidR="002217F6">
        <w:t>, zpracování a využívání</w:t>
      </w:r>
      <w:r w:rsidR="00A61FD0" w:rsidRPr="004314F4">
        <w:t xml:space="preserve"> elektroodpadů</w:t>
      </w:r>
      <w:r>
        <w:t>,</w:t>
      </w:r>
      <w:r w:rsidR="00A61FD0" w:rsidRPr="004314F4">
        <w:t xml:space="preserve"> </w:t>
      </w:r>
    </w:p>
    <w:p w:rsidR="006F7D80" w:rsidRDefault="008920FB" w:rsidP="00495FC1">
      <w:pPr>
        <w:pStyle w:val="Odstavecseseznamem"/>
        <w:numPr>
          <w:ilvl w:val="0"/>
          <w:numId w:val="20"/>
        </w:numPr>
      </w:pPr>
      <w:r>
        <w:t>r</w:t>
      </w:r>
      <w:r w:rsidR="00A61FD0" w:rsidRPr="004314F4">
        <w:t>ozvoj nových zpracovatelských technologií chemických typů baterií</w:t>
      </w:r>
      <w:r>
        <w:t>,</w:t>
      </w:r>
    </w:p>
    <w:p w:rsidR="00674BC9" w:rsidRDefault="008920FB">
      <w:pPr>
        <w:pStyle w:val="Odstavecseseznamem"/>
      </w:pPr>
      <w:r>
        <w:t>z</w:t>
      </w:r>
      <w:r w:rsidR="00A61FD0" w:rsidRPr="004314F4">
        <w:t>ařízení na úpravu nebo využívání „ostatních“ odpadů</w:t>
      </w:r>
      <w:r>
        <w:t>,</w:t>
      </w:r>
    </w:p>
    <w:p w:rsidR="006F7D80" w:rsidRDefault="008920FB" w:rsidP="00495FC1">
      <w:pPr>
        <w:pStyle w:val="Odstavecseseznamem"/>
        <w:numPr>
          <w:ilvl w:val="0"/>
          <w:numId w:val="20"/>
        </w:numPr>
      </w:pPr>
      <w:r>
        <w:t>t</w:t>
      </w:r>
      <w:r w:rsidR="00A61FD0" w:rsidRPr="004314F4">
        <w:t xml:space="preserve">echnologie pro zpracování stavebních prvků ze zateplovacích systémů </w:t>
      </w:r>
      <w:r w:rsidR="00A61FD0" w:rsidRPr="004314F4">
        <w:br/>
        <w:t>(např. zpracování stavebního polystyrénu, stavebních prvků z PVC )</w:t>
      </w:r>
      <w:r>
        <w:t>,</w:t>
      </w:r>
    </w:p>
    <w:p w:rsidR="006F7D80" w:rsidRDefault="008920FB" w:rsidP="00495FC1">
      <w:pPr>
        <w:pStyle w:val="Odstavecseseznamem"/>
        <w:numPr>
          <w:ilvl w:val="0"/>
          <w:numId w:val="20"/>
        </w:numPr>
      </w:pPr>
      <w:r>
        <w:t>b</w:t>
      </w:r>
      <w:r w:rsidR="00EF0ECE">
        <w:t>udování zařízení na energetické využití komunálních odpadů (ZEVO)</w:t>
      </w:r>
      <w:r>
        <w:t>,</w:t>
      </w:r>
      <w:r w:rsidR="00EF0ECE">
        <w:t xml:space="preserve"> </w:t>
      </w:r>
    </w:p>
    <w:p w:rsidR="004D77D7" w:rsidRDefault="004D77D7" w:rsidP="00495FC1">
      <w:pPr>
        <w:pStyle w:val="Odstavecseseznamem"/>
        <w:numPr>
          <w:ilvl w:val="0"/>
          <w:numId w:val="20"/>
        </w:numPr>
      </w:pPr>
      <w:r>
        <w:t>zařízení pro tepelné zpracování odpadů,</w:t>
      </w:r>
    </w:p>
    <w:p w:rsidR="006F7D80" w:rsidRDefault="008920FB" w:rsidP="00495FC1">
      <w:pPr>
        <w:pStyle w:val="Odstavecseseznamem"/>
        <w:numPr>
          <w:ilvl w:val="0"/>
          <w:numId w:val="20"/>
        </w:numPr>
      </w:pPr>
      <w:r>
        <w:t>r</w:t>
      </w:r>
      <w:r w:rsidR="00EF0ECE">
        <w:t xml:space="preserve">ekonstrukce zařízení pro </w:t>
      </w:r>
      <w:proofErr w:type="spellStart"/>
      <w:r w:rsidR="00EF0ECE">
        <w:t>spoluspalování</w:t>
      </w:r>
      <w:proofErr w:type="spellEnd"/>
      <w:r w:rsidR="00EF0ECE">
        <w:t xml:space="preserve"> odpadů</w:t>
      </w:r>
      <w:r>
        <w:t>,</w:t>
      </w:r>
    </w:p>
    <w:p w:rsidR="00C25141" w:rsidRPr="004314F4" w:rsidRDefault="008920FB" w:rsidP="00495FC1">
      <w:pPr>
        <w:pStyle w:val="Odstavecseseznamem"/>
        <w:numPr>
          <w:ilvl w:val="0"/>
          <w:numId w:val="20"/>
        </w:numPr>
      </w:pPr>
      <w:r>
        <w:t>v</w:t>
      </w:r>
      <w:r w:rsidR="00EF0ECE">
        <w:t xml:space="preserve">ýstavba bioplynových a </w:t>
      </w:r>
      <w:proofErr w:type="spellStart"/>
      <w:r w:rsidR="00EF0ECE">
        <w:t>biofermentačních</w:t>
      </w:r>
      <w:proofErr w:type="spellEnd"/>
      <w:r w:rsidR="00EF0ECE">
        <w:t xml:space="preserve"> stanic pro zpracování bioodpadů.</w:t>
      </w:r>
    </w:p>
    <w:p w:rsidR="00BE7616" w:rsidRPr="00CB78B6" w:rsidRDefault="00B54DE5" w:rsidP="00B66FDE">
      <w:pPr>
        <w:rPr>
          <w:rFonts w:cs="Times New Roman"/>
          <w:color w:val="000000"/>
        </w:rPr>
      </w:pPr>
      <w:r w:rsidRPr="004314F4">
        <w:t xml:space="preserve">Hlavní cílové skupiny: </w:t>
      </w:r>
      <w:r w:rsidR="008F79DC" w:rsidRPr="004314F4">
        <w:rPr>
          <w:rFonts w:cs="Times New Roman"/>
          <w:color w:val="000000"/>
        </w:rPr>
        <w:t>kraje, města a obce, města a pověřené obce, původci odpadu</w:t>
      </w:r>
      <w:r w:rsidR="0071252A">
        <w:rPr>
          <w:rFonts w:cs="Times New Roman"/>
          <w:color w:val="000000"/>
        </w:rPr>
        <w:t>, podnikatelské subjekty.</w:t>
      </w:r>
    </w:p>
    <w:p w:rsidR="00BE7616" w:rsidRPr="004314F4" w:rsidRDefault="00B54DE5" w:rsidP="00165854">
      <w:bookmarkStart w:id="2430" w:name="_Toc384907402"/>
      <w:r w:rsidRPr="004314F4">
        <w:t xml:space="preserve">Cílová území: území celé </w:t>
      </w:r>
      <w:r w:rsidR="0007549A">
        <w:t xml:space="preserve">České republiky </w:t>
      </w:r>
      <w:bookmarkEnd w:id="2430"/>
    </w:p>
    <w:p w:rsidR="00260566" w:rsidRPr="008920FB" w:rsidRDefault="0033290F" w:rsidP="00260566">
      <w:pPr>
        <w:rPr>
          <w:b/>
        </w:rPr>
      </w:pPr>
      <w:r w:rsidRPr="0033290F">
        <w:rPr>
          <w:b/>
        </w:rPr>
        <w:lastRenderedPageBreak/>
        <w:t>Typy příjemců:</w:t>
      </w:r>
    </w:p>
    <w:p w:rsidR="00260566" w:rsidRPr="00CA2D14" w:rsidRDefault="00260566" w:rsidP="00260566">
      <w:pPr>
        <w:spacing w:after="0" w:afterAutospacing="0"/>
      </w:pPr>
      <w:r w:rsidRPr="00CA2D14">
        <w:t>Právnické osoby</w:t>
      </w:r>
      <w:r w:rsidR="008920FB">
        <w:t xml:space="preserve"> (pouze indikativní výčet)</w:t>
      </w:r>
      <w:r w:rsidRPr="00CA2D14">
        <w:t xml:space="preserve">: </w:t>
      </w:r>
    </w:p>
    <w:p w:rsidR="00260566" w:rsidRPr="00CA2D14" w:rsidRDefault="00260566" w:rsidP="00495FC1">
      <w:pPr>
        <w:pStyle w:val="Odstavecseseznamem"/>
        <w:numPr>
          <w:ilvl w:val="0"/>
          <w:numId w:val="103"/>
        </w:numPr>
        <w:spacing w:after="0" w:afterAutospacing="0"/>
        <w:jc w:val="left"/>
      </w:pPr>
      <w:r w:rsidRPr="00CA2D14">
        <w:t>kraje</w:t>
      </w:r>
      <w:r w:rsidR="008920FB">
        <w:t>,</w:t>
      </w:r>
    </w:p>
    <w:p w:rsidR="00260566" w:rsidRPr="00CA2D14" w:rsidRDefault="00260566" w:rsidP="00495FC1">
      <w:pPr>
        <w:pStyle w:val="Odstavecseseznamem"/>
        <w:numPr>
          <w:ilvl w:val="0"/>
          <w:numId w:val="103"/>
        </w:numPr>
        <w:spacing w:after="0" w:afterAutospacing="0"/>
        <w:jc w:val="left"/>
      </w:pPr>
      <w:r w:rsidRPr="00CA2D14">
        <w:t>obce</w:t>
      </w:r>
      <w:r w:rsidR="008920FB">
        <w:t>,</w:t>
      </w:r>
    </w:p>
    <w:p w:rsidR="00260566" w:rsidRPr="00CA2D14" w:rsidRDefault="00260566" w:rsidP="00495FC1">
      <w:pPr>
        <w:pStyle w:val="Odstavecseseznamem"/>
        <w:numPr>
          <w:ilvl w:val="0"/>
          <w:numId w:val="103"/>
        </w:numPr>
        <w:jc w:val="left"/>
      </w:pPr>
      <w:r w:rsidRPr="00CA2D14">
        <w:t>dobrovolné svazky obcí</w:t>
      </w:r>
      <w:r w:rsidR="008920FB">
        <w:t>,</w:t>
      </w:r>
    </w:p>
    <w:p w:rsidR="00260566" w:rsidRPr="00CA2D14" w:rsidRDefault="00260566" w:rsidP="00495FC1">
      <w:pPr>
        <w:pStyle w:val="Odstavecseseznamem"/>
        <w:numPr>
          <w:ilvl w:val="0"/>
          <w:numId w:val="103"/>
        </w:numPr>
        <w:jc w:val="left"/>
      </w:pPr>
      <w:r w:rsidRPr="00CA2D14">
        <w:t>příspěvkové organizace</w:t>
      </w:r>
      <w:r w:rsidR="008920FB">
        <w:t>,</w:t>
      </w:r>
    </w:p>
    <w:p w:rsidR="00260566" w:rsidRPr="00CA2D14" w:rsidRDefault="00260566" w:rsidP="00495FC1">
      <w:pPr>
        <w:pStyle w:val="Odstavecseseznamem"/>
        <w:numPr>
          <w:ilvl w:val="0"/>
          <w:numId w:val="103"/>
        </w:numPr>
        <w:jc w:val="left"/>
      </w:pPr>
      <w:r w:rsidRPr="00CA2D14">
        <w:t>organizační složky státu</w:t>
      </w:r>
      <w:r w:rsidR="008920FB">
        <w:t>,</w:t>
      </w:r>
    </w:p>
    <w:p w:rsidR="00260566" w:rsidRPr="00CA2D14" w:rsidRDefault="00260566" w:rsidP="00495FC1">
      <w:pPr>
        <w:pStyle w:val="Odstavecseseznamem"/>
        <w:numPr>
          <w:ilvl w:val="0"/>
          <w:numId w:val="103"/>
        </w:numPr>
        <w:jc w:val="left"/>
      </w:pPr>
      <w:r w:rsidRPr="00CA2D14">
        <w:t>státní podniky</w:t>
      </w:r>
      <w:r w:rsidR="008920FB">
        <w:t>,</w:t>
      </w:r>
      <w:r w:rsidRPr="00CA2D14">
        <w:t xml:space="preserve"> </w:t>
      </w:r>
    </w:p>
    <w:p w:rsidR="00260566" w:rsidRPr="00CA2D14" w:rsidRDefault="00260566" w:rsidP="00495FC1">
      <w:pPr>
        <w:pStyle w:val="Odstavecseseznamem"/>
        <w:numPr>
          <w:ilvl w:val="0"/>
          <w:numId w:val="103"/>
        </w:numPr>
        <w:jc w:val="left"/>
      </w:pPr>
      <w:r w:rsidRPr="00CA2D14">
        <w:t>spolky</w:t>
      </w:r>
      <w:r w:rsidR="008920FB">
        <w:t>,</w:t>
      </w:r>
    </w:p>
    <w:p w:rsidR="00260566" w:rsidRPr="00CA2D14" w:rsidRDefault="00260566" w:rsidP="00495FC1">
      <w:pPr>
        <w:pStyle w:val="Odstavecseseznamem"/>
        <w:numPr>
          <w:ilvl w:val="0"/>
          <w:numId w:val="103"/>
        </w:numPr>
        <w:jc w:val="left"/>
      </w:pPr>
      <w:r w:rsidRPr="00CA2D14">
        <w:t>podnikatelské subjekty</w:t>
      </w:r>
      <w:r w:rsidR="008920FB">
        <w:t>,</w:t>
      </w:r>
    </w:p>
    <w:p w:rsidR="00260566" w:rsidRPr="00CA2D14" w:rsidRDefault="00260566" w:rsidP="00495FC1">
      <w:pPr>
        <w:pStyle w:val="Odstavecseseznamem"/>
        <w:numPr>
          <w:ilvl w:val="0"/>
          <w:numId w:val="103"/>
        </w:numPr>
        <w:jc w:val="left"/>
      </w:pPr>
      <w:r w:rsidRPr="00CA2D14">
        <w:t>obchodní společnosti</w:t>
      </w:r>
      <w:r w:rsidR="008920FB">
        <w:t>,</w:t>
      </w:r>
    </w:p>
    <w:p w:rsidR="00260566" w:rsidRPr="00CA2D14" w:rsidRDefault="00260566" w:rsidP="00495FC1">
      <w:pPr>
        <w:pStyle w:val="Odstavecseseznamem"/>
        <w:numPr>
          <w:ilvl w:val="0"/>
          <w:numId w:val="103"/>
        </w:numPr>
        <w:jc w:val="left"/>
      </w:pPr>
      <w:r w:rsidRPr="00CA2D14">
        <w:t>občanská sdružení.</w:t>
      </w:r>
    </w:p>
    <w:p w:rsidR="00260566" w:rsidRDefault="00260566" w:rsidP="00260566">
      <w:r w:rsidRPr="00CA2D14">
        <w:t>Fyzické osoby (podnikající)</w:t>
      </w:r>
    </w:p>
    <w:p w:rsidR="00260566" w:rsidRPr="004314F4" w:rsidRDefault="00260566" w:rsidP="00B66FDE">
      <w:r w:rsidRPr="00CA2D14">
        <w:br/>
        <w:t>Pozn.: Okruh příjemců bude dále podrobněji definován v návazné řídící dokumentaci.</w:t>
      </w:r>
    </w:p>
    <w:p w:rsidR="001F33E4" w:rsidRPr="004314F4" w:rsidRDefault="001F33E4" w:rsidP="00165854">
      <w:pPr>
        <w:pStyle w:val="Nadpis6"/>
      </w:pPr>
      <w:r w:rsidRPr="004314F4">
        <w:t xml:space="preserve">Specifický cíl </w:t>
      </w:r>
      <w:r w:rsidR="00EF0ECE">
        <w:t>3</w:t>
      </w:r>
      <w:r w:rsidRPr="004314F4">
        <w:t>: Odstranit nepovolené skládky a rekultivovat staré skládky</w:t>
      </w:r>
    </w:p>
    <w:p w:rsidR="00B54DE5" w:rsidRPr="004314F4" w:rsidRDefault="00B54DE5" w:rsidP="00CC69AE">
      <w:pPr>
        <w:spacing w:after="0" w:afterAutospacing="0"/>
      </w:pPr>
      <w:r w:rsidRPr="004314F4">
        <w:t>Podporované aktivity v rámci specifického cíle 3.</w:t>
      </w:r>
      <w:r w:rsidR="00946352">
        <w:t>3 </w:t>
      </w:r>
      <w:r w:rsidRPr="004314F4">
        <w:t xml:space="preserve"> - budou:</w:t>
      </w:r>
    </w:p>
    <w:p w:rsidR="006F7D80" w:rsidRDefault="00CC69AE" w:rsidP="00495FC1">
      <w:pPr>
        <w:pStyle w:val="Odstavecseseznamem"/>
        <w:numPr>
          <w:ilvl w:val="0"/>
          <w:numId w:val="21"/>
        </w:numPr>
        <w:spacing w:after="0" w:afterAutospacing="0"/>
      </w:pPr>
      <w:r>
        <w:t>o</w:t>
      </w:r>
      <w:r w:rsidR="006A1538" w:rsidRPr="004314F4">
        <w:t>dstraňování nepovolených skládek</w:t>
      </w:r>
      <w:r w:rsidR="006B580A">
        <w:t xml:space="preserve"> (</w:t>
      </w:r>
      <w:r w:rsidR="006B580A" w:rsidRPr="004314F4">
        <w:t>ve zvláště chráněných územích, evropsky významných lokalitách</w:t>
      </w:r>
      <w:r w:rsidR="00734927">
        <w:t>,</w:t>
      </w:r>
      <w:r w:rsidR="006B580A" w:rsidRPr="004314F4">
        <w:t xml:space="preserve"> ptačích oblastech</w:t>
      </w:r>
      <w:r w:rsidR="00734927">
        <w:t xml:space="preserve"> a NATURA 2000</w:t>
      </w:r>
      <w:r w:rsidR="006B580A">
        <w:t>)</w:t>
      </w:r>
      <w:r>
        <w:t>,</w:t>
      </w:r>
    </w:p>
    <w:p w:rsidR="00BE7616" w:rsidRDefault="00CC69AE" w:rsidP="00495FC1">
      <w:pPr>
        <w:pStyle w:val="Odstavecseseznamem"/>
        <w:numPr>
          <w:ilvl w:val="0"/>
          <w:numId w:val="21"/>
        </w:numPr>
      </w:pPr>
      <w:r>
        <w:t>r</w:t>
      </w:r>
      <w:r w:rsidR="006A1538" w:rsidRPr="004314F4">
        <w:t>ekultivace starých skládek</w:t>
      </w:r>
      <w:r w:rsidR="006B580A">
        <w:t xml:space="preserve"> (technicky nezabezpečených).</w:t>
      </w:r>
    </w:p>
    <w:p w:rsidR="002364DD" w:rsidRPr="004314F4" w:rsidRDefault="002364DD" w:rsidP="00CC69AE">
      <w:pPr>
        <w:spacing w:after="0" w:afterAutospacing="0"/>
      </w:pPr>
      <w:r w:rsidRPr="004314F4">
        <w:t>Příklady podporovaných projektů:</w:t>
      </w:r>
    </w:p>
    <w:p w:rsidR="00D00735" w:rsidRDefault="00CC69AE" w:rsidP="00495FC1">
      <w:pPr>
        <w:pStyle w:val="Odstavecseseznamem"/>
        <w:numPr>
          <w:ilvl w:val="0"/>
          <w:numId w:val="62"/>
        </w:numPr>
        <w:spacing w:after="0" w:afterAutospacing="0"/>
      </w:pPr>
      <w:r>
        <w:t>o</w:t>
      </w:r>
      <w:r w:rsidR="002364DD" w:rsidRPr="004314F4">
        <w:t xml:space="preserve">dstranění </w:t>
      </w:r>
      <w:r w:rsidR="00734927">
        <w:t xml:space="preserve">(vymístění) </w:t>
      </w:r>
      <w:r w:rsidR="002364DD" w:rsidRPr="004314F4">
        <w:t xml:space="preserve">nepovolených </w:t>
      </w:r>
      <w:r w:rsidR="00734927">
        <w:t xml:space="preserve">tzv. černých </w:t>
      </w:r>
      <w:r w:rsidR="002364DD" w:rsidRPr="004314F4">
        <w:t>skládek ve zvláště chráněných územích, evropsky významných lokalitách</w:t>
      </w:r>
      <w:r w:rsidR="00734927">
        <w:t>,</w:t>
      </w:r>
      <w:r w:rsidR="002364DD" w:rsidRPr="004314F4">
        <w:t xml:space="preserve"> ptačích oblastech</w:t>
      </w:r>
      <w:r w:rsidR="00734927">
        <w:t xml:space="preserve"> a NATURA 2000, </w:t>
      </w:r>
      <w:r w:rsidR="00734927" w:rsidRPr="004314F4">
        <w:t xml:space="preserve">u nichž </w:t>
      </w:r>
      <w:r w:rsidR="00734927">
        <w:t>ne</w:t>
      </w:r>
      <w:r w:rsidR="00734927" w:rsidRPr="004314F4">
        <w:t xml:space="preserve">budou prokázána </w:t>
      </w:r>
      <w:r w:rsidR="00734927">
        <w:t xml:space="preserve">závažná </w:t>
      </w:r>
      <w:r w:rsidR="00734927" w:rsidRPr="004314F4">
        <w:t>rizika pro lidské zdraví či ekosystémy</w:t>
      </w:r>
      <w:r w:rsidR="00734927">
        <w:t>, a to na základě</w:t>
      </w:r>
      <w:r w:rsidR="00734927" w:rsidRPr="00A05A15">
        <w:t xml:space="preserve"> </w:t>
      </w:r>
      <w:r w:rsidR="00734927">
        <w:t xml:space="preserve">výsledků </w:t>
      </w:r>
      <w:r w:rsidR="00734927" w:rsidRPr="004314F4">
        <w:t>analýz rizik</w:t>
      </w:r>
      <w:r>
        <w:t>,</w:t>
      </w:r>
    </w:p>
    <w:p w:rsidR="00734927" w:rsidRDefault="00CC69AE" w:rsidP="00495FC1">
      <w:pPr>
        <w:pStyle w:val="Odstavecseseznamem"/>
        <w:numPr>
          <w:ilvl w:val="0"/>
          <w:numId w:val="63"/>
        </w:numPr>
        <w:spacing w:after="0" w:afterAutospacing="0"/>
      </w:pPr>
      <w:r>
        <w:t>r</w:t>
      </w:r>
      <w:r w:rsidR="002364DD" w:rsidRPr="004314F4">
        <w:t xml:space="preserve">ekultivace </w:t>
      </w:r>
      <w:r w:rsidR="00EF0ECE">
        <w:t xml:space="preserve">starých </w:t>
      </w:r>
      <w:r w:rsidR="002364DD" w:rsidRPr="004314F4">
        <w:t>skládek technicky nezabezpečených</w:t>
      </w:r>
      <w:r w:rsidR="00734927">
        <w:t xml:space="preserve">, které </w:t>
      </w:r>
      <w:r w:rsidR="00734927" w:rsidRPr="000E092B">
        <w:rPr>
          <w:rFonts w:eastAsia="TimesNewRomanPSMT" w:cs="TimesNewRomanPSMT"/>
        </w:rPr>
        <w:t>byl</w:t>
      </w:r>
      <w:r w:rsidR="00734927">
        <w:rPr>
          <w:rFonts w:eastAsia="TimesNewRomanPSMT" w:cs="TimesNewRomanPSMT"/>
        </w:rPr>
        <w:t>y</w:t>
      </w:r>
      <w:r w:rsidR="00734927" w:rsidRPr="000E092B">
        <w:rPr>
          <w:rFonts w:eastAsia="TimesNewRomanPSMT" w:cs="TimesNewRomanPSMT"/>
        </w:rPr>
        <w:t xml:space="preserve"> provozován</w:t>
      </w:r>
      <w:r w:rsidR="00734927">
        <w:rPr>
          <w:rFonts w:eastAsia="TimesNewRomanPSMT" w:cs="TimesNewRomanPSMT"/>
        </w:rPr>
        <w:t>y</w:t>
      </w:r>
      <w:r w:rsidR="00734927" w:rsidRPr="000E092B">
        <w:rPr>
          <w:rFonts w:eastAsia="TimesNewRomanPSMT" w:cs="TimesNewRomanPSMT"/>
        </w:rPr>
        <w:t xml:space="preserve"> před účinností zákona č. 238/1991 Sb.</w:t>
      </w:r>
      <w:r>
        <w:rPr>
          <w:rFonts w:eastAsia="TimesNewRomanPSMT" w:cs="TimesNewRomanPSMT"/>
        </w:rPr>
        <w:t>,</w:t>
      </w:r>
    </w:p>
    <w:p w:rsidR="00674BC9" w:rsidRDefault="00CC69AE" w:rsidP="00495FC1">
      <w:pPr>
        <w:pStyle w:val="Odstavecseseznamem"/>
        <w:numPr>
          <w:ilvl w:val="0"/>
          <w:numId w:val="63"/>
        </w:numPr>
        <w:spacing w:after="0" w:afterAutospacing="0"/>
      </w:pPr>
      <w:r>
        <w:t>n</w:t>
      </w:r>
      <w:r w:rsidR="00734927" w:rsidRPr="004314F4">
        <w:t xml:space="preserve">a základě žádostí, a zpracovaných a schválených projektů budou realizovány </w:t>
      </w:r>
      <w:r w:rsidR="00734927">
        <w:t>rekultivace</w:t>
      </w:r>
      <w:r w:rsidR="00734927" w:rsidRPr="004314F4">
        <w:t xml:space="preserve"> nepovolených skládek</w:t>
      </w:r>
      <w:r w:rsidR="00734927">
        <w:t xml:space="preserve">. Lokality, u nichž </w:t>
      </w:r>
      <w:r w:rsidR="00734927" w:rsidRPr="004314F4">
        <w:t>budou prokázána rizika pro lidské zdraví a ekosystémy budou moci být řešeny v rámci SC 3.</w:t>
      </w:r>
      <w:r w:rsidR="00734927">
        <w:t>4</w:t>
      </w:r>
      <w:r w:rsidR="00734927" w:rsidRPr="004314F4">
        <w:t>.</w:t>
      </w:r>
    </w:p>
    <w:p w:rsidR="00674BC9" w:rsidRDefault="00674BC9">
      <w:pPr>
        <w:pStyle w:val="Odstavecseseznamem"/>
        <w:spacing w:after="0" w:afterAutospacing="0"/>
      </w:pPr>
    </w:p>
    <w:p w:rsidR="00BE7616" w:rsidRPr="004314F4" w:rsidRDefault="008F227C" w:rsidP="00B66FDE">
      <w:pPr>
        <w:rPr>
          <w:rFonts w:cs="Times New Roman"/>
          <w:color w:val="000000"/>
        </w:rPr>
      </w:pPr>
      <w:r w:rsidRPr="004314F4">
        <w:t xml:space="preserve">Hlavní cílové skupiny: </w:t>
      </w:r>
      <w:r w:rsidRPr="004314F4">
        <w:rPr>
          <w:rFonts w:cs="Times New Roman"/>
          <w:color w:val="000000"/>
        </w:rPr>
        <w:t>kraje, města a obce, města a pověřené obce</w:t>
      </w:r>
      <w:r w:rsidR="00734927">
        <w:rPr>
          <w:rFonts w:cs="Times New Roman"/>
          <w:color w:val="000000"/>
        </w:rPr>
        <w:t xml:space="preserve">. </w:t>
      </w:r>
    </w:p>
    <w:p w:rsidR="00BE7616" w:rsidRDefault="00B54DE5" w:rsidP="00B66FDE">
      <w:bookmarkStart w:id="2431" w:name="_Toc384907404"/>
      <w:r w:rsidRPr="004314F4">
        <w:t xml:space="preserve">Cílová území: území celé </w:t>
      </w:r>
      <w:r w:rsidR="0007549A">
        <w:t>České republiky</w:t>
      </w:r>
      <w:bookmarkEnd w:id="2431"/>
    </w:p>
    <w:p w:rsidR="004B6C19" w:rsidRDefault="004B6C19" w:rsidP="00B66FDE"/>
    <w:p w:rsidR="004B6C19" w:rsidRPr="004314F4" w:rsidRDefault="004B6C19" w:rsidP="00B66FDE"/>
    <w:p w:rsidR="00097A31" w:rsidRPr="00B71829" w:rsidRDefault="0033290F" w:rsidP="00097A31">
      <w:pPr>
        <w:rPr>
          <w:b/>
        </w:rPr>
      </w:pPr>
      <w:r w:rsidRPr="0033290F">
        <w:rPr>
          <w:b/>
        </w:rPr>
        <w:lastRenderedPageBreak/>
        <w:t>Typy příjemců:</w:t>
      </w:r>
    </w:p>
    <w:p w:rsidR="00097A31" w:rsidRPr="00CA2D14" w:rsidRDefault="00097A31" w:rsidP="00097A31">
      <w:pPr>
        <w:spacing w:after="0" w:afterAutospacing="0"/>
      </w:pPr>
      <w:r w:rsidRPr="00CA2D14">
        <w:t>Právnické osoby</w:t>
      </w:r>
      <w:r w:rsidR="00B71829">
        <w:t xml:space="preserve"> (pouze indikativní výčet)</w:t>
      </w:r>
      <w:r w:rsidRPr="00CA2D14">
        <w:t>:</w:t>
      </w:r>
    </w:p>
    <w:p w:rsidR="00097A31" w:rsidRPr="00CA2D14" w:rsidRDefault="00097A31" w:rsidP="00495FC1">
      <w:pPr>
        <w:pStyle w:val="Odstavecseseznamem"/>
        <w:numPr>
          <w:ilvl w:val="0"/>
          <w:numId w:val="104"/>
        </w:numPr>
        <w:spacing w:after="0" w:afterAutospacing="0"/>
        <w:jc w:val="left"/>
      </w:pPr>
      <w:r w:rsidRPr="00CA2D14">
        <w:t>kraje</w:t>
      </w:r>
      <w:r w:rsidR="00B71829">
        <w:t>,</w:t>
      </w:r>
    </w:p>
    <w:p w:rsidR="00097A31" w:rsidRPr="00CA2D14" w:rsidRDefault="00097A31" w:rsidP="00495FC1">
      <w:pPr>
        <w:pStyle w:val="Odstavecseseznamem"/>
        <w:numPr>
          <w:ilvl w:val="0"/>
          <w:numId w:val="104"/>
        </w:numPr>
        <w:spacing w:after="0" w:afterAutospacing="0"/>
        <w:jc w:val="left"/>
      </w:pPr>
      <w:r w:rsidRPr="00CA2D14">
        <w:t>obce</w:t>
      </w:r>
      <w:r w:rsidR="00B71829">
        <w:t>,</w:t>
      </w:r>
    </w:p>
    <w:p w:rsidR="00097A31" w:rsidRPr="00CA2D14" w:rsidRDefault="00097A31" w:rsidP="00495FC1">
      <w:pPr>
        <w:pStyle w:val="Odstavecseseznamem"/>
        <w:numPr>
          <w:ilvl w:val="0"/>
          <w:numId w:val="104"/>
        </w:numPr>
        <w:jc w:val="left"/>
      </w:pPr>
      <w:r w:rsidRPr="00CA2D14">
        <w:t>dobrovolné svazky obcí</w:t>
      </w:r>
      <w:r w:rsidR="00B71829">
        <w:t>,</w:t>
      </w:r>
    </w:p>
    <w:p w:rsidR="00097A31" w:rsidRPr="00CA2D14" w:rsidRDefault="00097A31" w:rsidP="00495FC1">
      <w:pPr>
        <w:pStyle w:val="Odstavecseseznamem"/>
        <w:numPr>
          <w:ilvl w:val="0"/>
          <w:numId w:val="104"/>
        </w:numPr>
        <w:jc w:val="left"/>
      </w:pPr>
      <w:r w:rsidRPr="00CA2D14">
        <w:t>příspěvkové organizace</w:t>
      </w:r>
      <w:r w:rsidR="00B71829">
        <w:t>,</w:t>
      </w:r>
    </w:p>
    <w:p w:rsidR="00097A31" w:rsidRPr="00CA2D14" w:rsidRDefault="00097A31" w:rsidP="00495FC1">
      <w:pPr>
        <w:pStyle w:val="Odstavecseseznamem"/>
        <w:numPr>
          <w:ilvl w:val="0"/>
          <w:numId w:val="104"/>
        </w:numPr>
        <w:jc w:val="left"/>
      </w:pPr>
      <w:r w:rsidRPr="00CA2D14">
        <w:t>státní podniky</w:t>
      </w:r>
      <w:r w:rsidR="00B71829">
        <w:t>,</w:t>
      </w:r>
    </w:p>
    <w:p w:rsidR="00097A31" w:rsidRPr="00CA2D14" w:rsidRDefault="00097A31" w:rsidP="00495FC1">
      <w:pPr>
        <w:pStyle w:val="Odstavecseseznamem"/>
        <w:numPr>
          <w:ilvl w:val="0"/>
          <w:numId w:val="104"/>
        </w:numPr>
        <w:jc w:val="left"/>
      </w:pPr>
      <w:r w:rsidRPr="00CA2D14">
        <w:t>podnikatelské subjekty</w:t>
      </w:r>
      <w:r w:rsidR="00B71829">
        <w:t>,</w:t>
      </w:r>
    </w:p>
    <w:p w:rsidR="00097A31" w:rsidRPr="00CA2D14" w:rsidRDefault="00097A31" w:rsidP="00495FC1">
      <w:pPr>
        <w:pStyle w:val="Odstavecseseznamem"/>
        <w:numPr>
          <w:ilvl w:val="0"/>
          <w:numId w:val="104"/>
        </w:numPr>
        <w:jc w:val="left"/>
      </w:pPr>
      <w:r w:rsidRPr="00CA2D14">
        <w:t>obchodní společnosti</w:t>
      </w:r>
      <w:r w:rsidR="00B71829">
        <w:t>,</w:t>
      </w:r>
    </w:p>
    <w:p w:rsidR="00097A31" w:rsidRPr="00CA2D14" w:rsidRDefault="00B71829" w:rsidP="00495FC1">
      <w:pPr>
        <w:pStyle w:val="Odstavecseseznamem"/>
        <w:numPr>
          <w:ilvl w:val="0"/>
          <w:numId w:val="104"/>
        </w:numPr>
        <w:jc w:val="left"/>
      </w:pPr>
      <w:r>
        <w:t>občanská sdružení.</w:t>
      </w:r>
    </w:p>
    <w:p w:rsidR="00097A31" w:rsidRPr="00CA2D14" w:rsidRDefault="00097A31" w:rsidP="00097A31">
      <w:r w:rsidRPr="00CA2D14">
        <w:t>Fyzické osoby (podnikající)</w:t>
      </w:r>
    </w:p>
    <w:p w:rsidR="00097A31" w:rsidRPr="004314F4" w:rsidRDefault="00097A31" w:rsidP="00B66FDE">
      <w:r w:rsidRPr="00CA2D14">
        <w:t>Pozn.: Okruh příjemců bude dále podrobněji definován v návazné řídící dokumentaci.</w:t>
      </w:r>
    </w:p>
    <w:p w:rsidR="00663672" w:rsidRDefault="007B6301" w:rsidP="00165854">
      <w:pPr>
        <w:pStyle w:val="Nadpis5"/>
      </w:pPr>
      <w:bookmarkStart w:id="2432" w:name="_Toc392151016"/>
      <w:r>
        <w:t>Hlavní zásady</w:t>
      </w:r>
      <w:r w:rsidR="00043917">
        <w:t xml:space="preserve"> </w:t>
      </w:r>
      <w:r w:rsidR="00663672" w:rsidRPr="004314F4">
        <w:t>pro výběr operací</w:t>
      </w:r>
      <w:bookmarkEnd w:id="2432"/>
    </w:p>
    <w:p w:rsidR="00712789" w:rsidRPr="00712789" w:rsidRDefault="00712789" w:rsidP="008173D6">
      <w:bookmarkStart w:id="2433" w:name="_Toc389480048"/>
      <w:r>
        <w:rPr>
          <w:b/>
          <w:color w:val="FF0000"/>
        </w:rPr>
        <w:t> </w:t>
      </w:r>
      <w:bookmarkEnd w:id="2433"/>
      <w:r w:rsidRPr="00712789">
        <w:rPr>
          <w:rFonts w:cs="Times New Roman"/>
        </w:rPr>
        <w:t xml:space="preserve">Výběr projektů </w:t>
      </w:r>
      <w:proofErr w:type="gramStart"/>
      <w:r w:rsidRPr="00712789">
        <w:rPr>
          <w:rFonts w:cs="Times New Roman"/>
        </w:rPr>
        <w:t>bude</w:t>
      </w:r>
      <w:proofErr w:type="gramEnd"/>
      <w:r w:rsidRPr="00712789">
        <w:rPr>
          <w:rFonts w:cs="Times New Roman"/>
        </w:rPr>
        <w:t xml:space="preserve"> probíhat v souladu </w:t>
      </w:r>
      <w:r w:rsidR="00714EAF">
        <w:rPr>
          <w:rFonts w:cs="Times New Roman"/>
        </w:rPr>
        <w:t xml:space="preserve">s novým </w:t>
      </w:r>
      <w:proofErr w:type="gramStart"/>
      <w:r w:rsidR="00714EAF">
        <w:rPr>
          <w:rFonts w:cs="Times New Roman"/>
        </w:rPr>
        <w:t>POH</w:t>
      </w:r>
      <w:proofErr w:type="gramEnd"/>
      <w:r w:rsidR="00714EAF">
        <w:rPr>
          <w:rFonts w:cs="Times New Roman"/>
        </w:rPr>
        <w:t xml:space="preserve"> ČR, Programem předcházení vzniku odpadů a </w:t>
      </w:r>
      <w:r w:rsidRPr="00712789">
        <w:rPr>
          <w:rFonts w:cs="Times New Roman"/>
        </w:rPr>
        <w:t xml:space="preserve">se závazným metodickým pokynem MMR pro řízení výzev, hodnocení a výběr projektů v programovém období 2014-2020. </w:t>
      </w:r>
    </w:p>
    <w:p w:rsidR="00712789" w:rsidRPr="00712789" w:rsidRDefault="00712789" w:rsidP="008173D6">
      <w:r w:rsidRPr="00712789">
        <w:rPr>
          <w:rFonts w:cs="Times New Roman"/>
        </w:rPr>
        <w:t>Projekty budou hodnoceny a vybírány odbornými hodnotiteli podle kritérií pro výběr projektů, která schválí Monitorovací výbor OPŽP.</w:t>
      </w:r>
    </w:p>
    <w:p w:rsidR="00712789" w:rsidRPr="00712789" w:rsidRDefault="00712789" w:rsidP="008173D6">
      <w:r w:rsidRPr="00712789">
        <w:rPr>
          <w:rFonts w:cs="Times New Roman"/>
        </w:rPr>
        <w:t>Při hodnocení a výběru projektů budou posuzována zejména kritéria ekologická, technická a ekonomická</w:t>
      </w:r>
      <w:r w:rsidR="00301958">
        <w:rPr>
          <w:rFonts w:cs="Times New Roman"/>
        </w:rPr>
        <w:t>. Vždy</w:t>
      </w:r>
      <w:r w:rsidRPr="00712789">
        <w:rPr>
          <w:rFonts w:cs="Times New Roman"/>
        </w:rPr>
        <w:t xml:space="preserve"> bude posuzován soul</w:t>
      </w:r>
      <w:r w:rsidR="00B71829">
        <w:rPr>
          <w:rFonts w:cs="Times New Roman"/>
        </w:rPr>
        <w:t>ad s příslušnými strategiemi na </w:t>
      </w:r>
      <w:r w:rsidR="00301958">
        <w:rPr>
          <w:rFonts w:cs="Times New Roman"/>
        </w:rPr>
        <w:t>evropské, národní a </w:t>
      </w:r>
      <w:r w:rsidRPr="00712789">
        <w:rPr>
          <w:rFonts w:cs="Times New Roman"/>
        </w:rPr>
        <w:t>regionální úrovni.</w:t>
      </w:r>
    </w:p>
    <w:p w:rsidR="00712789" w:rsidRPr="00712789" w:rsidRDefault="00712789" w:rsidP="008173D6">
      <w:r w:rsidRPr="00712789">
        <w:rPr>
          <w:rFonts w:cs="Times New Roman"/>
        </w:rPr>
        <w:t>Při hodnocení a výběru projektů bude posuzována rovněž problematika horizontálních témat (rovné příležitosti a nediskriminace, rovnost žen a mužů a udržitelný rozvoj). Projekt, u kterého bude identifikován negativní dopad na uvedená horizontální témata, nebude moci být podpořen z prostředků OPŽP.</w:t>
      </w:r>
    </w:p>
    <w:p w:rsidR="00712789" w:rsidRPr="00712789" w:rsidRDefault="00712789" w:rsidP="008173D6">
      <w:pPr>
        <w:pStyle w:val="Odstavecseseznamem"/>
        <w:ind w:left="0"/>
      </w:pPr>
      <w:r w:rsidRPr="00712789">
        <w:rPr>
          <w:rFonts w:cs="Times New Roman"/>
        </w:rPr>
        <w:t>Podrobné informace o kritériích pro výběr projektů k podpoře budou uvedeny v návazné řídící dokumentaci.</w:t>
      </w:r>
    </w:p>
    <w:p w:rsidR="00663672" w:rsidRDefault="00663672" w:rsidP="00165854">
      <w:pPr>
        <w:pStyle w:val="Nadpis5"/>
      </w:pPr>
      <w:bookmarkStart w:id="2434" w:name="_Toc391014813"/>
      <w:bookmarkStart w:id="2435" w:name="_Toc391015964"/>
      <w:bookmarkStart w:id="2436" w:name="_Toc391016917"/>
      <w:bookmarkStart w:id="2437" w:name="_Toc391018030"/>
      <w:bookmarkStart w:id="2438" w:name="_Toc391019142"/>
      <w:bookmarkStart w:id="2439" w:name="_Toc391014815"/>
      <w:bookmarkStart w:id="2440" w:name="_Toc391015966"/>
      <w:bookmarkStart w:id="2441" w:name="_Toc391016919"/>
      <w:bookmarkStart w:id="2442" w:name="_Toc391018032"/>
      <w:bookmarkStart w:id="2443" w:name="_Toc391019144"/>
      <w:bookmarkStart w:id="2444" w:name="_Toc391014817"/>
      <w:bookmarkStart w:id="2445" w:name="_Toc391015968"/>
      <w:bookmarkStart w:id="2446" w:name="_Toc391016921"/>
      <w:bookmarkStart w:id="2447" w:name="_Toc391018034"/>
      <w:bookmarkStart w:id="2448" w:name="_Toc391019146"/>
      <w:bookmarkStart w:id="2449" w:name="_Toc391014820"/>
      <w:bookmarkStart w:id="2450" w:name="_Toc391015971"/>
      <w:bookmarkStart w:id="2451" w:name="_Toc391016924"/>
      <w:bookmarkStart w:id="2452" w:name="_Toc391018037"/>
      <w:bookmarkStart w:id="2453" w:name="_Toc391019149"/>
      <w:bookmarkStart w:id="2454" w:name="_Toc391014822"/>
      <w:bookmarkStart w:id="2455" w:name="_Toc391015973"/>
      <w:bookmarkStart w:id="2456" w:name="_Toc391016926"/>
      <w:bookmarkStart w:id="2457" w:name="_Toc391018039"/>
      <w:bookmarkStart w:id="2458" w:name="_Toc391019151"/>
      <w:bookmarkStart w:id="2459" w:name="_Toc391014828"/>
      <w:bookmarkStart w:id="2460" w:name="_Toc391015979"/>
      <w:bookmarkStart w:id="2461" w:name="_Toc391016932"/>
      <w:bookmarkStart w:id="2462" w:name="_Toc391018045"/>
      <w:bookmarkStart w:id="2463" w:name="_Toc391019157"/>
      <w:bookmarkStart w:id="2464" w:name="_Toc391014830"/>
      <w:bookmarkStart w:id="2465" w:name="_Toc391015981"/>
      <w:bookmarkStart w:id="2466" w:name="_Toc391016934"/>
      <w:bookmarkStart w:id="2467" w:name="_Toc391018047"/>
      <w:bookmarkStart w:id="2468" w:name="_Toc391019159"/>
      <w:bookmarkStart w:id="2469" w:name="_Toc391014831"/>
      <w:bookmarkStart w:id="2470" w:name="_Toc391015982"/>
      <w:bookmarkStart w:id="2471" w:name="_Toc391016935"/>
      <w:bookmarkStart w:id="2472" w:name="_Toc391018048"/>
      <w:bookmarkStart w:id="2473" w:name="_Toc391019160"/>
      <w:bookmarkStart w:id="2474" w:name="_Toc391014832"/>
      <w:bookmarkStart w:id="2475" w:name="_Toc391015983"/>
      <w:bookmarkStart w:id="2476" w:name="_Toc391016936"/>
      <w:bookmarkStart w:id="2477" w:name="_Toc391018049"/>
      <w:bookmarkStart w:id="2478" w:name="_Toc391019161"/>
      <w:bookmarkStart w:id="2479" w:name="_Toc391014833"/>
      <w:bookmarkStart w:id="2480" w:name="_Toc391015984"/>
      <w:bookmarkStart w:id="2481" w:name="_Toc391016937"/>
      <w:bookmarkStart w:id="2482" w:name="_Toc391018050"/>
      <w:bookmarkStart w:id="2483" w:name="_Toc391019162"/>
      <w:bookmarkStart w:id="2484" w:name="_Toc391014834"/>
      <w:bookmarkStart w:id="2485" w:name="_Toc391015985"/>
      <w:bookmarkStart w:id="2486" w:name="_Toc391016938"/>
      <w:bookmarkStart w:id="2487" w:name="_Toc391018051"/>
      <w:bookmarkStart w:id="2488" w:name="_Toc391019163"/>
      <w:bookmarkStart w:id="2489" w:name="_Toc391014835"/>
      <w:bookmarkStart w:id="2490" w:name="_Toc391015986"/>
      <w:bookmarkStart w:id="2491" w:name="_Toc391016939"/>
      <w:bookmarkStart w:id="2492" w:name="_Toc391018052"/>
      <w:bookmarkStart w:id="2493" w:name="_Toc391019164"/>
      <w:bookmarkStart w:id="2494" w:name="_Toc391014837"/>
      <w:bookmarkStart w:id="2495" w:name="_Toc391015988"/>
      <w:bookmarkStart w:id="2496" w:name="_Toc391016941"/>
      <w:bookmarkStart w:id="2497" w:name="_Toc391018054"/>
      <w:bookmarkStart w:id="2498" w:name="_Toc391019166"/>
      <w:bookmarkStart w:id="2499" w:name="_Toc391014838"/>
      <w:bookmarkStart w:id="2500" w:name="_Toc391015989"/>
      <w:bookmarkStart w:id="2501" w:name="_Toc391016942"/>
      <w:bookmarkStart w:id="2502" w:name="_Toc391018055"/>
      <w:bookmarkStart w:id="2503" w:name="_Toc391019167"/>
      <w:bookmarkStart w:id="2504" w:name="_Toc391014839"/>
      <w:bookmarkStart w:id="2505" w:name="_Toc391015990"/>
      <w:bookmarkStart w:id="2506" w:name="_Toc391016943"/>
      <w:bookmarkStart w:id="2507" w:name="_Toc391018056"/>
      <w:bookmarkStart w:id="2508" w:name="_Toc391019168"/>
      <w:bookmarkStart w:id="2509" w:name="_Toc391014840"/>
      <w:bookmarkStart w:id="2510" w:name="_Toc391015991"/>
      <w:bookmarkStart w:id="2511" w:name="_Toc391016944"/>
      <w:bookmarkStart w:id="2512" w:name="_Toc391018057"/>
      <w:bookmarkStart w:id="2513" w:name="_Toc391019169"/>
      <w:bookmarkStart w:id="2514" w:name="_Toc391014841"/>
      <w:bookmarkStart w:id="2515" w:name="_Toc391015992"/>
      <w:bookmarkStart w:id="2516" w:name="_Toc391016945"/>
      <w:bookmarkStart w:id="2517" w:name="_Toc391018058"/>
      <w:bookmarkStart w:id="2518" w:name="_Toc391019170"/>
      <w:bookmarkStart w:id="2519" w:name="_Toc391014842"/>
      <w:bookmarkStart w:id="2520" w:name="_Toc391015993"/>
      <w:bookmarkStart w:id="2521" w:name="_Toc391016946"/>
      <w:bookmarkStart w:id="2522" w:name="_Toc391018059"/>
      <w:bookmarkStart w:id="2523" w:name="_Toc391019171"/>
      <w:bookmarkStart w:id="2524" w:name="_Toc391014843"/>
      <w:bookmarkStart w:id="2525" w:name="_Toc391015994"/>
      <w:bookmarkStart w:id="2526" w:name="_Toc391016947"/>
      <w:bookmarkStart w:id="2527" w:name="_Toc391018060"/>
      <w:bookmarkStart w:id="2528" w:name="_Toc391019172"/>
      <w:bookmarkStart w:id="2529" w:name="_Toc391014844"/>
      <w:bookmarkStart w:id="2530" w:name="_Toc391015995"/>
      <w:bookmarkStart w:id="2531" w:name="_Toc391016948"/>
      <w:bookmarkStart w:id="2532" w:name="_Toc391018061"/>
      <w:bookmarkStart w:id="2533" w:name="_Toc391019173"/>
      <w:bookmarkStart w:id="2534" w:name="_Toc391014845"/>
      <w:bookmarkStart w:id="2535" w:name="_Toc391015996"/>
      <w:bookmarkStart w:id="2536" w:name="_Toc391016949"/>
      <w:bookmarkStart w:id="2537" w:name="_Toc391018062"/>
      <w:bookmarkStart w:id="2538" w:name="_Toc391019174"/>
      <w:bookmarkStart w:id="2539" w:name="_Toc391014846"/>
      <w:bookmarkStart w:id="2540" w:name="_Toc391015997"/>
      <w:bookmarkStart w:id="2541" w:name="_Toc391016950"/>
      <w:bookmarkStart w:id="2542" w:name="_Toc391018063"/>
      <w:bookmarkStart w:id="2543" w:name="_Toc391019175"/>
      <w:bookmarkStart w:id="2544" w:name="_Toc391014847"/>
      <w:bookmarkStart w:id="2545" w:name="_Toc391015998"/>
      <w:bookmarkStart w:id="2546" w:name="_Toc391016951"/>
      <w:bookmarkStart w:id="2547" w:name="_Toc391018064"/>
      <w:bookmarkStart w:id="2548" w:name="_Toc391019176"/>
      <w:bookmarkStart w:id="2549" w:name="_Toc391014848"/>
      <w:bookmarkStart w:id="2550" w:name="_Toc391015999"/>
      <w:bookmarkStart w:id="2551" w:name="_Toc391016952"/>
      <w:bookmarkStart w:id="2552" w:name="_Toc391018065"/>
      <w:bookmarkStart w:id="2553" w:name="_Toc391019177"/>
      <w:bookmarkStart w:id="2554" w:name="_Toc391014849"/>
      <w:bookmarkStart w:id="2555" w:name="_Toc391016000"/>
      <w:bookmarkStart w:id="2556" w:name="_Toc391016953"/>
      <w:bookmarkStart w:id="2557" w:name="_Toc391018066"/>
      <w:bookmarkStart w:id="2558" w:name="_Toc391019178"/>
      <w:bookmarkStart w:id="2559" w:name="_Toc391014850"/>
      <w:bookmarkStart w:id="2560" w:name="_Toc391016001"/>
      <w:bookmarkStart w:id="2561" w:name="_Toc391016954"/>
      <w:bookmarkStart w:id="2562" w:name="_Toc391018067"/>
      <w:bookmarkStart w:id="2563" w:name="_Toc391019179"/>
      <w:bookmarkStart w:id="2564" w:name="_Toc391014851"/>
      <w:bookmarkStart w:id="2565" w:name="_Toc391016002"/>
      <w:bookmarkStart w:id="2566" w:name="_Toc391016955"/>
      <w:bookmarkStart w:id="2567" w:name="_Toc391018068"/>
      <w:bookmarkStart w:id="2568" w:name="_Toc391019180"/>
      <w:bookmarkStart w:id="2569" w:name="_Toc392151017"/>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r w:rsidRPr="004314F4">
        <w:t>Plánované využití finančních nástrojů</w:t>
      </w:r>
      <w:bookmarkEnd w:id="2569"/>
    </w:p>
    <w:p w:rsidR="004B6C19" w:rsidRDefault="0033290F" w:rsidP="004B6C19">
      <w:r w:rsidRPr="0033290F">
        <w:t>V rámci této prioritní osy se s využitím finančního nástroje uvažuje a bude blíže specifikováno na základě výsledků ex-ante hodnocení</w:t>
      </w:r>
      <w:r w:rsidR="00334721" w:rsidRPr="00B71829">
        <w:t>.</w:t>
      </w:r>
      <w:r w:rsidR="00334721">
        <w:t xml:space="preserve"> </w:t>
      </w:r>
    </w:p>
    <w:p w:rsidR="00663672" w:rsidRPr="00B71829" w:rsidRDefault="007B6301" w:rsidP="00B71829">
      <w:pPr>
        <w:pStyle w:val="Nadpis5"/>
      </w:pPr>
      <w:bookmarkStart w:id="2570" w:name="_Toc392151018"/>
      <w:r w:rsidRPr="00B71829">
        <w:lastRenderedPageBreak/>
        <w:t xml:space="preserve">Plánované využití </w:t>
      </w:r>
      <w:r w:rsidR="00663672" w:rsidRPr="00B71829">
        <w:t>velkých projektů</w:t>
      </w:r>
      <w:bookmarkEnd w:id="2570"/>
      <w:r w:rsidR="00663672" w:rsidRPr="00B71829">
        <w:t xml:space="preserve"> </w:t>
      </w:r>
    </w:p>
    <w:p w:rsidR="00D94025" w:rsidRDefault="00411CDF" w:rsidP="00B66FDE">
      <w:r w:rsidRPr="00D448C8">
        <w:t>V rámci SC 3.</w:t>
      </w:r>
      <w:r w:rsidR="00557ACC">
        <w:t>2</w:t>
      </w:r>
      <w:r w:rsidRPr="00D448C8">
        <w:t xml:space="preserve">. Zvýšit </w:t>
      </w:r>
      <w:r w:rsidR="00557ACC">
        <w:t xml:space="preserve">podíl materiálového a </w:t>
      </w:r>
      <w:r w:rsidRPr="00D448C8">
        <w:t>energetické</w:t>
      </w:r>
      <w:r w:rsidR="00557ACC">
        <w:t>ho</w:t>
      </w:r>
      <w:r w:rsidRPr="00D448C8">
        <w:t xml:space="preserve"> využití odpadů lze v současné době předpokládat realizaci dvou velkých projektů na energetické využití komunálních odpadů. Jedná se o projekty „EVO Komořany“ v Ústeckém kraji a „KIC – krajské integrované centrum využití komunálních odpadů“ v Moravskoslezském kraji. </w:t>
      </w:r>
    </w:p>
    <w:p w:rsidR="00D94025" w:rsidRDefault="00D94025" w:rsidP="00B66FDE">
      <w:r>
        <w:t>Předmětem projektu „EVO</w:t>
      </w:r>
      <w:r w:rsidRPr="003F0ACC">
        <w:t xml:space="preserve"> Komořany</w:t>
      </w:r>
      <w:r>
        <w:t>“</w:t>
      </w:r>
      <w:r w:rsidRPr="003F0ACC">
        <w:t xml:space="preserve"> je výstavba nového zařízení na energetické využívání komunálních odpadů o kapacitě</w:t>
      </w:r>
      <w:r>
        <w:t xml:space="preserve"> 150 000 tun/rok. V zařízení b</w:t>
      </w:r>
      <w:r w:rsidRPr="003F0ACC">
        <w:t xml:space="preserve">ude vyráběno teplo (až 833 000 GJ) a elektrická energie (min. 46 000 </w:t>
      </w:r>
      <w:proofErr w:type="spellStart"/>
      <w:r w:rsidRPr="003F0ACC">
        <w:t>MWh</w:t>
      </w:r>
      <w:proofErr w:type="spellEnd"/>
      <w:r w:rsidRPr="003F0ACC">
        <w:t xml:space="preserve">) za rok, které budou dodávány do rozvodných sítí prostřednictvím Teplárny United </w:t>
      </w:r>
      <w:proofErr w:type="spellStart"/>
      <w:r w:rsidRPr="003F0ACC">
        <w:t>Energy</w:t>
      </w:r>
      <w:proofErr w:type="spellEnd"/>
      <w:r w:rsidRPr="003F0ACC">
        <w:t>,</w:t>
      </w:r>
      <w:r>
        <w:t xml:space="preserve"> </w:t>
      </w:r>
      <w:r w:rsidRPr="003F0ACC">
        <w:t>a.</w:t>
      </w:r>
      <w:r>
        <w:t xml:space="preserve"> </w:t>
      </w:r>
      <w:r w:rsidRPr="003F0ACC">
        <w:t>s., v jejímž areálu bude nové zařízení vystavěno</w:t>
      </w:r>
      <w:r w:rsidRPr="00557ACC">
        <w:t xml:space="preserve">. </w:t>
      </w:r>
      <w:r w:rsidRPr="00C57E38">
        <w:t xml:space="preserve">Obecným cílem projektu </w:t>
      </w:r>
      <w:r>
        <w:t>„</w:t>
      </w:r>
      <w:r w:rsidRPr="00C57E38">
        <w:t>EVO Komořany</w:t>
      </w:r>
      <w:r>
        <w:t>“</w:t>
      </w:r>
      <w:r w:rsidRPr="00C57E38">
        <w:t xml:space="preserve"> je minimalizovat negativní dopady odpadového hospodářství na lidské zdraví a životní prostředí</w:t>
      </w:r>
      <w:r>
        <w:t xml:space="preserve"> </w:t>
      </w:r>
      <w:r w:rsidRPr="00C57E38">
        <w:t>a snížit rizika znečišťování životního prostředí v Ústeckém kraji v souladu s legislativou ČR a EU v sektoru tuhých komunálních odpadů.</w:t>
      </w:r>
    </w:p>
    <w:p w:rsidR="00D94025" w:rsidRDefault="00D94025" w:rsidP="00B66FDE">
      <w:r w:rsidRPr="00C57E38">
        <w:t>Obsahem</w:t>
      </w:r>
      <w:r>
        <w:t xml:space="preserve"> druhého</w:t>
      </w:r>
      <w:r w:rsidRPr="00C57E38">
        <w:t xml:space="preserve"> projektu je výstavba </w:t>
      </w:r>
      <w:r>
        <w:t>„</w:t>
      </w:r>
      <w:r w:rsidRPr="00C57E38">
        <w:t>KIC - Krajského integrovaného centra využívání komunálních odpadů</w:t>
      </w:r>
      <w:r>
        <w:t>“</w:t>
      </w:r>
      <w:r w:rsidRPr="00C57E38">
        <w:t xml:space="preserve">, konkrétně </w:t>
      </w:r>
      <w:r>
        <w:t xml:space="preserve">pak </w:t>
      </w:r>
      <w:r w:rsidRPr="00C57E38">
        <w:t>výstavba zařízení na</w:t>
      </w:r>
      <w:r>
        <w:t xml:space="preserve"> </w:t>
      </w:r>
      <w:r w:rsidRPr="00C57E38">
        <w:t>energetické využívání odpadů s roční kapacitou 192 000 tun zpracovaných odpadů v lokalitě bývalého černouhelného dolu s</w:t>
      </w:r>
      <w:r>
        <w:t> </w:t>
      </w:r>
      <w:r w:rsidRPr="00C57E38">
        <w:t>ukončenou</w:t>
      </w:r>
      <w:r>
        <w:t xml:space="preserve"> </w:t>
      </w:r>
      <w:r w:rsidRPr="00C57E38">
        <w:t>těžbou (</w:t>
      </w:r>
      <w:proofErr w:type="spellStart"/>
      <w:r w:rsidRPr="00C57E38">
        <w:t>brownfield</w:t>
      </w:r>
      <w:proofErr w:type="spellEnd"/>
      <w:r w:rsidRPr="00C57E38">
        <w:t>)</w:t>
      </w:r>
      <w:r>
        <w:t xml:space="preserve"> v Karviné (</w:t>
      </w:r>
      <w:r w:rsidRPr="00C57E38">
        <w:t>Moravskoslezsk</w:t>
      </w:r>
      <w:r>
        <w:t>ý kraj)</w:t>
      </w:r>
      <w:r w:rsidRPr="00C57E38">
        <w:t xml:space="preserve">. Projekt </w:t>
      </w:r>
      <w:r>
        <w:t>„</w:t>
      </w:r>
      <w:r w:rsidRPr="00C57E38">
        <w:t>KIC</w:t>
      </w:r>
      <w:r>
        <w:t>“ má za cíl</w:t>
      </w:r>
      <w:r w:rsidRPr="00C57E38">
        <w:t xml:space="preserve"> </w:t>
      </w:r>
      <w:r>
        <w:t xml:space="preserve">Moravskoslezskému kraji </w:t>
      </w:r>
      <w:r w:rsidRPr="00C57E38">
        <w:t>zajist</w:t>
      </w:r>
      <w:r>
        <w:t>it</w:t>
      </w:r>
      <w:r w:rsidRPr="00C57E38">
        <w:t xml:space="preserve"> snížení množství biologick</w:t>
      </w:r>
      <w:r>
        <w:t>y</w:t>
      </w:r>
      <w:r w:rsidRPr="00C57E38">
        <w:t>-rozložitelný</w:t>
      </w:r>
      <w:r>
        <w:t xml:space="preserve">ch </w:t>
      </w:r>
      <w:r w:rsidRPr="00C57E38">
        <w:t xml:space="preserve">odpadů ukládaných na </w:t>
      </w:r>
      <w:r>
        <w:t>skládky, tak, jak to ukládá s</w:t>
      </w:r>
      <w:r w:rsidRPr="00C57E38">
        <w:t>měrnice č.99/31/ES o skládkách odpadů a zároveň zajist</w:t>
      </w:r>
      <w:r>
        <w:t>it</w:t>
      </w:r>
      <w:r w:rsidRPr="00C57E38">
        <w:t xml:space="preserve"> jejich využití. </w:t>
      </w:r>
    </w:p>
    <w:p w:rsidR="00BD4553" w:rsidRPr="00D448C8" w:rsidRDefault="00411CDF" w:rsidP="00B66FDE">
      <w:r w:rsidRPr="00D448C8">
        <w:t xml:space="preserve">Tyto projekty </w:t>
      </w:r>
      <w:r w:rsidR="00D94025">
        <w:t xml:space="preserve">jsou </w:t>
      </w:r>
      <w:r w:rsidRPr="00D448C8">
        <w:t>v souladu s Plány odpadového hospodářs</w:t>
      </w:r>
      <w:r w:rsidR="00495BD3">
        <w:t>t</w:t>
      </w:r>
      <w:r w:rsidRPr="00D448C8">
        <w:t xml:space="preserve">ví </w:t>
      </w:r>
      <w:r w:rsidR="00D94025">
        <w:t xml:space="preserve">a </w:t>
      </w:r>
      <w:r w:rsidR="005814A2">
        <w:t>mají přispět k plnění cílů v </w:t>
      </w:r>
      <w:r w:rsidRPr="00D448C8">
        <w:t xml:space="preserve">oblasti komunálních odpadů </w:t>
      </w:r>
      <w:r w:rsidR="00D94025" w:rsidRPr="00D448C8">
        <w:t>dan</w:t>
      </w:r>
      <w:r w:rsidR="00D94025">
        <w:t>ých</w:t>
      </w:r>
      <w:r w:rsidR="00D94025" w:rsidRPr="00D448C8">
        <w:t xml:space="preserve"> </w:t>
      </w:r>
      <w:r w:rsidRPr="00D448C8">
        <w:t>kraj</w:t>
      </w:r>
      <w:r w:rsidR="00D94025">
        <w:t>ů</w:t>
      </w:r>
      <w:r w:rsidRPr="00D448C8">
        <w:t>.</w:t>
      </w:r>
    </w:p>
    <w:p w:rsidR="001B0121" w:rsidRPr="004314F4" w:rsidRDefault="007B6301" w:rsidP="00165854">
      <w:pPr>
        <w:pStyle w:val="Nadpis5"/>
      </w:pPr>
      <w:bookmarkStart w:id="2571" w:name="_Toc392151019"/>
      <w:r>
        <w:t xml:space="preserve">Ukazatele výstupů podle investiční priority </w:t>
      </w:r>
      <w:r w:rsidR="00AE4BBC">
        <w:t>a případně podle kategorie regionů</w:t>
      </w:r>
      <w:bookmarkEnd w:id="2571"/>
    </w:p>
    <w:p w:rsidR="001B0121" w:rsidRPr="004314F4" w:rsidRDefault="00B279F1" w:rsidP="00165854">
      <w:pPr>
        <w:pStyle w:val="Titulek"/>
      </w:pPr>
      <w:bookmarkStart w:id="2572" w:name="_Toc384907410"/>
      <w:r w:rsidRPr="004314F4">
        <w:t xml:space="preserve">Společné a specifické </w:t>
      </w:r>
      <w:r w:rsidR="00AD4223">
        <w:t xml:space="preserve">programové </w:t>
      </w:r>
      <w:r w:rsidR="007B6301">
        <w:t>ukazatele</w:t>
      </w:r>
      <w:r w:rsidRPr="004314F4">
        <w:t xml:space="preserve"> výstupu SC 3.1 - 3.</w:t>
      </w:r>
      <w:r w:rsidR="00557ACC">
        <w:t>3</w:t>
      </w:r>
      <w:bookmarkEnd w:id="2572"/>
    </w:p>
    <w:tbl>
      <w:tblPr>
        <w:tblStyle w:val="Mkatabulky"/>
        <w:tblW w:w="9072" w:type="dxa"/>
        <w:tblInd w:w="108" w:type="dxa"/>
        <w:tblLayout w:type="fixed"/>
        <w:tblLook w:val="04A0" w:firstRow="1" w:lastRow="0" w:firstColumn="1" w:lastColumn="0" w:noHBand="0" w:noVBand="1"/>
      </w:tblPr>
      <w:tblGrid>
        <w:gridCol w:w="567"/>
        <w:gridCol w:w="1418"/>
        <w:gridCol w:w="1134"/>
        <w:gridCol w:w="709"/>
        <w:gridCol w:w="1275"/>
        <w:gridCol w:w="1276"/>
        <w:gridCol w:w="1276"/>
        <w:gridCol w:w="1417"/>
      </w:tblGrid>
      <w:tr w:rsidR="007B6301" w:rsidRPr="00350550" w:rsidTr="00177B95">
        <w:tc>
          <w:tcPr>
            <w:tcW w:w="567" w:type="dxa"/>
            <w:tcBorders>
              <w:bottom w:val="single" w:sz="12" w:space="0" w:color="auto"/>
            </w:tcBorders>
            <w:shd w:val="clear" w:color="auto" w:fill="BFBFBF" w:themeFill="background1" w:themeFillShade="BF"/>
          </w:tcPr>
          <w:p w:rsidR="007B6301" w:rsidRPr="003A2CB2" w:rsidRDefault="007B6301" w:rsidP="00B66FDE">
            <w:pPr>
              <w:rPr>
                <w:b/>
                <w:sz w:val="20"/>
                <w:szCs w:val="20"/>
              </w:rPr>
            </w:pPr>
            <w:r w:rsidRPr="003A2CB2">
              <w:rPr>
                <w:b/>
                <w:sz w:val="20"/>
                <w:szCs w:val="20"/>
              </w:rPr>
              <w:t>ID</w:t>
            </w:r>
          </w:p>
        </w:tc>
        <w:tc>
          <w:tcPr>
            <w:tcW w:w="1418" w:type="dxa"/>
            <w:tcBorders>
              <w:bottom w:val="single" w:sz="12" w:space="0" w:color="auto"/>
            </w:tcBorders>
            <w:shd w:val="clear" w:color="auto" w:fill="BFBFBF" w:themeFill="background1" w:themeFillShade="BF"/>
          </w:tcPr>
          <w:p w:rsidR="007B6301" w:rsidRPr="003A2CB2" w:rsidRDefault="007B6301" w:rsidP="007B6301">
            <w:pPr>
              <w:spacing w:line="276" w:lineRule="auto"/>
              <w:rPr>
                <w:b/>
                <w:sz w:val="20"/>
                <w:szCs w:val="20"/>
              </w:rPr>
            </w:pPr>
            <w:r w:rsidRPr="003A2CB2">
              <w:rPr>
                <w:b/>
                <w:sz w:val="20"/>
                <w:szCs w:val="20"/>
              </w:rPr>
              <w:t>Ukazatel</w:t>
            </w:r>
          </w:p>
        </w:tc>
        <w:tc>
          <w:tcPr>
            <w:tcW w:w="1134" w:type="dxa"/>
            <w:tcBorders>
              <w:bottom w:val="single" w:sz="12" w:space="0" w:color="auto"/>
            </w:tcBorders>
            <w:shd w:val="clear" w:color="auto" w:fill="BFBFBF" w:themeFill="background1" w:themeFillShade="BF"/>
          </w:tcPr>
          <w:p w:rsidR="007B6301" w:rsidRPr="003A2CB2" w:rsidRDefault="0033290F" w:rsidP="00B66FDE">
            <w:pPr>
              <w:spacing w:line="276" w:lineRule="auto"/>
              <w:rPr>
                <w:b/>
                <w:sz w:val="20"/>
                <w:szCs w:val="20"/>
              </w:rPr>
            </w:pPr>
            <w:r w:rsidRPr="0033290F">
              <w:rPr>
                <w:b/>
                <w:sz w:val="20"/>
                <w:szCs w:val="20"/>
              </w:rPr>
              <w:t>Měrná jednotka</w:t>
            </w:r>
          </w:p>
        </w:tc>
        <w:tc>
          <w:tcPr>
            <w:tcW w:w="709" w:type="dxa"/>
            <w:tcBorders>
              <w:bottom w:val="single" w:sz="12" w:space="0" w:color="auto"/>
            </w:tcBorders>
            <w:shd w:val="clear" w:color="auto" w:fill="BFBFBF" w:themeFill="background1" w:themeFillShade="BF"/>
          </w:tcPr>
          <w:p w:rsidR="007B6301" w:rsidRPr="003A2CB2" w:rsidRDefault="0033290F" w:rsidP="00B66FDE">
            <w:pPr>
              <w:spacing w:line="276" w:lineRule="auto"/>
              <w:rPr>
                <w:b/>
                <w:sz w:val="20"/>
                <w:szCs w:val="20"/>
              </w:rPr>
            </w:pPr>
            <w:r w:rsidRPr="0033290F">
              <w:rPr>
                <w:b/>
                <w:sz w:val="20"/>
                <w:szCs w:val="20"/>
              </w:rPr>
              <w:t>Fond</w:t>
            </w:r>
          </w:p>
        </w:tc>
        <w:tc>
          <w:tcPr>
            <w:tcW w:w="1275" w:type="dxa"/>
            <w:tcBorders>
              <w:bottom w:val="single" w:sz="12" w:space="0" w:color="auto"/>
            </w:tcBorders>
            <w:shd w:val="clear" w:color="auto" w:fill="BFBFBF" w:themeFill="background1" w:themeFillShade="BF"/>
          </w:tcPr>
          <w:p w:rsidR="007B6301" w:rsidRPr="003A2CB2" w:rsidRDefault="0033290F" w:rsidP="00B66FDE">
            <w:pPr>
              <w:spacing w:line="276" w:lineRule="auto"/>
              <w:rPr>
                <w:b/>
                <w:sz w:val="20"/>
                <w:szCs w:val="20"/>
              </w:rPr>
            </w:pPr>
            <w:r w:rsidRPr="0033290F">
              <w:rPr>
                <w:b/>
                <w:sz w:val="20"/>
                <w:szCs w:val="20"/>
              </w:rPr>
              <w:t>Kategorie regionů</w:t>
            </w:r>
          </w:p>
        </w:tc>
        <w:tc>
          <w:tcPr>
            <w:tcW w:w="1276" w:type="dxa"/>
            <w:tcBorders>
              <w:bottom w:val="single" w:sz="12" w:space="0" w:color="auto"/>
            </w:tcBorders>
            <w:shd w:val="clear" w:color="auto" w:fill="BFBFBF" w:themeFill="background1" w:themeFillShade="BF"/>
          </w:tcPr>
          <w:p w:rsidR="007B6301" w:rsidRPr="003A2CB2" w:rsidRDefault="0033290F" w:rsidP="00B66FDE">
            <w:pPr>
              <w:spacing w:line="276" w:lineRule="auto"/>
              <w:rPr>
                <w:b/>
                <w:sz w:val="20"/>
                <w:szCs w:val="20"/>
              </w:rPr>
            </w:pPr>
            <w:r w:rsidRPr="0033290F">
              <w:rPr>
                <w:b/>
                <w:sz w:val="20"/>
                <w:szCs w:val="20"/>
              </w:rPr>
              <w:t>Cílová hodnota (2023)</w:t>
            </w:r>
          </w:p>
        </w:tc>
        <w:tc>
          <w:tcPr>
            <w:tcW w:w="1276" w:type="dxa"/>
            <w:tcBorders>
              <w:bottom w:val="single" w:sz="12" w:space="0" w:color="auto"/>
            </w:tcBorders>
            <w:shd w:val="clear" w:color="auto" w:fill="BFBFBF" w:themeFill="background1" w:themeFillShade="BF"/>
          </w:tcPr>
          <w:p w:rsidR="007B6301" w:rsidRPr="003A2CB2" w:rsidRDefault="0033290F" w:rsidP="00B66FDE">
            <w:pPr>
              <w:spacing w:line="276" w:lineRule="auto"/>
              <w:rPr>
                <w:b/>
                <w:sz w:val="20"/>
                <w:szCs w:val="20"/>
              </w:rPr>
            </w:pPr>
            <w:r w:rsidRPr="0033290F">
              <w:rPr>
                <w:b/>
                <w:sz w:val="20"/>
                <w:szCs w:val="20"/>
              </w:rPr>
              <w:t>Zdroj údajů</w:t>
            </w:r>
          </w:p>
        </w:tc>
        <w:tc>
          <w:tcPr>
            <w:tcW w:w="1417" w:type="dxa"/>
            <w:tcBorders>
              <w:bottom w:val="single" w:sz="12" w:space="0" w:color="auto"/>
            </w:tcBorders>
            <w:shd w:val="clear" w:color="auto" w:fill="BFBFBF" w:themeFill="background1" w:themeFillShade="BF"/>
          </w:tcPr>
          <w:p w:rsidR="007B6301" w:rsidRPr="003A2CB2" w:rsidRDefault="0033290F" w:rsidP="00B66FDE">
            <w:pPr>
              <w:spacing w:line="276" w:lineRule="auto"/>
              <w:rPr>
                <w:b/>
                <w:sz w:val="20"/>
                <w:szCs w:val="20"/>
              </w:rPr>
            </w:pPr>
            <w:r w:rsidRPr="0033290F">
              <w:rPr>
                <w:b/>
                <w:sz w:val="20"/>
                <w:szCs w:val="20"/>
              </w:rPr>
              <w:t>Četnost podávání zpráv</w:t>
            </w:r>
          </w:p>
        </w:tc>
      </w:tr>
      <w:tr w:rsidR="007B6301" w:rsidRPr="00350550" w:rsidTr="00177B95">
        <w:trPr>
          <w:trHeight w:val="962"/>
        </w:trPr>
        <w:tc>
          <w:tcPr>
            <w:tcW w:w="567" w:type="dxa"/>
            <w:tcBorders>
              <w:top w:val="single" w:sz="12" w:space="0" w:color="auto"/>
            </w:tcBorders>
          </w:tcPr>
          <w:p w:rsidR="007B6301" w:rsidRPr="003A2CB2" w:rsidRDefault="00262C0E" w:rsidP="00B66FDE">
            <w:pPr>
              <w:rPr>
                <w:sz w:val="20"/>
                <w:szCs w:val="20"/>
              </w:rPr>
            </w:pPr>
            <w:r>
              <w:rPr>
                <w:sz w:val="20"/>
                <w:szCs w:val="20"/>
              </w:rPr>
              <w:t>401</w:t>
            </w:r>
            <w:r w:rsidRPr="00262C0E">
              <w:rPr>
                <w:sz w:val="20"/>
                <w:szCs w:val="20"/>
              </w:rPr>
              <w:t>06</w:t>
            </w:r>
          </w:p>
        </w:tc>
        <w:tc>
          <w:tcPr>
            <w:tcW w:w="1418" w:type="dxa"/>
            <w:tcBorders>
              <w:top w:val="single" w:sz="12" w:space="0" w:color="auto"/>
            </w:tcBorders>
            <w:vAlign w:val="center"/>
          </w:tcPr>
          <w:p w:rsidR="007B6301" w:rsidRPr="003A2CB2" w:rsidRDefault="000C79E0" w:rsidP="00B66FDE">
            <w:pPr>
              <w:spacing w:line="276" w:lineRule="auto"/>
              <w:rPr>
                <w:bCs/>
                <w:sz w:val="20"/>
                <w:szCs w:val="20"/>
              </w:rPr>
            </w:pPr>
            <w:r w:rsidRPr="003A2CB2">
              <w:rPr>
                <w:sz w:val="20"/>
                <w:szCs w:val="20"/>
              </w:rPr>
              <w:t xml:space="preserve">Kapacita nově vybudovaných center </w:t>
            </w:r>
            <w:r w:rsidR="0033290F" w:rsidRPr="0033290F">
              <w:rPr>
                <w:sz w:val="20"/>
                <w:szCs w:val="20"/>
              </w:rPr>
              <w:t>pro předcházení vzniku odpadů</w:t>
            </w:r>
          </w:p>
        </w:tc>
        <w:tc>
          <w:tcPr>
            <w:tcW w:w="1134" w:type="dxa"/>
            <w:tcBorders>
              <w:top w:val="single" w:sz="12" w:space="0" w:color="auto"/>
            </w:tcBorders>
            <w:vAlign w:val="center"/>
          </w:tcPr>
          <w:p w:rsidR="007B6301" w:rsidRPr="003A2CB2" w:rsidRDefault="0033290F" w:rsidP="00B66FDE">
            <w:pPr>
              <w:spacing w:line="276" w:lineRule="auto"/>
              <w:rPr>
                <w:bCs/>
                <w:sz w:val="20"/>
                <w:szCs w:val="20"/>
              </w:rPr>
            </w:pPr>
            <w:r w:rsidRPr="0033290F">
              <w:rPr>
                <w:bCs/>
                <w:sz w:val="20"/>
                <w:szCs w:val="20"/>
              </w:rPr>
              <w:t>t/rok</w:t>
            </w:r>
          </w:p>
        </w:tc>
        <w:tc>
          <w:tcPr>
            <w:tcW w:w="709" w:type="dxa"/>
            <w:tcBorders>
              <w:top w:val="single" w:sz="12" w:space="0" w:color="auto"/>
            </w:tcBorders>
            <w:vAlign w:val="center"/>
          </w:tcPr>
          <w:p w:rsidR="007B6301" w:rsidRPr="003A2CB2" w:rsidRDefault="0033290F" w:rsidP="00B66FDE">
            <w:pPr>
              <w:spacing w:line="276" w:lineRule="auto"/>
              <w:rPr>
                <w:sz w:val="20"/>
                <w:szCs w:val="20"/>
              </w:rPr>
            </w:pPr>
            <w:r w:rsidRPr="0033290F">
              <w:rPr>
                <w:sz w:val="20"/>
                <w:szCs w:val="20"/>
              </w:rPr>
              <w:t>FS</w:t>
            </w:r>
          </w:p>
        </w:tc>
        <w:tc>
          <w:tcPr>
            <w:tcW w:w="1275" w:type="dxa"/>
            <w:tcBorders>
              <w:top w:val="single" w:sz="12" w:space="0" w:color="auto"/>
            </w:tcBorders>
          </w:tcPr>
          <w:p w:rsidR="007B6301" w:rsidRPr="003A2CB2" w:rsidRDefault="0033290F" w:rsidP="00B66FDE">
            <w:pPr>
              <w:spacing w:line="276" w:lineRule="auto"/>
              <w:rPr>
                <w:sz w:val="20"/>
                <w:szCs w:val="20"/>
              </w:rPr>
            </w:pPr>
            <w:r w:rsidRPr="0033290F">
              <w:rPr>
                <w:bCs/>
                <w:sz w:val="20"/>
                <w:szCs w:val="20"/>
              </w:rPr>
              <w:t>Není relevantní</w:t>
            </w:r>
          </w:p>
        </w:tc>
        <w:tc>
          <w:tcPr>
            <w:tcW w:w="1276" w:type="dxa"/>
            <w:tcBorders>
              <w:top w:val="single" w:sz="12" w:space="0" w:color="auto"/>
            </w:tcBorders>
            <w:vAlign w:val="center"/>
          </w:tcPr>
          <w:p w:rsidR="007B6301" w:rsidRPr="003A2CB2" w:rsidRDefault="00222F16" w:rsidP="00B66FDE">
            <w:pPr>
              <w:spacing w:line="276" w:lineRule="auto"/>
              <w:rPr>
                <w:sz w:val="20"/>
                <w:szCs w:val="20"/>
              </w:rPr>
            </w:pPr>
            <w:r w:rsidRPr="003A2CB2">
              <w:rPr>
                <w:sz w:val="20"/>
                <w:szCs w:val="20"/>
              </w:rPr>
              <w:t>3</w:t>
            </w:r>
            <w:r w:rsidR="0033290F" w:rsidRPr="0033290F">
              <w:rPr>
                <w:sz w:val="20"/>
                <w:szCs w:val="20"/>
              </w:rPr>
              <w:t>0 000</w:t>
            </w:r>
          </w:p>
        </w:tc>
        <w:tc>
          <w:tcPr>
            <w:tcW w:w="1276" w:type="dxa"/>
            <w:tcBorders>
              <w:top w:val="single" w:sz="12" w:space="0" w:color="auto"/>
            </w:tcBorders>
            <w:vAlign w:val="center"/>
          </w:tcPr>
          <w:p w:rsidR="007B6301" w:rsidRPr="003A2CB2" w:rsidRDefault="0033290F" w:rsidP="00B66FDE">
            <w:pPr>
              <w:spacing w:line="276" w:lineRule="auto"/>
              <w:rPr>
                <w:bCs/>
                <w:sz w:val="20"/>
                <w:szCs w:val="20"/>
              </w:rPr>
            </w:pPr>
            <w:r w:rsidRPr="0033290F">
              <w:rPr>
                <w:bCs/>
                <w:sz w:val="20"/>
                <w:szCs w:val="20"/>
              </w:rPr>
              <w:t>Žadatel/příjemce</w:t>
            </w:r>
          </w:p>
        </w:tc>
        <w:tc>
          <w:tcPr>
            <w:tcW w:w="1417" w:type="dxa"/>
            <w:tcBorders>
              <w:top w:val="single" w:sz="12" w:space="0" w:color="auto"/>
            </w:tcBorders>
          </w:tcPr>
          <w:p w:rsidR="007B6301" w:rsidRPr="003A2CB2" w:rsidRDefault="0033290F" w:rsidP="00B66FDE">
            <w:pPr>
              <w:spacing w:line="276" w:lineRule="auto"/>
              <w:rPr>
                <w:bCs/>
                <w:sz w:val="20"/>
                <w:szCs w:val="20"/>
              </w:rPr>
            </w:pPr>
            <w:r w:rsidRPr="0033290F">
              <w:rPr>
                <w:bCs/>
                <w:sz w:val="20"/>
                <w:szCs w:val="20"/>
              </w:rPr>
              <w:t>Průběžně</w:t>
            </w:r>
          </w:p>
        </w:tc>
      </w:tr>
      <w:tr w:rsidR="00222F16" w:rsidRPr="00350550" w:rsidTr="00177B95">
        <w:trPr>
          <w:trHeight w:val="962"/>
        </w:trPr>
        <w:tc>
          <w:tcPr>
            <w:tcW w:w="567" w:type="dxa"/>
            <w:tcBorders>
              <w:top w:val="single" w:sz="12" w:space="0" w:color="auto"/>
            </w:tcBorders>
          </w:tcPr>
          <w:p w:rsidR="00222F16" w:rsidRPr="003A2CB2" w:rsidRDefault="00262C0E" w:rsidP="00B66FDE">
            <w:pPr>
              <w:rPr>
                <w:sz w:val="20"/>
                <w:szCs w:val="20"/>
              </w:rPr>
            </w:pPr>
            <w:r>
              <w:rPr>
                <w:sz w:val="20"/>
                <w:szCs w:val="20"/>
              </w:rPr>
              <w:t>40202</w:t>
            </w:r>
          </w:p>
        </w:tc>
        <w:tc>
          <w:tcPr>
            <w:tcW w:w="1418" w:type="dxa"/>
            <w:tcBorders>
              <w:top w:val="single" w:sz="12" w:space="0" w:color="auto"/>
            </w:tcBorders>
            <w:vAlign w:val="center"/>
          </w:tcPr>
          <w:p w:rsidR="00222F16" w:rsidRPr="003A2CB2" w:rsidRDefault="0033290F" w:rsidP="00B66FDE">
            <w:pPr>
              <w:rPr>
                <w:sz w:val="20"/>
                <w:szCs w:val="20"/>
              </w:rPr>
            </w:pPr>
            <w:r w:rsidRPr="0033290F">
              <w:rPr>
                <w:bCs/>
                <w:sz w:val="20"/>
                <w:szCs w:val="20"/>
              </w:rPr>
              <w:t>Množství nevyprodukovaného odpadu</w:t>
            </w:r>
          </w:p>
        </w:tc>
        <w:tc>
          <w:tcPr>
            <w:tcW w:w="1134" w:type="dxa"/>
            <w:tcBorders>
              <w:top w:val="single" w:sz="12" w:space="0" w:color="auto"/>
            </w:tcBorders>
            <w:vAlign w:val="center"/>
          </w:tcPr>
          <w:p w:rsidR="00222F16" w:rsidRPr="003A2CB2" w:rsidRDefault="0033290F" w:rsidP="00B66FDE">
            <w:pPr>
              <w:rPr>
                <w:bCs/>
                <w:sz w:val="20"/>
                <w:szCs w:val="20"/>
              </w:rPr>
            </w:pPr>
            <w:r w:rsidRPr="0033290F">
              <w:rPr>
                <w:bCs/>
                <w:sz w:val="20"/>
                <w:szCs w:val="20"/>
              </w:rPr>
              <w:t>t/rok</w:t>
            </w:r>
          </w:p>
        </w:tc>
        <w:tc>
          <w:tcPr>
            <w:tcW w:w="709" w:type="dxa"/>
            <w:tcBorders>
              <w:top w:val="single" w:sz="12" w:space="0" w:color="auto"/>
            </w:tcBorders>
            <w:vAlign w:val="center"/>
          </w:tcPr>
          <w:p w:rsidR="00222F16" w:rsidRPr="003A2CB2" w:rsidRDefault="0033290F" w:rsidP="00B66FDE">
            <w:pPr>
              <w:spacing w:line="276" w:lineRule="auto"/>
              <w:rPr>
                <w:sz w:val="20"/>
                <w:szCs w:val="20"/>
              </w:rPr>
            </w:pPr>
            <w:r w:rsidRPr="0033290F">
              <w:rPr>
                <w:sz w:val="20"/>
                <w:szCs w:val="20"/>
              </w:rPr>
              <w:t>FS</w:t>
            </w:r>
          </w:p>
        </w:tc>
        <w:tc>
          <w:tcPr>
            <w:tcW w:w="1275" w:type="dxa"/>
            <w:tcBorders>
              <w:top w:val="single" w:sz="12" w:space="0" w:color="auto"/>
            </w:tcBorders>
            <w:vAlign w:val="center"/>
          </w:tcPr>
          <w:p w:rsidR="00222F16" w:rsidRPr="003A2CB2" w:rsidRDefault="00A32C70" w:rsidP="00B66FDE">
            <w:pPr>
              <w:spacing w:line="276" w:lineRule="auto"/>
              <w:rPr>
                <w:bCs/>
                <w:sz w:val="20"/>
                <w:szCs w:val="20"/>
              </w:rPr>
            </w:pPr>
            <w:r w:rsidRPr="003A2CB2">
              <w:rPr>
                <w:bCs/>
                <w:sz w:val="20"/>
                <w:szCs w:val="20"/>
              </w:rPr>
              <w:t>Není relevantní</w:t>
            </w:r>
          </w:p>
        </w:tc>
        <w:tc>
          <w:tcPr>
            <w:tcW w:w="1276" w:type="dxa"/>
            <w:tcBorders>
              <w:top w:val="single" w:sz="12" w:space="0" w:color="auto"/>
            </w:tcBorders>
            <w:vAlign w:val="center"/>
          </w:tcPr>
          <w:p w:rsidR="00222F16" w:rsidRPr="003A2CB2" w:rsidRDefault="0033290F" w:rsidP="00B66FDE">
            <w:pPr>
              <w:rPr>
                <w:sz w:val="20"/>
                <w:szCs w:val="20"/>
              </w:rPr>
            </w:pPr>
            <w:r w:rsidRPr="0033290F">
              <w:rPr>
                <w:sz w:val="20"/>
                <w:szCs w:val="20"/>
              </w:rPr>
              <w:t>100 000</w:t>
            </w:r>
          </w:p>
        </w:tc>
        <w:tc>
          <w:tcPr>
            <w:tcW w:w="1276" w:type="dxa"/>
            <w:tcBorders>
              <w:top w:val="single" w:sz="12" w:space="0" w:color="auto"/>
            </w:tcBorders>
            <w:vAlign w:val="center"/>
          </w:tcPr>
          <w:p w:rsidR="00222F16" w:rsidRPr="003A2CB2" w:rsidRDefault="0033290F" w:rsidP="003F2F60">
            <w:pPr>
              <w:pStyle w:val="TextMetodika"/>
              <w:spacing w:line="240" w:lineRule="auto"/>
              <w:jc w:val="center"/>
              <w:rPr>
                <w:rFonts w:ascii="Cambria" w:hAnsi="Cambria"/>
                <w:bCs/>
              </w:rPr>
            </w:pPr>
            <w:r w:rsidRPr="0033290F">
              <w:rPr>
                <w:rFonts w:ascii="Cambria" w:hAnsi="Cambria"/>
                <w:bCs/>
              </w:rPr>
              <w:t>Žadatel/příjemce</w:t>
            </w:r>
          </w:p>
          <w:p w:rsidR="00222F16" w:rsidRPr="003A2CB2" w:rsidRDefault="00222F16" w:rsidP="00B66FDE">
            <w:pPr>
              <w:spacing w:line="276" w:lineRule="auto"/>
              <w:rPr>
                <w:bCs/>
                <w:sz w:val="20"/>
                <w:szCs w:val="20"/>
              </w:rPr>
            </w:pPr>
          </w:p>
        </w:tc>
        <w:tc>
          <w:tcPr>
            <w:tcW w:w="1417" w:type="dxa"/>
            <w:tcBorders>
              <w:top w:val="single" w:sz="12" w:space="0" w:color="auto"/>
            </w:tcBorders>
          </w:tcPr>
          <w:p w:rsidR="00222F16" w:rsidRPr="003A2CB2" w:rsidRDefault="0033290F" w:rsidP="00B66FDE">
            <w:pPr>
              <w:rPr>
                <w:bCs/>
                <w:sz w:val="20"/>
                <w:szCs w:val="20"/>
              </w:rPr>
            </w:pPr>
            <w:r w:rsidRPr="0033290F">
              <w:rPr>
                <w:bCs/>
                <w:sz w:val="20"/>
                <w:szCs w:val="20"/>
              </w:rPr>
              <w:t>Průběžně</w:t>
            </w:r>
          </w:p>
        </w:tc>
      </w:tr>
      <w:tr w:rsidR="007B6301" w:rsidRPr="00350550" w:rsidTr="00177B95">
        <w:trPr>
          <w:trHeight w:val="1501"/>
        </w:trPr>
        <w:tc>
          <w:tcPr>
            <w:tcW w:w="567" w:type="dxa"/>
          </w:tcPr>
          <w:p w:rsidR="007B6301" w:rsidRPr="003A2CB2" w:rsidRDefault="00262C0E" w:rsidP="00B66FDE">
            <w:pPr>
              <w:rPr>
                <w:sz w:val="20"/>
                <w:szCs w:val="20"/>
              </w:rPr>
            </w:pPr>
            <w:r>
              <w:rPr>
                <w:sz w:val="20"/>
                <w:szCs w:val="20"/>
              </w:rPr>
              <w:lastRenderedPageBreak/>
              <w:t>40901</w:t>
            </w:r>
          </w:p>
        </w:tc>
        <w:tc>
          <w:tcPr>
            <w:tcW w:w="1418" w:type="dxa"/>
            <w:vAlign w:val="center"/>
          </w:tcPr>
          <w:p w:rsidR="007B6301" w:rsidRPr="003A2CB2" w:rsidRDefault="0033290F" w:rsidP="00B66FDE">
            <w:pPr>
              <w:spacing w:line="276" w:lineRule="auto"/>
              <w:rPr>
                <w:rFonts w:cs="Calibri"/>
                <w:sz w:val="20"/>
                <w:szCs w:val="20"/>
              </w:rPr>
            </w:pPr>
            <w:r w:rsidRPr="0033290F">
              <w:rPr>
                <w:rFonts w:cs="Calibri"/>
                <w:sz w:val="20"/>
                <w:szCs w:val="20"/>
              </w:rPr>
              <w:t>Kapacita nově podpořených nebo zmodernizovaných zařízení pro nakládání s nebezpečnými odpady</w:t>
            </w:r>
          </w:p>
        </w:tc>
        <w:tc>
          <w:tcPr>
            <w:tcW w:w="1134" w:type="dxa"/>
            <w:vAlign w:val="center"/>
          </w:tcPr>
          <w:p w:rsidR="007B6301" w:rsidRPr="003A2CB2" w:rsidRDefault="0033290F" w:rsidP="00B66FDE">
            <w:pPr>
              <w:spacing w:line="276" w:lineRule="auto"/>
              <w:rPr>
                <w:bCs/>
                <w:sz w:val="20"/>
                <w:szCs w:val="20"/>
              </w:rPr>
            </w:pPr>
            <w:r w:rsidRPr="0033290F">
              <w:rPr>
                <w:bCs/>
                <w:sz w:val="20"/>
                <w:szCs w:val="20"/>
              </w:rPr>
              <w:t>t/rok</w:t>
            </w:r>
          </w:p>
        </w:tc>
        <w:tc>
          <w:tcPr>
            <w:tcW w:w="709" w:type="dxa"/>
            <w:vAlign w:val="center"/>
          </w:tcPr>
          <w:p w:rsidR="007B6301" w:rsidRPr="003A2CB2" w:rsidRDefault="0033290F" w:rsidP="00B66FDE">
            <w:pPr>
              <w:spacing w:line="276" w:lineRule="auto"/>
              <w:rPr>
                <w:sz w:val="20"/>
                <w:szCs w:val="20"/>
              </w:rPr>
            </w:pPr>
            <w:r w:rsidRPr="0033290F">
              <w:rPr>
                <w:sz w:val="20"/>
                <w:szCs w:val="20"/>
              </w:rPr>
              <w:t>FS</w:t>
            </w:r>
          </w:p>
        </w:tc>
        <w:tc>
          <w:tcPr>
            <w:tcW w:w="1275" w:type="dxa"/>
          </w:tcPr>
          <w:p w:rsidR="007B6301" w:rsidRPr="003A2CB2" w:rsidRDefault="0033290F" w:rsidP="00B66FDE">
            <w:pPr>
              <w:spacing w:line="276" w:lineRule="auto"/>
              <w:rPr>
                <w:sz w:val="20"/>
                <w:szCs w:val="20"/>
              </w:rPr>
            </w:pPr>
            <w:r w:rsidRPr="0033290F">
              <w:rPr>
                <w:bCs/>
                <w:sz w:val="20"/>
                <w:szCs w:val="20"/>
              </w:rPr>
              <w:t>Není relevantní</w:t>
            </w:r>
          </w:p>
        </w:tc>
        <w:tc>
          <w:tcPr>
            <w:tcW w:w="1276" w:type="dxa"/>
            <w:vAlign w:val="center"/>
          </w:tcPr>
          <w:p w:rsidR="007B6301" w:rsidRPr="003A2CB2" w:rsidRDefault="00222F16" w:rsidP="00B66FDE">
            <w:pPr>
              <w:spacing w:line="276" w:lineRule="auto"/>
              <w:rPr>
                <w:bCs/>
                <w:color w:val="000000" w:themeColor="text1"/>
                <w:sz w:val="20"/>
                <w:szCs w:val="20"/>
              </w:rPr>
            </w:pPr>
            <w:r w:rsidRPr="003A2CB2">
              <w:rPr>
                <w:sz w:val="20"/>
                <w:szCs w:val="20"/>
              </w:rPr>
              <w:t>5</w:t>
            </w:r>
            <w:r w:rsidR="00A32C70" w:rsidRPr="003A2CB2">
              <w:rPr>
                <w:sz w:val="20"/>
                <w:szCs w:val="20"/>
              </w:rPr>
              <w:t>0 000</w:t>
            </w:r>
          </w:p>
        </w:tc>
        <w:tc>
          <w:tcPr>
            <w:tcW w:w="1276" w:type="dxa"/>
            <w:vAlign w:val="center"/>
          </w:tcPr>
          <w:p w:rsidR="007B6301" w:rsidRPr="003A2CB2" w:rsidRDefault="0033290F" w:rsidP="00B66FDE">
            <w:pPr>
              <w:spacing w:line="276" w:lineRule="auto"/>
              <w:rPr>
                <w:bCs/>
                <w:sz w:val="20"/>
                <w:szCs w:val="20"/>
              </w:rPr>
            </w:pPr>
            <w:r w:rsidRPr="0033290F">
              <w:rPr>
                <w:bCs/>
                <w:sz w:val="20"/>
                <w:szCs w:val="20"/>
              </w:rPr>
              <w:t>Žadatel/příjemce</w:t>
            </w:r>
          </w:p>
          <w:p w:rsidR="007B6301" w:rsidRPr="003A2CB2" w:rsidRDefault="007B6301" w:rsidP="00B66FDE">
            <w:pPr>
              <w:spacing w:line="276" w:lineRule="auto"/>
              <w:rPr>
                <w:bCs/>
                <w:sz w:val="20"/>
                <w:szCs w:val="20"/>
              </w:rPr>
            </w:pPr>
          </w:p>
        </w:tc>
        <w:tc>
          <w:tcPr>
            <w:tcW w:w="1417" w:type="dxa"/>
          </w:tcPr>
          <w:p w:rsidR="007B6301" w:rsidRPr="003A2CB2" w:rsidRDefault="0033290F" w:rsidP="00B66FDE">
            <w:pPr>
              <w:spacing w:line="276" w:lineRule="auto"/>
              <w:rPr>
                <w:bCs/>
                <w:sz w:val="20"/>
                <w:szCs w:val="20"/>
              </w:rPr>
            </w:pPr>
            <w:r w:rsidRPr="0033290F">
              <w:rPr>
                <w:bCs/>
                <w:sz w:val="20"/>
                <w:szCs w:val="20"/>
              </w:rPr>
              <w:t>Průběžně</w:t>
            </w:r>
          </w:p>
        </w:tc>
      </w:tr>
      <w:tr w:rsidR="007B6301" w:rsidRPr="00350550" w:rsidTr="00177B95">
        <w:tc>
          <w:tcPr>
            <w:tcW w:w="567" w:type="dxa"/>
          </w:tcPr>
          <w:p w:rsidR="007B6301" w:rsidRPr="003A2CB2" w:rsidRDefault="00262C0E" w:rsidP="00B66FDE">
            <w:pPr>
              <w:rPr>
                <w:sz w:val="20"/>
                <w:szCs w:val="20"/>
              </w:rPr>
            </w:pPr>
            <w:r>
              <w:rPr>
                <w:sz w:val="20"/>
                <w:szCs w:val="20"/>
              </w:rPr>
              <w:t>40102</w:t>
            </w:r>
          </w:p>
        </w:tc>
        <w:tc>
          <w:tcPr>
            <w:tcW w:w="1418" w:type="dxa"/>
            <w:vAlign w:val="center"/>
          </w:tcPr>
          <w:p w:rsidR="007B6301" w:rsidRPr="003A2CB2" w:rsidRDefault="0033290F" w:rsidP="00B66FDE">
            <w:pPr>
              <w:spacing w:line="276" w:lineRule="auto"/>
              <w:rPr>
                <w:bCs/>
                <w:sz w:val="20"/>
                <w:szCs w:val="20"/>
              </w:rPr>
            </w:pPr>
            <w:r w:rsidRPr="0033290F">
              <w:rPr>
                <w:rFonts w:cs="Calibri"/>
                <w:sz w:val="20"/>
                <w:szCs w:val="20"/>
              </w:rPr>
              <w:t>Kapacita podpořených zařízení pro materiálové využití ostatních odpadů</w:t>
            </w:r>
          </w:p>
        </w:tc>
        <w:tc>
          <w:tcPr>
            <w:tcW w:w="1134" w:type="dxa"/>
            <w:vAlign w:val="center"/>
          </w:tcPr>
          <w:p w:rsidR="007B6301" w:rsidRPr="003A2CB2" w:rsidRDefault="007B6301" w:rsidP="00B66FDE">
            <w:pPr>
              <w:spacing w:line="276" w:lineRule="auto"/>
              <w:rPr>
                <w:bCs/>
                <w:sz w:val="20"/>
                <w:szCs w:val="20"/>
              </w:rPr>
            </w:pPr>
          </w:p>
          <w:p w:rsidR="007B6301" w:rsidRPr="003A2CB2" w:rsidRDefault="0033290F" w:rsidP="00B66FDE">
            <w:pPr>
              <w:spacing w:line="276" w:lineRule="auto"/>
              <w:rPr>
                <w:bCs/>
                <w:sz w:val="20"/>
                <w:szCs w:val="20"/>
              </w:rPr>
            </w:pPr>
            <w:r w:rsidRPr="0033290F">
              <w:rPr>
                <w:bCs/>
                <w:sz w:val="20"/>
                <w:szCs w:val="20"/>
              </w:rPr>
              <w:t>t/rok</w:t>
            </w:r>
          </w:p>
        </w:tc>
        <w:tc>
          <w:tcPr>
            <w:tcW w:w="709" w:type="dxa"/>
            <w:vAlign w:val="center"/>
          </w:tcPr>
          <w:p w:rsidR="007B6301" w:rsidRPr="003A2CB2" w:rsidRDefault="0033290F" w:rsidP="00B66FDE">
            <w:pPr>
              <w:spacing w:line="276" w:lineRule="auto"/>
              <w:rPr>
                <w:sz w:val="20"/>
                <w:szCs w:val="20"/>
              </w:rPr>
            </w:pPr>
            <w:r w:rsidRPr="0033290F">
              <w:rPr>
                <w:sz w:val="20"/>
                <w:szCs w:val="20"/>
              </w:rPr>
              <w:t>FS</w:t>
            </w:r>
          </w:p>
        </w:tc>
        <w:tc>
          <w:tcPr>
            <w:tcW w:w="1275" w:type="dxa"/>
          </w:tcPr>
          <w:p w:rsidR="007B6301" w:rsidRPr="003A2CB2" w:rsidRDefault="0033290F" w:rsidP="00B66FDE">
            <w:pPr>
              <w:spacing w:line="276" w:lineRule="auto"/>
              <w:rPr>
                <w:bCs/>
                <w:color w:val="000000" w:themeColor="text1"/>
                <w:sz w:val="20"/>
                <w:szCs w:val="20"/>
              </w:rPr>
            </w:pPr>
            <w:r w:rsidRPr="0033290F">
              <w:rPr>
                <w:bCs/>
                <w:sz w:val="20"/>
                <w:szCs w:val="20"/>
              </w:rPr>
              <w:t>Není relevantní</w:t>
            </w:r>
          </w:p>
        </w:tc>
        <w:tc>
          <w:tcPr>
            <w:tcW w:w="1276" w:type="dxa"/>
            <w:vAlign w:val="center"/>
          </w:tcPr>
          <w:p w:rsidR="007B6301" w:rsidRPr="003A2CB2" w:rsidRDefault="0033290F" w:rsidP="00B66FDE">
            <w:pPr>
              <w:spacing w:line="276" w:lineRule="auto"/>
              <w:rPr>
                <w:bCs/>
                <w:color w:val="000000" w:themeColor="text1"/>
                <w:sz w:val="20"/>
                <w:szCs w:val="20"/>
              </w:rPr>
            </w:pPr>
            <w:r w:rsidRPr="0033290F">
              <w:rPr>
                <w:bCs/>
                <w:color w:val="000000" w:themeColor="text1"/>
                <w:sz w:val="20"/>
                <w:szCs w:val="20"/>
              </w:rPr>
              <w:t>2 000 000</w:t>
            </w:r>
          </w:p>
          <w:p w:rsidR="007B6301" w:rsidRPr="003A2CB2" w:rsidRDefault="007B6301" w:rsidP="00B66FDE">
            <w:pPr>
              <w:spacing w:line="276" w:lineRule="auto"/>
              <w:rPr>
                <w:sz w:val="20"/>
                <w:szCs w:val="20"/>
              </w:rPr>
            </w:pPr>
          </w:p>
        </w:tc>
        <w:tc>
          <w:tcPr>
            <w:tcW w:w="1276" w:type="dxa"/>
            <w:vAlign w:val="center"/>
          </w:tcPr>
          <w:p w:rsidR="007B6301" w:rsidRPr="003A2CB2" w:rsidRDefault="0033290F" w:rsidP="00B66FDE">
            <w:pPr>
              <w:spacing w:line="276" w:lineRule="auto"/>
              <w:rPr>
                <w:bCs/>
                <w:sz w:val="20"/>
                <w:szCs w:val="20"/>
              </w:rPr>
            </w:pPr>
            <w:r w:rsidRPr="0033290F">
              <w:rPr>
                <w:bCs/>
                <w:sz w:val="20"/>
                <w:szCs w:val="20"/>
              </w:rPr>
              <w:t>Žadatel/příjemce</w:t>
            </w:r>
          </w:p>
        </w:tc>
        <w:tc>
          <w:tcPr>
            <w:tcW w:w="1417" w:type="dxa"/>
          </w:tcPr>
          <w:p w:rsidR="007B6301" w:rsidRPr="003A2CB2" w:rsidRDefault="0033290F" w:rsidP="00B66FDE">
            <w:pPr>
              <w:spacing w:line="276" w:lineRule="auto"/>
              <w:rPr>
                <w:bCs/>
                <w:sz w:val="20"/>
                <w:szCs w:val="20"/>
              </w:rPr>
            </w:pPr>
            <w:r w:rsidRPr="0033290F">
              <w:rPr>
                <w:bCs/>
                <w:sz w:val="20"/>
                <w:szCs w:val="20"/>
              </w:rPr>
              <w:t>Průběžně</w:t>
            </w:r>
          </w:p>
        </w:tc>
      </w:tr>
      <w:tr w:rsidR="007B6301" w:rsidRPr="00350550" w:rsidTr="00177B95">
        <w:tc>
          <w:tcPr>
            <w:tcW w:w="567" w:type="dxa"/>
          </w:tcPr>
          <w:p w:rsidR="007B6301" w:rsidRPr="003A2CB2" w:rsidRDefault="000D065C" w:rsidP="000D065C">
            <w:pPr>
              <w:rPr>
                <w:sz w:val="20"/>
                <w:szCs w:val="20"/>
              </w:rPr>
            </w:pPr>
            <w:r>
              <w:rPr>
                <w:sz w:val="20"/>
                <w:szCs w:val="20"/>
              </w:rPr>
              <w:t>4</w:t>
            </w:r>
            <w:r w:rsidRPr="000D065C">
              <w:rPr>
                <w:sz w:val="20"/>
                <w:szCs w:val="20"/>
              </w:rPr>
              <w:t>0103</w:t>
            </w:r>
          </w:p>
        </w:tc>
        <w:tc>
          <w:tcPr>
            <w:tcW w:w="1418" w:type="dxa"/>
            <w:vAlign w:val="center"/>
          </w:tcPr>
          <w:p w:rsidR="007B6301" w:rsidRPr="003A2CB2" w:rsidRDefault="0033290F" w:rsidP="00122E44">
            <w:pPr>
              <w:spacing w:line="276" w:lineRule="auto"/>
              <w:rPr>
                <w:rFonts w:cs="Calibri"/>
                <w:b/>
                <w:color w:val="000000"/>
                <w:sz w:val="20"/>
                <w:szCs w:val="20"/>
                <w:lang w:val="en-GB" w:eastAsia="fr-BE"/>
              </w:rPr>
            </w:pPr>
            <w:r w:rsidRPr="0033290F">
              <w:rPr>
                <w:rFonts w:cstheme="minorHAnsi"/>
                <w:bCs/>
                <w:sz w:val="20"/>
                <w:szCs w:val="20"/>
              </w:rPr>
              <w:t xml:space="preserve">Kapacita nově vybudovaných a navýšení kapacity stávajících systémů separace a svozu </w:t>
            </w:r>
            <w:r w:rsidR="00100390">
              <w:rPr>
                <w:rFonts w:cstheme="minorHAnsi"/>
                <w:bCs/>
                <w:sz w:val="20"/>
                <w:szCs w:val="20"/>
              </w:rPr>
              <w:t xml:space="preserve">všech </w:t>
            </w:r>
            <w:r w:rsidRPr="0033290F">
              <w:rPr>
                <w:rFonts w:cstheme="minorHAnsi"/>
                <w:bCs/>
                <w:sz w:val="20"/>
                <w:szCs w:val="20"/>
              </w:rPr>
              <w:t>odpadů</w:t>
            </w:r>
          </w:p>
        </w:tc>
        <w:tc>
          <w:tcPr>
            <w:tcW w:w="1134" w:type="dxa"/>
            <w:vAlign w:val="center"/>
          </w:tcPr>
          <w:p w:rsidR="007B6301" w:rsidRPr="003A2CB2" w:rsidRDefault="0033290F" w:rsidP="00B66FDE">
            <w:pPr>
              <w:spacing w:line="276" w:lineRule="auto"/>
              <w:rPr>
                <w:bCs/>
                <w:sz w:val="20"/>
                <w:szCs w:val="20"/>
              </w:rPr>
            </w:pPr>
            <w:r w:rsidRPr="0033290F">
              <w:rPr>
                <w:bCs/>
                <w:sz w:val="20"/>
                <w:szCs w:val="20"/>
              </w:rPr>
              <w:t>t/rok</w:t>
            </w:r>
          </w:p>
        </w:tc>
        <w:tc>
          <w:tcPr>
            <w:tcW w:w="709" w:type="dxa"/>
            <w:vAlign w:val="center"/>
          </w:tcPr>
          <w:p w:rsidR="007B6301" w:rsidRPr="003A2CB2" w:rsidRDefault="0033290F" w:rsidP="00B66FDE">
            <w:pPr>
              <w:spacing w:line="276" w:lineRule="auto"/>
              <w:rPr>
                <w:sz w:val="20"/>
                <w:szCs w:val="20"/>
              </w:rPr>
            </w:pPr>
            <w:r w:rsidRPr="0033290F">
              <w:rPr>
                <w:sz w:val="20"/>
                <w:szCs w:val="20"/>
              </w:rPr>
              <w:t>FS</w:t>
            </w:r>
          </w:p>
        </w:tc>
        <w:tc>
          <w:tcPr>
            <w:tcW w:w="1275" w:type="dxa"/>
          </w:tcPr>
          <w:p w:rsidR="007B6301" w:rsidRPr="003A2CB2" w:rsidRDefault="0033290F" w:rsidP="00B66FDE">
            <w:pPr>
              <w:spacing w:line="276" w:lineRule="auto"/>
              <w:rPr>
                <w:bCs/>
                <w:color w:val="000000" w:themeColor="text1"/>
                <w:sz w:val="20"/>
                <w:szCs w:val="20"/>
              </w:rPr>
            </w:pPr>
            <w:r w:rsidRPr="0033290F">
              <w:rPr>
                <w:bCs/>
                <w:sz w:val="20"/>
                <w:szCs w:val="20"/>
              </w:rPr>
              <w:t>Není relevantní</w:t>
            </w:r>
          </w:p>
        </w:tc>
        <w:tc>
          <w:tcPr>
            <w:tcW w:w="1276" w:type="dxa"/>
            <w:vAlign w:val="center"/>
          </w:tcPr>
          <w:p w:rsidR="00674BC9" w:rsidRDefault="00BB1AA6">
            <w:pPr>
              <w:rPr>
                <w:sz w:val="20"/>
                <w:szCs w:val="20"/>
              </w:rPr>
            </w:pPr>
            <w:r>
              <w:rPr>
                <w:bCs/>
                <w:color w:val="000000" w:themeColor="text1"/>
                <w:sz w:val="20"/>
                <w:szCs w:val="20"/>
              </w:rPr>
              <w:t xml:space="preserve">400 000 </w:t>
            </w:r>
          </w:p>
        </w:tc>
        <w:tc>
          <w:tcPr>
            <w:tcW w:w="1276" w:type="dxa"/>
            <w:vAlign w:val="center"/>
          </w:tcPr>
          <w:p w:rsidR="007B6301" w:rsidRPr="003A2CB2" w:rsidRDefault="0033290F" w:rsidP="00B66FDE">
            <w:pPr>
              <w:spacing w:line="276" w:lineRule="auto"/>
              <w:rPr>
                <w:bCs/>
                <w:sz w:val="20"/>
                <w:szCs w:val="20"/>
              </w:rPr>
            </w:pPr>
            <w:r w:rsidRPr="0033290F">
              <w:rPr>
                <w:bCs/>
                <w:sz w:val="20"/>
                <w:szCs w:val="20"/>
              </w:rPr>
              <w:t>Žadatel/příjemce</w:t>
            </w:r>
          </w:p>
          <w:p w:rsidR="007B6301" w:rsidRPr="003A2CB2" w:rsidRDefault="007B6301" w:rsidP="00B66FDE">
            <w:pPr>
              <w:spacing w:line="276" w:lineRule="auto"/>
              <w:rPr>
                <w:bCs/>
                <w:sz w:val="20"/>
                <w:szCs w:val="20"/>
              </w:rPr>
            </w:pPr>
          </w:p>
        </w:tc>
        <w:tc>
          <w:tcPr>
            <w:tcW w:w="1417" w:type="dxa"/>
          </w:tcPr>
          <w:p w:rsidR="007B6301" w:rsidRPr="003A2CB2" w:rsidRDefault="0033290F" w:rsidP="00B66FDE">
            <w:pPr>
              <w:spacing w:line="276" w:lineRule="auto"/>
              <w:rPr>
                <w:bCs/>
                <w:sz w:val="20"/>
                <w:szCs w:val="20"/>
              </w:rPr>
            </w:pPr>
            <w:r w:rsidRPr="0033290F">
              <w:rPr>
                <w:bCs/>
                <w:sz w:val="20"/>
                <w:szCs w:val="20"/>
              </w:rPr>
              <w:t>Průběžně</w:t>
            </w:r>
          </w:p>
        </w:tc>
      </w:tr>
      <w:tr w:rsidR="007B6301" w:rsidRPr="00350550" w:rsidTr="00177B95">
        <w:tc>
          <w:tcPr>
            <w:tcW w:w="567" w:type="dxa"/>
          </w:tcPr>
          <w:p w:rsidR="007B6301" w:rsidRPr="003A2CB2" w:rsidRDefault="00AC6A7F" w:rsidP="00AC6A7F">
            <w:pPr>
              <w:rPr>
                <w:sz w:val="20"/>
                <w:szCs w:val="20"/>
              </w:rPr>
            </w:pPr>
            <w:r>
              <w:rPr>
                <w:sz w:val="20"/>
                <w:szCs w:val="20"/>
              </w:rPr>
              <w:t>4</w:t>
            </w:r>
            <w:r w:rsidRPr="00AC6A7F">
              <w:rPr>
                <w:sz w:val="20"/>
                <w:szCs w:val="20"/>
              </w:rPr>
              <w:t>0701</w:t>
            </w:r>
          </w:p>
        </w:tc>
        <w:tc>
          <w:tcPr>
            <w:tcW w:w="1418" w:type="dxa"/>
            <w:vAlign w:val="center"/>
          </w:tcPr>
          <w:p w:rsidR="007B6301" w:rsidRPr="003A2CB2" w:rsidRDefault="0033290F" w:rsidP="00222F16">
            <w:pPr>
              <w:spacing w:line="276" w:lineRule="auto"/>
              <w:rPr>
                <w:bCs/>
                <w:sz w:val="20"/>
                <w:szCs w:val="20"/>
              </w:rPr>
            </w:pPr>
            <w:r w:rsidRPr="0033290F">
              <w:rPr>
                <w:rFonts w:cs="Calibri"/>
                <w:color w:val="000000"/>
                <w:sz w:val="20"/>
                <w:szCs w:val="20"/>
              </w:rPr>
              <w:t>Kapacita nově vybudovaných nebo zmodernizovaných zařízení na energetické využití ostatních odpadů</w:t>
            </w:r>
          </w:p>
        </w:tc>
        <w:tc>
          <w:tcPr>
            <w:tcW w:w="1134" w:type="dxa"/>
            <w:vAlign w:val="center"/>
          </w:tcPr>
          <w:p w:rsidR="007B6301" w:rsidRPr="003A2CB2" w:rsidRDefault="0033290F" w:rsidP="00B66FDE">
            <w:pPr>
              <w:spacing w:line="276" w:lineRule="auto"/>
              <w:rPr>
                <w:bCs/>
                <w:sz w:val="20"/>
                <w:szCs w:val="20"/>
              </w:rPr>
            </w:pPr>
            <w:r w:rsidRPr="0033290F">
              <w:rPr>
                <w:bCs/>
                <w:sz w:val="20"/>
                <w:szCs w:val="20"/>
              </w:rPr>
              <w:t>t/rok</w:t>
            </w:r>
          </w:p>
        </w:tc>
        <w:tc>
          <w:tcPr>
            <w:tcW w:w="709" w:type="dxa"/>
            <w:vAlign w:val="center"/>
          </w:tcPr>
          <w:p w:rsidR="007B6301" w:rsidRPr="003A2CB2" w:rsidRDefault="0033290F" w:rsidP="00B66FDE">
            <w:pPr>
              <w:spacing w:line="276" w:lineRule="auto"/>
              <w:rPr>
                <w:sz w:val="20"/>
                <w:szCs w:val="20"/>
              </w:rPr>
            </w:pPr>
            <w:r w:rsidRPr="0033290F">
              <w:rPr>
                <w:sz w:val="20"/>
                <w:szCs w:val="20"/>
              </w:rPr>
              <w:t>FS</w:t>
            </w:r>
          </w:p>
        </w:tc>
        <w:tc>
          <w:tcPr>
            <w:tcW w:w="1275" w:type="dxa"/>
          </w:tcPr>
          <w:p w:rsidR="007B6301" w:rsidRPr="003A2CB2" w:rsidRDefault="0033290F" w:rsidP="00B66FDE">
            <w:pPr>
              <w:spacing w:line="276" w:lineRule="auto"/>
              <w:rPr>
                <w:bCs/>
                <w:color w:val="000000" w:themeColor="text1"/>
                <w:sz w:val="20"/>
                <w:szCs w:val="20"/>
              </w:rPr>
            </w:pPr>
            <w:r w:rsidRPr="0033290F">
              <w:rPr>
                <w:bCs/>
                <w:sz w:val="20"/>
                <w:szCs w:val="20"/>
              </w:rPr>
              <w:t>Není relevantní</w:t>
            </w:r>
          </w:p>
        </w:tc>
        <w:tc>
          <w:tcPr>
            <w:tcW w:w="1276" w:type="dxa"/>
            <w:vAlign w:val="center"/>
          </w:tcPr>
          <w:p w:rsidR="007B6301" w:rsidRPr="003A2CB2" w:rsidRDefault="0033290F" w:rsidP="00B66FDE">
            <w:pPr>
              <w:spacing w:line="276" w:lineRule="auto"/>
              <w:rPr>
                <w:bCs/>
                <w:color w:val="000000" w:themeColor="text1"/>
                <w:sz w:val="20"/>
                <w:szCs w:val="20"/>
              </w:rPr>
            </w:pPr>
            <w:r w:rsidRPr="0033290F">
              <w:rPr>
                <w:bCs/>
                <w:color w:val="000000" w:themeColor="text1"/>
                <w:sz w:val="20"/>
                <w:szCs w:val="20"/>
              </w:rPr>
              <w:t>400 000</w:t>
            </w:r>
          </w:p>
          <w:p w:rsidR="007B6301" w:rsidRPr="003A2CB2" w:rsidRDefault="007B6301" w:rsidP="00B66FDE">
            <w:pPr>
              <w:spacing w:line="276" w:lineRule="auto"/>
              <w:rPr>
                <w:sz w:val="20"/>
                <w:szCs w:val="20"/>
              </w:rPr>
            </w:pPr>
          </w:p>
        </w:tc>
        <w:tc>
          <w:tcPr>
            <w:tcW w:w="1276" w:type="dxa"/>
            <w:vAlign w:val="center"/>
          </w:tcPr>
          <w:p w:rsidR="007B6301" w:rsidRPr="003A2CB2" w:rsidRDefault="0033290F" w:rsidP="00B66FDE">
            <w:pPr>
              <w:spacing w:line="276" w:lineRule="auto"/>
              <w:rPr>
                <w:bCs/>
                <w:sz w:val="20"/>
                <w:szCs w:val="20"/>
              </w:rPr>
            </w:pPr>
            <w:r w:rsidRPr="0033290F">
              <w:rPr>
                <w:bCs/>
                <w:sz w:val="20"/>
                <w:szCs w:val="20"/>
              </w:rPr>
              <w:t>Žadatel/příjemce</w:t>
            </w:r>
          </w:p>
        </w:tc>
        <w:tc>
          <w:tcPr>
            <w:tcW w:w="1417" w:type="dxa"/>
          </w:tcPr>
          <w:p w:rsidR="007B6301" w:rsidRPr="003A2CB2" w:rsidRDefault="0033290F" w:rsidP="00B66FDE">
            <w:pPr>
              <w:spacing w:line="276" w:lineRule="auto"/>
              <w:rPr>
                <w:bCs/>
                <w:sz w:val="20"/>
                <w:szCs w:val="20"/>
              </w:rPr>
            </w:pPr>
            <w:r w:rsidRPr="0033290F">
              <w:rPr>
                <w:bCs/>
                <w:sz w:val="20"/>
                <w:szCs w:val="20"/>
              </w:rPr>
              <w:t>Průběžně</w:t>
            </w:r>
          </w:p>
        </w:tc>
      </w:tr>
      <w:tr w:rsidR="007B6301" w:rsidRPr="00350550" w:rsidTr="00177B95">
        <w:trPr>
          <w:trHeight w:val="126"/>
        </w:trPr>
        <w:tc>
          <w:tcPr>
            <w:tcW w:w="567" w:type="dxa"/>
          </w:tcPr>
          <w:p w:rsidR="007B6301" w:rsidRPr="003A2CB2" w:rsidRDefault="00AC6A7F" w:rsidP="00B66FDE">
            <w:pPr>
              <w:spacing w:line="276" w:lineRule="auto"/>
              <w:rPr>
                <w:sz w:val="20"/>
                <w:szCs w:val="20"/>
              </w:rPr>
            </w:pPr>
            <w:r>
              <w:rPr>
                <w:sz w:val="20"/>
                <w:szCs w:val="20"/>
              </w:rPr>
              <w:t>4</w:t>
            </w:r>
            <w:r w:rsidRPr="00AC6A7F">
              <w:rPr>
                <w:sz w:val="20"/>
                <w:szCs w:val="20"/>
              </w:rPr>
              <w:t>0301</w:t>
            </w:r>
            <w:r w:rsidRPr="00AC6A7F" w:rsidDel="00AC6A7F">
              <w:rPr>
                <w:sz w:val="20"/>
                <w:szCs w:val="20"/>
              </w:rPr>
              <w:t xml:space="preserve"> </w:t>
            </w:r>
          </w:p>
        </w:tc>
        <w:tc>
          <w:tcPr>
            <w:tcW w:w="1418" w:type="dxa"/>
            <w:vAlign w:val="center"/>
          </w:tcPr>
          <w:p w:rsidR="007B6301" w:rsidRPr="003A2CB2" w:rsidRDefault="0033290F" w:rsidP="00B66FDE">
            <w:pPr>
              <w:spacing w:line="276" w:lineRule="auto"/>
              <w:rPr>
                <w:bCs/>
                <w:sz w:val="20"/>
                <w:szCs w:val="20"/>
              </w:rPr>
            </w:pPr>
            <w:r w:rsidRPr="0033290F">
              <w:rPr>
                <w:bCs/>
                <w:sz w:val="20"/>
                <w:szCs w:val="20"/>
              </w:rPr>
              <w:t>Plocha rekultivovaných starých skládek</w:t>
            </w:r>
          </w:p>
        </w:tc>
        <w:tc>
          <w:tcPr>
            <w:tcW w:w="1134" w:type="dxa"/>
            <w:vAlign w:val="center"/>
          </w:tcPr>
          <w:p w:rsidR="007B6301" w:rsidRPr="003A2CB2" w:rsidDel="00827129" w:rsidRDefault="0033290F" w:rsidP="00B66FDE">
            <w:pPr>
              <w:spacing w:line="276" w:lineRule="auto"/>
              <w:rPr>
                <w:bCs/>
                <w:sz w:val="20"/>
                <w:szCs w:val="20"/>
              </w:rPr>
            </w:pPr>
            <w:r w:rsidRPr="0033290F">
              <w:rPr>
                <w:bCs/>
                <w:sz w:val="20"/>
                <w:szCs w:val="20"/>
              </w:rPr>
              <w:t>m</w:t>
            </w:r>
            <w:r w:rsidRPr="0033290F">
              <w:rPr>
                <w:bCs/>
                <w:sz w:val="20"/>
                <w:szCs w:val="20"/>
                <w:vertAlign w:val="superscript"/>
              </w:rPr>
              <w:t>2</w:t>
            </w:r>
          </w:p>
        </w:tc>
        <w:tc>
          <w:tcPr>
            <w:tcW w:w="709" w:type="dxa"/>
            <w:vAlign w:val="center"/>
          </w:tcPr>
          <w:p w:rsidR="007B6301" w:rsidRPr="003A2CB2" w:rsidRDefault="0033290F" w:rsidP="00B66FDE">
            <w:pPr>
              <w:spacing w:line="276" w:lineRule="auto"/>
              <w:rPr>
                <w:sz w:val="20"/>
                <w:szCs w:val="20"/>
              </w:rPr>
            </w:pPr>
            <w:r w:rsidRPr="0033290F">
              <w:rPr>
                <w:sz w:val="20"/>
                <w:szCs w:val="20"/>
              </w:rPr>
              <w:t>FS</w:t>
            </w:r>
          </w:p>
        </w:tc>
        <w:tc>
          <w:tcPr>
            <w:tcW w:w="1275" w:type="dxa"/>
          </w:tcPr>
          <w:p w:rsidR="007B6301" w:rsidRPr="003A2CB2" w:rsidRDefault="0033290F" w:rsidP="00B66FDE">
            <w:pPr>
              <w:spacing w:line="276" w:lineRule="auto"/>
              <w:rPr>
                <w:sz w:val="20"/>
                <w:szCs w:val="20"/>
              </w:rPr>
            </w:pPr>
            <w:r w:rsidRPr="0033290F">
              <w:rPr>
                <w:bCs/>
                <w:sz w:val="20"/>
                <w:szCs w:val="20"/>
              </w:rPr>
              <w:t>Není relevantní</w:t>
            </w:r>
          </w:p>
        </w:tc>
        <w:tc>
          <w:tcPr>
            <w:tcW w:w="1276" w:type="dxa"/>
            <w:vAlign w:val="center"/>
          </w:tcPr>
          <w:p w:rsidR="007B6301" w:rsidRPr="003A2CB2" w:rsidRDefault="0033290F" w:rsidP="00B66FDE">
            <w:pPr>
              <w:spacing w:line="276" w:lineRule="auto"/>
              <w:rPr>
                <w:sz w:val="20"/>
                <w:szCs w:val="20"/>
              </w:rPr>
            </w:pPr>
            <w:r w:rsidRPr="0033290F">
              <w:rPr>
                <w:sz w:val="20"/>
                <w:szCs w:val="20"/>
              </w:rPr>
              <w:t>300 000</w:t>
            </w:r>
          </w:p>
        </w:tc>
        <w:tc>
          <w:tcPr>
            <w:tcW w:w="1276" w:type="dxa"/>
            <w:vAlign w:val="center"/>
          </w:tcPr>
          <w:p w:rsidR="007B6301" w:rsidRPr="003A2CB2" w:rsidRDefault="0033290F" w:rsidP="00B66FDE">
            <w:pPr>
              <w:spacing w:line="276" w:lineRule="auto"/>
              <w:rPr>
                <w:bCs/>
                <w:sz w:val="20"/>
                <w:szCs w:val="20"/>
              </w:rPr>
            </w:pPr>
            <w:r w:rsidRPr="0033290F">
              <w:rPr>
                <w:bCs/>
                <w:sz w:val="20"/>
                <w:szCs w:val="20"/>
              </w:rPr>
              <w:t>Žadatel/příjemce</w:t>
            </w:r>
          </w:p>
          <w:p w:rsidR="007B6301" w:rsidRPr="003A2CB2" w:rsidDel="00827129" w:rsidRDefault="007B6301" w:rsidP="00B66FDE">
            <w:pPr>
              <w:spacing w:line="276" w:lineRule="auto"/>
              <w:rPr>
                <w:bCs/>
                <w:sz w:val="20"/>
                <w:szCs w:val="20"/>
              </w:rPr>
            </w:pPr>
          </w:p>
        </w:tc>
        <w:tc>
          <w:tcPr>
            <w:tcW w:w="1417" w:type="dxa"/>
          </w:tcPr>
          <w:p w:rsidR="007B6301" w:rsidRPr="003A2CB2" w:rsidRDefault="0033290F" w:rsidP="00B66FDE">
            <w:pPr>
              <w:spacing w:line="276" w:lineRule="auto"/>
              <w:rPr>
                <w:bCs/>
                <w:sz w:val="20"/>
                <w:szCs w:val="20"/>
              </w:rPr>
            </w:pPr>
            <w:r w:rsidRPr="0033290F">
              <w:rPr>
                <w:bCs/>
                <w:sz w:val="20"/>
                <w:szCs w:val="20"/>
              </w:rPr>
              <w:t>Průběžně</w:t>
            </w:r>
          </w:p>
        </w:tc>
      </w:tr>
      <w:tr w:rsidR="007B6301" w:rsidRPr="00350550" w:rsidTr="00177B95">
        <w:tc>
          <w:tcPr>
            <w:tcW w:w="567" w:type="dxa"/>
          </w:tcPr>
          <w:p w:rsidR="007B6301" w:rsidRPr="003A2CB2" w:rsidRDefault="00AC6A7F" w:rsidP="00AC6A7F">
            <w:pPr>
              <w:rPr>
                <w:sz w:val="20"/>
                <w:szCs w:val="20"/>
              </w:rPr>
            </w:pPr>
            <w:r>
              <w:rPr>
                <w:sz w:val="20"/>
                <w:szCs w:val="20"/>
              </w:rPr>
              <w:t>4</w:t>
            </w:r>
            <w:r w:rsidRPr="00AC6A7F">
              <w:rPr>
                <w:sz w:val="20"/>
                <w:szCs w:val="20"/>
              </w:rPr>
              <w:t>0305</w:t>
            </w:r>
          </w:p>
        </w:tc>
        <w:tc>
          <w:tcPr>
            <w:tcW w:w="1418" w:type="dxa"/>
            <w:vAlign w:val="center"/>
          </w:tcPr>
          <w:p w:rsidR="007B6301" w:rsidRPr="003A2CB2" w:rsidRDefault="00BB1AA6" w:rsidP="00BB1AA6">
            <w:pPr>
              <w:spacing w:line="276" w:lineRule="auto"/>
              <w:rPr>
                <w:bCs/>
                <w:sz w:val="20"/>
                <w:szCs w:val="20"/>
              </w:rPr>
            </w:pPr>
            <w:r>
              <w:rPr>
                <w:rFonts w:cs="Calibri"/>
                <w:sz w:val="20"/>
                <w:szCs w:val="20"/>
              </w:rPr>
              <w:t xml:space="preserve">Množství </w:t>
            </w:r>
            <w:r w:rsidR="0033290F" w:rsidRPr="0033290F">
              <w:rPr>
                <w:rFonts w:cs="Calibri"/>
                <w:sz w:val="20"/>
                <w:szCs w:val="20"/>
              </w:rPr>
              <w:t>odstraněného odpadu z likvidovaných nepovolených skládek v ZCHÚ</w:t>
            </w:r>
          </w:p>
        </w:tc>
        <w:tc>
          <w:tcPr>
            <w:tcW w:w="1134" w:type="dxa"/>
            <w:vAlign w:val="center"/>
          </w:tcPr>
          <w:p w:rsidR="007B6301" w:rsidRPr="003A2CB2" w:rsidRDefault="0033290F" w:rsidP="00B66FDE">
            <w:pPr>
              <w:spacing w:line="276" w:lineRule="auto"/>
              <w:rPr>
                <w:bCs/>
                <w:sz w:val="20"/>
                <w:szCs w:val="20"/>
                <w:vertAlign w:val="superscript"/>
              </w:rPr>
            </w:pPr>
            <w:r w:rsidRPr="0033290F">
              <w:rPr>
                <w:bCs/>
                <w:sz w:val="20"/>
                <w:szCs w:val="20"/>
              </w:rPr>
              <w:t>t</w:t>
            </w:r>
          </w:p>
        </w:tc>
        <w:tc>
          <w:tcPr>
            <w:tcW w:w="709" w:type="dxa"/>
            <w:vAlign w:val="center"/>
          </w:tcPr>
          <w:p w:rsidR="007B6301" w:rsidRPr="003A2CB2" w:rsidRDefault="0033290F" w:rsidP="00B66FDE">
            <w:pPr>
              <w:spacing w:line="276" w:lineRule="auto"/>
              <w:rPr>
                <w:sz w:val="20"/>
                <w:szCs w:val="20"/>
              </w:rPr>
            </w:pPr>
            <w:r w:rsidRPr="0033290F">
              <w:rPr>
                <w:sz w:val="20"/>
                <w:szCs w:val="20"/>
              </w:rPr>
              <w:t>FS</w:t>
            </w:r>
          </w:p>
        </w:tc>
        <w:tc>
          <w:tcPr>
            <w:tcW w:w="1275" w:type="dxa"/>
          </w:tcPr>
          <w:p w:rsidR="007B6301" w:rsidRPr="003A2CB2" w:rsidRDefault="0033290F" w:rsidP="00B66FDE">
            <w:pPr>
              <w:spacing w:line="276" w:lineRule="auto"/>
              <w:rPr>
                <w:sz w:val="20"/>
                <w:szCs w:val="20"/>
              </w:rPr>
            </w:pPr>
            <w:r w:rsidRPr="0033290F">
              <w:rPr>
                <w:bCs/>
                <w:sz w:val="20"/>
                <w:szCs w:val="20"/>
              </w:rPr>
              <w:t>Není relevantní</w:t>
            </w:r>
          </w:p>
        </w:tc>
        <w:tc>
          <w:tcPr>
            <w:tcW w:w="1276" w:type="dxa"/>
            <w:vAlign w:val="center"/>
          </w:tcPr>
          <w:p w:rsidR="007B6301" w:rsidRPr="003A2CB2" w:rsidRDefault="00222F16" w:rsidP="00B66FDE">
            <w:pPr>
              <w:spacing w:line="276" w:lineRule="auto"/>
              <w:rPr>
                <w:sz w:val="20"/>
                <w:szCs w:val="20"/>
              </w:rPr>
            </w:pPr>
            <w:r w:rsidRPr="003A2CB2">
              <w:rPr>
                <w:sz w:val="20"/>
                <w:szCs w:val="20"/>
              </w:rPr>
              <w:t xml:space="preserve"> 2</w:t>
            </w:r>
            <w:r w:rsidR="00BB1AA6">
              <w:rPr>
                <w:sz w:val="20"/>
                <w:szCs w:val="20"/>
              </w:rPr>
              <w:t>5</w:t>
            </w:r>
            <w:r w:rsidR="0033290F" w:rsidRPr="0033290F">
              <w:rPr>
                <w:sz w:val="20"/>
                <w:szCs w:val="20"/>
              </w:rPr>
              <w:t>0 000</w:t>
            </w:r>
          </w:p>
        </w:tc>
        <w:tc>
          <w:tcPr>
            <w:tcW w:w="1276" w:type="dxa"/>
            <w:vAlign w:val="center"/>
          </w:tcPr>
          <w:p w:rsidR="007B6301" w:rsidRPr="003A2CB2" w:rsidRDefault="0033290F" w:rsidP="00B66FDE">
            <w:pPr>
              <w:spacing w:line="276" w:lineRule="auto"/>
              <w:rPr>
                <w:bCs/>
                <w:sz w:val="20"/>
                <w:szCs w:val="20"/>
              </w:rPr>
            </w:pPr>
            <w:r w:rsidRPr="0033290F">
              <w:rPr>
                <w:bCs/>
                <w:sz w:val="20"/>
                <w:szCs w:val="20"/>
              </w:rPr>
              <w:t>Žadatel/příjemce</w:t>
            </w:r>
          </w:p>
        </w:tc>
        <w:tc>
          <w:tcPr>
            <w:tcW w:w="1417" w:type="dxa"/>
          </w:tcPr>
          <w:p w:rsidR="007B6301" w:rsidRPr="003A2CB2" w:rsidRDefault="0033290F" w:rsidP="00B66FDE">
            <w:pPr>
              <w:spacing w:line="276" w:lineRule="auto"/>
              <w:rPr>
                <w:bCs/>
                <w:sz w:val="20"/>
                <w:szCs w:val="20"/>
              </w:rPr>
            </w:pPr>
            <w:r w:rsidRPr="0033290F">
              <w:rPr>
                <w:bCs/>
                <w:sz w:val="20"/>
                <w:szCs w:val="20"/>
              </w:rPr>
              <w:t>Průběžně</w:t>
            </w:r>
          </w:p>
        </w:tc>
      </w:tr>
    </w:tbl>
    <w:p w:rsidR="001B0121" w:rsidRPr="00597584" w:rsidRDefault="001B0121" w:rsidP="00165854">
      <w:pPr>
        <w:pStyle w:val="Nadpis3"/>
      </w:pPr>
      <w:bookmarkStart w:id="2573" w:name="_Toc392151020"/>
      <w:r w:rsidRPr="004314F4">
        <w:lastRenderedPageBreak/>
        <w:t>INVESTIČNÍ PRIORITA 2 prioritní osy 3:</w:t>
      </w:r>
      <w:r w:rsidR="006A0678" w:rsidRPr="004314F4">
        <w:t xml:space="preserve"> </w:t>
      </w:r>
      <w:r w:rsidR="009B492B" w:rsidRPr="00C2763D">
        <w:t>Podpor</w:t>
      </w:r>
      <w:r w:rsidR="00F94A2E">
        <w:t>ování přizpůsobení se změně klimatu, předcházení rizikům a řízení rizik podporou</w:t>
      </w:r>
      <w:r w:rsidR="009B492B" w:rsidRPr="00C2763D">
        <w:t xml:space="preserve"> investic zaměřených na řešení konkrétních rizik, zajištěním odolnosti vůči katastrofám a vývojem systémů pro zvládání katastrof</w:t>
      </w:r>
      <w:r w:rsidR="00187030">
        <w:t xml:space="preserve"> (Dle Nařízení Evropského parlamentu a Rady (EU) č. 1300/2013 čl. 4 odst. b) písm. </w:t>
      </w:r>
      <w:proofErr w:type="spellStart"/>
      <w:r w:rsidR="00187030">
        <w:t>ii</w:t>
      </w:r>
      <w:proofErr w:type="spellEnd"/>
      <w:r w:rsidR="00187030">
        <w:t>))</w:t>
      </w:r>
      <w:bookmarkEnd w:id="2573"/>
    </w:p>
    <w:p w:rsidR="001B0121" w:rsidRPr="006926E6" w:rsidRDefault="001B0121" w:rsidP="00654A1C">
      <w:pPr>
        <w:pStyle w:val="Nadpis4"/>
      </w:pPr>
      <w:bookmarkStart w:id="2574" w:name="_Toc392151021"/>
      <w:r w:rsidRPr="004314F4">
        <w:t>Specifické cíle odpovída</w:t>
      </w:r>
      <w:r w:rsidR="005814A2">
        <w:t>jící dané investiční prioritě a </w:t>
      </w:r>
      <w:r w:rsidR="00AC0B13">
        <w:t>očekávané</w:t>
      </w:r>
      <w:r w:rsidRPr="004314F4">
        <w:t xml:space="preserve"> výsledky</w:t>
      </w:r>
      <w:bookmarkEnd w:id="2574"/>
    </w:p>
    <w:p w:rsidR="001B0121" w:rsidRDefault="001B0121" w:rsidP="00165854">
      <w:pPr>
        <w:pStyle w:val="Nadpis6"/>
      </w:pPr>
      <w:r w:rsidRPr="004314F4">
        <w:t xml:space="preserve">Specifický cíl </w:t>
      </w:r>
      <w:r w:rsidR="00834875">
        <w:t>4</w:t>
      </w:r>
      <w:r w:rsidRPr="004314F4">
        <w:t xml:space="preserve">: </w:t>
      </w:r>
      <w:r w:rsidR="00D54094" w:rsidRPr="004314F4">
        <w:t>Odstranit a inventarizovat ekologické zátěže</w:t>
      </w:r>
    </w:p>
    <w:p w:rsidR="006A5215" w:rsidRDefault="00683E7C" w:rsidP="00B66FDE">
      <w:pPr>
        <w:rPr>
          <w:rFonts w:cs="Arial"/>
          <w:szCs w:val="24"/>
        </w:rPr>
      </w:pPr>
      <w:r w:rsidRPr="00BE7616">
        <w:rPr>
          <w:rFonts w:cs="Arial"/>
          <w:szCs w:val="24"/>
        </w:rPr>
        <w:t>Stanovený cíl vychází mimo jiné z požadavků směrnice EU na ochranu půd  2004/35/EC COMM (2006) 232 či Národního implementačního plánu Stockholmské úmluvy o persistentních organických polutantech.</w:t>
      </w:r>
    </w:p>
    <w:p w:rsidR="005910DE" w:rsidRDefault="00AE3271" w:rsidP="00B66FDE">
      <w:pPr>
        <w:rPr>
          <w:rFonts w:cs="Arial"/>
          <w:szCs w:val="24"/>
        </w:rPr>
      </w:pPr>
      <w:r>
        <w:rPr>
          <w:rFonts w:cs="Arial"/>
          <w:szCs w:val="24"/>
        </w:rPr>
        <w:t>Staré e</w:t>
      </w:r>
      <w:r w:rsidR="00683E7C" w:rsidRPr="00BE7616">
        <w:rPr>
          <w:rFonts w:cs="Arial"/>
          <w:szCs w:val="24"/>
        </w:rPr>
        <w:t>kologické zátěže jsou v ČR řešeny podle svého původu a rizikovosti v několika různých režimech, tak aby byl zajištěn efektivní rozvoj průmyslových, zemědělských i obytných komplexů a zároveň nebylo ohroženo zdraví osob v těchto areálech se pohybujících, či stav ekosystémů a jejich součástí v blízkosti ekologicky zatížených oblastí. Zároveň je nezbytné zajistit efektivní rozhodovací schopnost samospráv i státní správy, a zajistit plnění pravidla „znečišťovatel platí“ vycházejícího ze Směrnice Evropského parlamentu a Rady </w:t>
      </w:r>
      <w:hyperlink r:id="rId15" w:tgtFrame="_blank" w:tooltip="2004/35/ES" w:history="1">
        <w:r w:rsidR="00683E7C" w:rsidRPr="00BE7616">
          <w:t>2004/35/ES</w:t>
        </w:r>
      </w:hyperlink>
      <w:r w:rsidR="00683E7C" w:rsidRPr="00BE7616">
        <w:rPr>
          <w:rFonts w:cs="Arial"/>
          <w:szCs w:val="24"/>
        </w:rPr>
        <w:t xml:space="preserve"> </w:t>
      </w:r>
      <w:r w:rsidR="005814A2">
        <w:rPr>
          <w:rFonts w:cs="Arial"/>
          <w:bCs/>
          <w:szCs w:val="24"/>
        </w:rPr>
        <w:t>o </w:t>
      </w:r>
      <w:r w:rsidR="00683E7C" w:rsidRPr="00BE7616">
        <w:rPr>
          <w:rFonts w:cs="Arial"/>
          <w:bCs/>
          <w:szCs w:val="24"/>
        </w:rPr>
        <w:t xml:space="preserve">odpovědnosti za životní prostředí v souvislosti s prevencí a nápravou škod na životním prostředí, a </w:t>
      </w:r>
      <w:r w:rsidR="00683E7C" w:rsidRPr="00BE7616">
        <w:rPr>
          <w:rFonts w:cs="Arial"/>
          <w:szCs w:val="24"/>
        </w:rPr>
        <w:t>zákona 167/2008 Sb. o předcházení ekologické újmě a o její nápravě a o změně některých zákonů</w:t>
      </w:r>
      <w:r w:rsidR="00683E7C" w:rsidRPr="00BE7616">
        <w:rPr>
          <w:rFonts w:cs="Arial"/>
          <w:bCs/>
          <w:szCs w:val="24"/>
        </w:rPr>
        <w:t>. In</w:t>
      </w:r>
      <w:r w:rsidR="00683E7C" w:rsidRPr="00BE7616">
        <w:rPr>
          <w:rFonts w:cs="Arial"/>
          <w:szCs w:val="24"/>
        </w:rPr>
        <w:t xml:space="preserve">ventarizace a odstraňování starých ekologických zátěží tedy slouží jako základní administrativní nástroj </w:t>
      </w:r>
      <w:r w:rsidR="0009242C" w:rsidRPr="008E6B35">
        <w:rPr>
          <w:rFonts w:cs="Arial"/>
          <w:szCs w:val="24"/>
        </w:rPr>
        <w:t xml:space="preserve">pro </w:t>
      </w:r>
      <w:r w:rsidR="0033290F" w:rsidRPr="0033290F">
        <w:rPr>
          <w:rFonts w:cs="Arial"/>
          <w:szCs w:val="24"/>
        </w:rPr>
        <w:t>prevenci vzniku závažné kontaminace,</w:t>
      </w:r>
      <w:r w:rsidR="0009242C" w:rsidRPr="008E6B35">
        <w:rPr>
          <w:rFonts w:cs="Arial"/>
          <w:szCs w:val="24"/>
        </w:rPr>
        <w:t xml:space="preserve"> </w:t>
      </w:r>
      <w:r w:rsidR="00683E7C" w:rsidRPr="008E6B35">
        <w:rPr>
          <w:rFonts w:cs="Arial"/>
          <w:szCs w:val="24"/>
        </w:rPr>
        <w:t>rozlišení „starých“ a</w:t>
      </w:r>
      <w:r w:rsidR="00B353CA">
        <w:rPr>
          <w:rFonts w:cs="Arial"/>
          <w:szCs w:val="24"/>
        </w:rPr>
        <w:t> </w:t>
      </w:r>
      <w:r w:rsidR="00683E7C" w:rsidRPr="008E6B35">
        <w:rPr>
          <w:rFonts w:cs="Arial"/>
          <w:szCs w:val="24"/>
        </w:rPr>
        <w:t xml:space="preserve">„nových“ ekologických zátěží </w:t>
      </w:r>
      <w:r w:rsidR="0033290F" w:rsidRPr="0033290F">
        <w:rPr>
          <w:rFonts w:cs="Arial"/>
          <w:szCs w:val="24"/>
        </w:rPr>
        <w:t>(a tedy uplatnění principu „znečišťovatel platí“ ve smyslu naplnění Směrnice Evropského parlamentu a Rady </w:t>
      </w:r>
      <w:hyperlink r:id="rId16" w:tgtFrame="_blank" w:tooltip="2004/35/ES" w:history="1">
        <w:r w:rsidR="0033290F" w:rsidRPr="0033290F">
          <w:t>2004/35/ES</w:t>
        </w:r>
      </w:hyperlink>
      <w:r w:rsidR="0033290F" w:rsidRPr="0033290F">
        <w:rPr>
          <w:rFonts w:cs="Arial"/>
          <w:szCs w:val="24"/>
        </w:rPr>
        <w:t>)</w:t>
      </w:r>
      <w:r w:rsidR="0033290F" w:rsidRPr="0033290F">
        <w:rPr>
          <w:color w:val="FF0000"/>
        </w:rPr>
        <w:t xml:space="preserve"> </w:t>
      </w:r>
      <w:r w:rsidR="00683E7C" w:rsidRPr="00BE7616">
        <w:rPr>
          <w:rFonts w:cs="Arial"/>
          <w:szCs w:val="24"/>
        </w:rPr>
        <w:t>klasifikaci prioritních ekologických zátěží a efektivní nastavení ekonomických nástrojů využívaných v rámci řešení dané problematiky.</w:t>
      </w:r>
      <w:r w:rsidR="005910DE">
        <w:rPr>
          <w:rFonts w:cs="Arial"/>
          <w:szCs w:val="24"/>
        </w:rPr>
        <w:t xml:space="preserve">  </w:t>
      </w:r>
    </w:p>
    <w:p w:rsidR="00683E7C" w:rsidRPr="004314F4" w:rsidRDefault="005910DE" w:rsidP="00B66FDE">
      <w:r w:rsidRPr="00235791">
        <w:t xml:space="preserve">Těžební odpady jsou kumulovány na mnoha místech ČR jako následky historické těžby a úpravy nerostných surovin. Je provozována </w:t>
      </w:r>
      <w:r w:rsidR="00423B35">
        <w:t>i</w:t>
      </w:r>
      <w:r w:rsidRPr="00235791">
        <w:t>nventarizace úložných míst zahrnující také tzv. opuštěná úložná místa, která nemají vlastníka. V jejich registru se shromažďují základn</w:t>
      </w:r>
      <w:r>
        <w:t>í údaje o </w:t>
      </w:r>
      <w:r w:rsidRPr="00235791">
        <w:t>jednotlivých lokalitách. Chybí dlouhodobé systematické hodnocení úložných míst na základě průzkumných a analytických prací, s jejichž pomocí je možné jednotlivé objekty kvalifikovaně posoudit a stabilizace či sanace opuštěných úložných míst.</w:t>
      </w:r>
    </w:p>
    <w:p w:rsidR="004B6C19" w:rsidRPr="00FB515E" w:rsidRDefault="00891E9C" w:rsidP="00B66FDE">
      <w:r w:rsidRPr="008C7D93">
        <w:t>I přes nespornou prospěšnost a velký rozsah prací provedených v průběhu předchozího programového období zůstává v České republice stále velké množství starých ekologických zátěží (řádově tisíce), bez známého původce či s původcem již neexistujícím, u nichž není znám rozsah rizik pro životní prostředí a lidské zdraví, anebo jsou tato rizika natolik závažná, že je nezbytné tyto staré ekologické zátěže odstranit.</w:t>
      </w:r>
      <w:bookmarkStart w:id="2575" w:name="_Toc384907414"/>
    </w:p>
    <w:p w:rsidR="001049BC" w:rsidRPr="00165854" w:rsidRDefault="001049BC" w:rsidP="00B353CA">
      <w:pPr>
        <w:spacing w:after="0" w:afterAutospacing="0"/>
        <w:rPr>
          <w:b/>
        </w:rPr>
      </w:pPr>
      <w:r w:rsidRPr="00165854">
        <w:rPr>
          <w:b/>
        </w:rPr>
        <w:t>Stav, který by měl být dosažen k r. 2020:</w:t>
      </w:r>
      <w:bookmarkEnd w:id="2575"/>
    </w:p>
    <w:p w:rsidR="006F7D80" w:rsidRDefault="00B353CA" w:rsidP="00495FC1">
      <w:pPr>
        <w:pStyle w:val="Odstavecseseznamem"/>
        <w:numPr>
          <w:ilvl w:val="0"/>
          <w:numId w:val="22"/>
        </w:numPr>
        <w:spacing w:after="0" w:afterAutospacing="0"/>
      </w:pPr>
      <w:r>
        <w:t>p</w:t>
      </w:r>
      <w:r w:rsidR="005E3447" w:rsidRPr="005808AE">
        <w:t xml:space="preserve">rovést zdokumentování co největšího počtu lokalit a na základě získaných informací provést jejich </w:t>
      </w:r>
      <w:proofErr w:type="spellStart"/>
      <w:r w:rsidR="005E3447" w:rsidRPr="005808AE">
        <w:t>prioritizaci</w:t>
      </w:r>
      <w:proofErr w:type="spellEnd"/>
      <w:r>
        <w:t>.</w:t>
      </w:r>
    </w:p>
    <w:p w:rsidR="006F7D80" w:rsidRDefault="00B353CA" w:rsidP="00495FC1">
      <w:pPr>
        <w:pStyle w:val="Odstavecseseznamem"/>
        <w:numPr>
          <w:ilvl w:val="0"/>
          <w:numId w:val="22"/>
        </w:numPr>
      </w:pPr>
      <w:r>
        <w:lastRenderedPageBreak/>
        <w:t>z</w:t>
      </w:r>
      <w:r w:rsidR="005E3447" w:rsidRPr="005808AE">
        <w:t>ískaná data zanést do informačního systému využitelného státní správou v rámci správních řízení, ale i odbornou a laickou veřejností</w:t>
      </w:r>
      <w:r>
        <w:t>.</w:t>
      </w:r>
    </w:p>
    <w:p w:rsidR="006F7D80" w:rsidRDefault="00B353CA" w:rsidP="00495FC1">
      <w:pPr>
        <w:pStyle w:val="Odstavecseseznamem"/>
        <w:numPr>
          <w:ilvl w:val="0"/>
          <w:numId w:val="22"/>
        </w:numPr>
      </w:pPr>
      <w:r>
        <w:t>p</w:t>
      </w:r>
      <w:r w:rsidR="005E3447" w:rsidRPr="005808AE">
        <w:t>rovést průzkumné práce na kontaminovaných lokalitách a na základě jejich výsledků zpracovat analýzy rizik</w:t>
      </w:r>
      <w:r>
        <w:t>.</w:t>
      </w:r>
    </w:p>
    <w:p w:rsidR="006F7D80" w:rsidRDefault="00B353CA" w:rsidP="00495FC1">
      <w:pPr>
        <w:pStyle w:val="Odstavecseseznamem"/>
        <w:numPr>
          <w:ilvl w:val="0"/>
          <w:numId w:val="22"/>
        </w:numPr>
      </w:pPr>
      <w:r>
        <w:t>n</w:t>
      </w:r>
      <w:r w:rsidR="005E3447" w:rsidRPr="005808AE">
        <w:t>a základě výsledků analýz rizik provést, u nejvážněji kontaminovaných lokalit, které mohou představovat vážná rizika pro lidské zdraví či pro životní prostředí, sanační zásah směřující k odstranění kontaminace a rizik z ní vyplývajících</w:t>
      </w:r>
      <w:r>
        <w:t>.</w:t>
      </w:r>
    </w:p>
    <w:p w:rsidR="006F7D80" w:rsidRDefault="00B353CA" w:rsidP="00495FC1">
      <w:pPr>
        <w:pStyle w:val="Odstavecseseznamem"/>
        <w:numPr>
          <w:ilvl w:val="0"/>
          <w:numId w:val="22"/>
        </w:numPr>
      </w:pPr>
      <w:r>
        <w:t>p</w:t>
      </w:r>
      <w:r w:rsidR="005E3447" w:rsidRPr="005808AE">
        <w:t xml:space="preserve">rovádět </w:t>
      </w:r>
      <w:proofErr w:type="spellStart"/>
      <w:r w:rsidR="005E3447" w:rsidRPr="005808AE">
        <w:t>vymísťování</w:t>
      </w:r>
      <w:proofErr w:type="spellEnd"/>
      <w:r w:rsidR="005E3447" w:rsidRPr="005808AE">
        <w:t xml:space="preserve"> starých černých „skládek“, které byly využívány k ukládání odpadů bez povolení v době, kdy v ČR neexistovala legislativa věnující se problematice odpadů. Přednostně by měly být řešeny skládky </w:t>
      </w:r>
      <w:r w:rsidR="00BE1BB4">
        <w:t>ve zvláště chráněných územích a </w:t>
      </w:r>
      <w:r w:rsidR="005E3447" w:rsidRPr="005808AE">
        <w:t>územích NATURA 2000</w:t>
      </w:r>
      <w:r>
        <w:t>.</w:t>
      </w:r>
    </w:p>
    <w:p w:rsidR="005E3447" w:rsidRPr="004314F4" w:rsidRDefault="00B353CA" w:rsidP="00495FC1">
      <w:pPr>
        <w:pStyle w:val="Odstavecseseznamem"/>
        <w:numPr>
          <w:ilvl w:val="0"/>
          <w:numId w:val="22"/>
        </w:numPr>
      </w:pPr>
      <w:r>
        <w:t>z</w:t>
      </w:r>
      <w:r w:rsidR="00D066A9" w:rsidRPr="00235791">
        <w:t xml:space="preserve">abezpečení území stabilizací nebo sanací vybraných </w:t>
      </w:r>
      <w:r w:rsidR="00D066A9">
        <w:t>opuštěných úložných míst a </w:t>
      </w:r>
      <w:r w:rsidR="00D066A9" w:rsidRPr="00235791">
        <w:t>omezení jejich negativního vlivu na krajinu a horninové prostředí</w:t>
      </w:r>
      <w:r w:rsidR="00D066A9">
        <w:t>.</w:t>
      </w:r>
    </w:p>
    <w:p w:rsidR="00B21066" w:rsidRPr="004314F4" w:rsidRDefault="004479EC" w:rsidP="00165854">
      <w:pPr>
        <w:pStyle w:val="Titulek"/>
      </w:pPr>
      <w:bookmarkStart w:id="2576" w:name="_Toc384907415"/>
      <w:r w:rsidRPr="004314F4">
        <w:t xml:space="preserve">Specifické </w:t>
      </w:r>
      <w:r w:rsidR="00AC0B13">
        <w:t>programové ukazatele</w:t>
      </w:r>
      <w:r w:rsidRPr="004314F4">
        <w:t xml:space="preserve"> výsledků pro SC 3.</w:t>
      </w:r>
      <w:r w:rsidR="00834875">
        <w:t>4</w:t>
      </w:r>
      <w:bookmarkEnd w:id="2576"/>
    </w:p>
    <w:tbl>
      <w:tblPr>
        <w:tblStyle w:val="Mkatabulky"/>
        <w:tblW w:w="9072" w:type="dxa"/>
        <w:tblInd w:w="108" w:type="dxa"/>
        <w:tblLayout w:type="fixed"/>
        <w:tblLook w:val="04A0" w:firstRow="1" w:lastRow="0" w:firstColumn="1" w:lastColumn="0" w:noHBand="0" w:noVBand="1"/>
      </w:tblPr>
      <w:tblGrid>
        <w:gridCol w:w="709"/>
        <w:gridCol w:w="1418"/>
        <w:gridCol w:w="992"/>
        <w:gridCol w:w="850"/>
        <w:gridCol w:w="1134"/>
        <w:gridCol w:w="709"/>
        <w:gridCol w:w="992"/>
        <w:gridCol w:w="1134"/>
        <w:gridCol w:w="1134"/>
      </w:tblGrid>
      <w:tr w:rsidR="00AC0B13" w:rsidRPr="004B648F" w:rsidTr="004B6C19">
        <w:tc>
          <w:tcPr>
            <w:tcW w:w="709" w:type="dxa"/>
            <w:tcBorders>
              <w:bottom w:val="single" w:sz="12" w:space="0" w:color="auto"/>
            </w:tcBorders>
            <w:shd w:val="clear" w:color="auto" w:fill="BFBFBF" w:themeFill="background1" w:themeFillShade="BF"/>
          </w:tcPr>
          <w:p w:rsidR="00AC0B13" w:rsidRPr="003A2CB2" w:rsidRDefault="00AC0B13" w:rsidP="00B66FDE">
            <w:pPr>
              <w:rPr>
                <w:b/>
                <w:sz w:val="20"/>
                <w:szCs w:val="20"/>
              </w:rPr>
            </w:pPr>
            <w:r w:rsidRPr="003A2CB2">
              <w:rPr>
                <w:b/>
                <w:sz w:val="20"/>
                <w:szCs w:val="20"/>
              </w:rPr>
              <w:t xml:space="preserve">ID </w:t>
            </w:r>
          </w:p>
        </w:tc>
        <w:tc>
          <w:tcPr>
            <w:tcW w:w="1418" w:type="dxa"/>
            <w:tcBorders>
              <w:bottom w:val="single" w:sz="12" w:space="0" w:color="auto"/>
            </w:tcBorders>
            <w:shd w:val="clear" w:color="auto" w:fill="BFBFBF" w:themeFill="background1" w:themeFillShade="BF"/>
          </w:tcPr>
          <w:p w:rsidR="00674BC9" w:rsidRPr="004B6C19" w:rsidRDefault="0033290F">
            <w:pPr>
              <w:rPr>
                <w:b/>
              </w:rPr>
            </w:pPr>
            <w:r w:rsidRPr="004B6C19">
              <w:rPr>
                <w:b/>
                <w:sz w:val="20"/>
                <w:szCs w:val="20"/>
              </w:rPr>
              <w:t xml:space="preserve">Ukazatel </w:t>
            </w:r>
          </w:p>
        </w:tc>
        <w:tc>
          <w:tcPr>
            <w:tcW w:w="992" w:type="dxa"/>
            <w:tcBorders>
              <w:bottom w:val="single" w:sz="12" w:space="0" w:color="auto"/>
            </w:tcBorders>
            <w:shd w:val="clear" w:color="auto" w:fill="BFBFBF" w:themeFill="background1" w:themeFillShade="BF"/>
          </w:tcPr>
          <w:p w:rsidR="00AC0B13" w:rsidRPr="003A2CB2" w:rsidRDefault="0033290F" w:rsidP="00B66FDE">
            <w:pPr>
              <w:spacing w:line="276" w:lineRule="auto"/>
              <w:rPr>
                <w:b/>
                <w:sz w:val="20"/>
                <w:szCs w:val="20"/>
              </w:rPr>
            </w:pPr>
            <w:r w:rsidRPr="0033290F">
              <w:rPr>
                <w:b/>
                <w:sz w:val="20"/>
                <w:szCs w:val="20"/>
              </w:rPr>
              <w:t>Měrná jednotka</w:t>
            </w:r>
          </w:p>
        </w:tc>
        <w:tc>
          <w:tcPr>
            <w:tcW w:w="850" w:type="dxa"/>
            <w:tcBorders>
              <w:bottom w:val="single" w:sz="12" w:space="0" w:color="auto"/>
            </w:tcBorders>
            <w:shd w:val="clear" w:color="auto" w:fill="BFBFBF" w:themeFill="background1" w:themeFillShade="BF"/>
          </w:tcPr>
          <w:p w:rsidR="00AC0B13" w:rsidRPr="003A2CB2" w:rsidRDefault="0033290F" w:rsidP="00B66FDE">
            <w:pPr>
              <w:spacing w:line="276" w:lineRule="auto"/>
              <w:rPr>
                <w:b/>
                <w:sz w:val="20"/>
                <w:szCs w:val="20"/>
              </w:rPr>
            </w:pPr>
            <w:r w:rsidRPr="0033290F">
              <w:rPr>
                <w:b/>
                <w:sz w:val="20"/>
                <w:szCs w:val="20"/>
              </w:rPr>
              <w:t>Kategorie regionů</w:t>
            </w:r>
          </w:p>
        </w:tc>
        <w:tc>
          <w:tcPr>
            <w:tcW w:w="1134" w:type="dxa"/>
            <w:tcBorders>
              <w:bottom w:val="single" w:sz="12" w:space="0" w:color="auto"/>
            </w:tcBorders>
            <w:shd w:val="clear" w:color="auto" w:fill="BFBFBF" w:themeFill="background1" w:themeFillShade="BF"/>
          </w:tcPr>
          <w:p w:rsidR="00AC0B13" w:rsidRPr="003A2CB2" w:rsidRDefault="0033290F" w:rsidP="00B66FDE">
            <w:pPr>
              <w:spacing w:line="276" w:lineRule="auto"/>
              <w:rPr>
                <w:b/>
                <w:sz w:val="20"/>
                <w:szCs w:val="20"/>
              </w:rPr>
            </w:pPr>
            <w:r w:rsidRPr="0033290F">
              <w:rPr>
                <w:b/>
                <w:sz w:val="20"/>
                <w:szCs w:val="20"/>
              </w:rPr>
              <w:t>Výchozí hodnota</w:t>
            </w:r>
          </w:p>
        </w:tc>
        <w:tc>
          <w:tcPr>
            <w:tcW w:w="709" w:type="dxa"/>
            <w:tcBorders>
              <w:bottom w:val="single" w:sz="12" w:space="0" w:color="auto"/>
            </w:tcBorders>
            <w:shd w:val="clear" w:color="auto" w:fill="BFBFBF" w:themeFill="background1" w:themeFillShade="BF"/>
          </w:tcPr>
          <w:p w:rsidR="00AC0B13" w:rsidRPr="003A2CB2" w:rsidRDefault="0033290F" w:rsidP="00B66FDE">
            <w:pPr>
              <w:spacing w:line="276" w:lineRule="auto"/>
              <w:rPr>
                <w:b/>
                <w:sz w:val="20"/>
                <w:szCs w:val="20"/>
              </w:rPr>
            </w:pPr>
            <w:r w:rsidRPr="0033290F">
              <w:rPr>
                <w:b/>
                <w:sz w:val="20"/>
                <w:szCs w:val="20"/>
              </w:rPr>
              <w:t>Výchozí rok</w:t>
            </w:r>
          </w:p>
        </w:tc>
        <w:tc>
          <w:tcPr>
            <w:tcW w:w="992" w:type="dxa"/>
            <w:tcBorders>
              <w:bottom w:val="single" w:sz="12" w:space="0" w:color="auto"/>
            </w:tcBorders>
            <w:shd w:val="clear" w:color="auto" w:fill="BFBFBF" w:themeFill="background1" w:themeFillShade="BF"/>
          </w:tcPr>
          <w:p w:rsidR="00AC0B13" w:rsidRPr="003A2CB2" w:rsidRDefault="0033290F" w:rsidP="00B66FDE">
            <w:pPr>
              <w:spacing w:line="276" w:lineRule="auto"/>
              <w:rPr>
                <w:b/>
                <w:sz w:val="20"/>
                <w:szCs w:val="20"/>
              </w:rPr>
            </w:pPr>
            <w:r w:rsidRPr="0033290F">
              <w:rPr>
                <w:b/>
                <w:sz w:val="20"/>
                <w:szCs w:val="20"/>
              </w:rPr>
              <w:t>Cílová hodnota (2023)</w:t>
            </w:r>
          </w:p>
        </w:tc>
        <w:tc>
          <w:tcPr>
            <w:tcW w:w="1134" w:type="dxa"/>
            <w:tcBorders>
              <w:bottom w:val="single" w:sz="12" w:space="0" w:color="auto"/>
            </w:tcBorders>
            <w:shd w:val="clear" w:color="auto" w:fill="BFBFBF" w:themeFill="background1" w:themeFillShade="BF"/>
          </w:tcPr>
          <w:p w:rsidR="00AC0B13" w:rsidRPr="003A2CB2" w:rsidRDefault="0033290F" w:rsidP="00B66FDE">
            <w:pPr>
              <w:spacing w:line="276" w:lineRule="auto"/>
              <w:rPr>
                <w:b/>
                <w:sz w:val="20"/>
                <w:szCs w:val="20"/>
              </w:rPr>
            </w:pPr>
            <w:r w:rsidRPr="0033290F">
              <w:rPr>
                <w:b/>
                <w:sz w:val="20"/>
                <w:szCs w:val="20"/>
              </w:rPr>
              <w:t>Zdroj údajů</w:t>
            </w:r>
          </w:p>
        </w:tc>
        <w:tc>
          <w:tcPr>
            <w:tcW w:w="1134" w:type="dxa"/>
            <w:tcBorders>
              <w:bottom w:val="single" w:sz="12" w:space="0" w:color="auto"/>
            </w:tcBorders>
            <w:shd w:val="clear" w:color="auto" w:fill="BFBFBF" w:themeFill="background1" w:themeFillShade="BF"/>
          </w:tcPr>
          <w:p w:rsidR="00AC0B13" w:rsidRPr="003A2CB2" w:rsidRDefault="0033290F" w:rsidP="00B66FDE">
            <w:pPr>
              <w:spacing w:line="276" w:lineRule="auto"/>
              <w:rPr>
                <w:b/>
                <w:sz w:val="20"/>
                <w:szCs w:val="20"/>
              </w:rPr>
            </w:pPr>
            <w:r w:rsidRPr="0033290F">
              <w:rPr>
                <w:b/>
                <w:sz w:val="20"/>
                <w:szCs w:val="20"/>
              </w:rPr>
              <w:t>Četnost podávání zpráv</w:t>
            </w:r>
          </w:p>
        </w:tc>
      </w:tr>
      <w:tr w:rsidR="00AC0B13" w:rsidRPr="00FF071F" w:rsidTr="004B6C19">
        <w:tc>
          <w:tcPr>
            <w:tcW w:w="709" w:type="dxa"/>
            <w:tcBorders>
              <w:top w:val="single" w:sz="12" w:space="0" w:color="auto"/>
            </w:tcBorders>
          </w:tcPr>
          <w:p w:rsidR="00AC0B13" w:rsidRPr="003A2CB2" w:rsidRDefault="00AC6A7F" w:rsidP="00B66FDE">
            <w:pPr>
              <w:spacing w:line="276" w:lineRule="auto"/>
              <w:rPr>
                <w:sz w:val="20"/>
                <w:szCs w:val="20"/>
              </w:rPr>
            </w:pPr>
            <w:r>
              <w:rPr>
                <w:sz w:val="20"/>
                <w:szCs w:val="20"/>
              </w:rPr>
              <w:t>404</w:t>
            </w:r>
            <w:r w:rsidRPr="00AC6A7F">
              <w:rPr>
                <w:sz w:val="20"/>
                <w:szCs w:val="20"/>
              </w:rPr>
              <w:t>00</w:t>
            </w:r>
            <w:r w:rsidRPr="00AC6A7F" w:rsidDel="00AC6A7F">
              <w:rPr>
                <w:sz w:val="20"/>
                <w:szCs w:val="20"/>
              </w:rPr>
              <w:t xml:space="preserve"> </w:t>
            </w:r>
          </w:p>
        </w:tc>
        <w:tc>
          <w:tcPr>
            <w:tcW w:w="1418" w:type="dxa"/>
            <w:tcBorders>
              <w:top w:val="single" w:sz="12" w:space="0" w:color="auto"/>
            </w:tcBorders>
            <w:vAlign w:val="center"/>
          </w:tcPr>
          <w:p w:rsidR="00AC0B13" w:rsidRPr="003A2CB2" w:rsidRDefault="0033290F" w:rsidP="00B66FDE">
            <w:pPr>
              <w:spacing w:line="276" w:lineRule="auto"/>
              <w:rPr>
                <w:bCs/>
                <w:sz w:val="20"/>
                <w:szCs w:val="20"/>
              </w:rPr>
            </w:pPr>
            <w:r w:rsidRPr="0033290F">
              <w:rPr>
                <w:bCs/>
                <w:sz w:val="20"/>
                <w:szCs w:val="20"/>
              </w:rPr>
              <w:t>Kubatura vytěženého, odčerpaného kontaminovaného materiálu a demolované stavby</w:t>
            </w:r>
          </w:p>
        </w:tc>
        <w:tc>
          <w:tcPr>
            <w:tcW w:w="992" w:type="dxa"/>
            <w:tcBorders>
              <w:top w:val="single" w:sz="12" w:space="0" w:color="auto"/>
            </w:tcBorders>
            <w:vAlign w:val="center"/>
          </w:tcPr>
          <w:p w:rsidR="00AC0B13" w:rsidRPr="00F31C41" w:rsidRDefault="00F31C41" w:rsidP="00B66FDE">
            <w:pPr>
              <w:spacing w:line="276" w:lineRule="auto"/>
              <w:rPr>
                <w:bCs/>
                <w:sz w:val="20"/>
                <w:szCs w:val="20"/>
                <w:vertAlign w:val="superscript"/>
              </w:rPr>
            </w:pPr>
            <w:r>
              <w:rPr>
                <w:bCs/>
                <w:sz w:val="20"/>
                <w:szCs w:val="20"/>
              </w:rPr>
              <w:t xml:space="preserve"> m</w:t>
            </w:r>
            <w:r>
              <w:rPr>
                <w:bCs/>
                <w:sz w:val="20"/>
                <w:szCs w:val="20"/>
                <w:vertAlign w:val="superscript"/>
              </w:rPr>
              <w:t>3</w:t>
            </w:r>
          </w:p>
        </w:tc>
        <w:tc>
          <w:tcPr>
            <w:tcW w:w="850" w:type="dxa"/>
            <w:tcBorders>
              <w:top w:val="single" w:sz="12" w:space="0" w:color="auto"/>
            </w:tcBorders>
          </w:tcPr>
          <w:p w:rsidR="00AC0B13" w:rsidRPr="003A2CB2" w:rsidRDefault="0033290F" w:rsidP="00B66FDE">
            <w:pPr>
              <w:spacing w:line="276" w:lineRule="auto"/>
              <w:rPr>
                <w:bCs/>
                <w:sz w:val="20"/>
                <w:szCs w:val="20"/>
              </w:rPr>
            </w:pPr>
            <w:r w:rsidRPr="0033290F">
              <w:rPr>
                <w:rFonts w:asciiTheme="majorHAnsi" w:hAnsiTheme="majorHAnsi"/>
                <w:bCs/>
                <w:sz w:val="20"/>
                <w:szCs w:val="20"/>
              </w:rPr>
              <w:t>Není relevantní</w:t>
            </w:r>
          </w:p>
        </w:tc>
        <w:tc>
          <w:tcPr>
            <w:tcW w:w="1134" w:type="dxa"/>
            <w:tcBorders>
              <w:top w:val="single" w:sz="12" w:space="0" w:color="auto"/>
            </w:tcBorders>
            <w:vAlign w:val="center"/>
          </w:tcPr>
          <w:p w:rsidR="00AC0B13" w:rsidRPr="003A2CB2" w:rsidRDefault="0033290F" w:rsidP="00B66FDE">
            <w:pPr>
              <w:spacing w:line="276" w:lineRule="auto"/>
              <w:rPr>
                <w:bCs/>
                <w:sz w:val="20"/>
                <w:szCs w:val="20"/>
              </w:rPr>
            </w:pPr>
            <w:r w:rsidRPr="0033290F">
              <w:rPr>
                <w:bCs/>
                <w:sz w:val="20"/>
                <w:szCs w:val="20"/>
              </w:rPr>
              <w:t>1 150 000</w:t>
            </w:r>
          </w:p>
        </w:tc>
        <w:tc>
          <w:tcPr>
            <w:tcW w:w="709" w:type="dxa"/>
            <w:tcBorders>
              <w:top w:val="single" w:sz="12" w:space="0" w:color="auto"/>
            </w:tcBorders>
            <w:vAlign w:val="center"/>
          </w:tcPr>
          <w:p w:rsidR="00AC0B13" w:rsidRPr="003A2CB2" w:rsidRDefault="00AC0B13" w:rsidP="00B66FDE">
            <w:pPr>
              <w:rPr>
                <w:rFonts w:eastAsia="Times New Roman" w:cs="Arial"/>
                <w:bCs/>
                <w:sz w:val="20"/>
                <w:szCs w:val="20"/>
              </w:rPr>
            </w:pPr>
            <w:r w:rsidRPr="003A2CB2">
              <w:rPr>
                <w:rFonts w:cs="Arial"/>
                <w:bCs/>
                <w:sz w:val="20"/>
                <w:szCs w:val="20"/>
              </w:rPr>
              <w:t>2014</w:t>
            </w:r>
          </w:p>
        </w:tc>
        <w:tc>
          <w:tcPr>
            <w:tcW w:w="992" w:type="dxa"/>
            <w:tcBorders>
              <w:top w:val="single" w:sz="12" w:space="0" w:color="auto"/>
            </w:tcBorders>
            <w:vAlign w:val="center"/>
          </w:tcPr>
          <w:p w:rsidR="00AC0B13" w:rsidRPr="003A2CB2" w:rsidRDefault="00AC0B13" w:rsidP="00B66FDE">
            <w:pPr>
              <w:spacing w:line="276" w:lineRule="auto"/>
              <w:rPr>
                <w:rFonts w:eastAsia="Times New Roman" w:cs="Arial"/>
                <w:bCs/>
                <w:sz w:val="20"/>
                <w:szCs w:val="20"/>
              </w:rPr>
            </w:pPr>
            <w:r w:rsidRPr="003A2CB2">
              <w:rPr>
                <w:rFonts w:cs="Arial"/>
                <w:bCs/>
                <w:sz w:val="20"/>
                <w:szCs w:val="20"/>
              </w:rPr>
              <w:t>2 300 000</w:t>
            </w:r>
          </w:p>
        </w:tc>
        <w:tc>
          <w:tcPr>
            <w:tcW w:w="1134" w:type="dxa"/>
            <w:tcBorders>
              <w:top w:val="single" w:sz="12" w:space="0" w:color="auto"/>
            </w:tcBorders>
            <w:vAlign w:val="center"/>
          </w:tcPr>
          <w:p w:rsidR="00AC0B13" w:rsidRPr="003A2CB2" w:rsidRDefault="0033290F" w:rsidP="00B66FDE">
            <w:pPr>
              <w:spacing w:line="276" w:lineRule="auto"/>
              <w:rPr>
                <w:rFonts w:eastAsia="Times New Roman" w:cs="Arial"/>
                <w:bCs/>
                <w:sz w:val="20"/>
                <w:szCs w:val="20"/>
              </w:rPr>
            </w:pPr>
            <w:r w:rsidRPr="0033290F">
              <w:rPr>
                <w:rFonts w:eastAsia="Times New Roman" w:cs="Arial"/>
                <w:bCs/>
                <w:sz w:val="20"/>
                <w:szCs w:val="20"/>
              </w:rPr>
              <w:t>žadatel/příjemce</w:t>
            </w:r>
          </w:p>
        </w:tc>
        <w:tc>
          <w:tcPr>
            <w:tcW w:w="1134" w:type="dxa"/>
            <w:tcBorders>
              <w:top w:val="single" w:sz="12" w:space="0" w:color="auto"/>
            </w:tcBorders>
            <w:vAlign w:val="center"/>
          </w:tcPr>
          <w:p w:rsidR="00AC0B13" w:rsidRPr="003A2CB2" w:rsidRDefault="0033290F" w:rsidP="00B66FDE">
            <w:pPr>
              <w:spacing w:line="276" w:lineRule="auto"/>
              <w:rPr>
                <w:rFonts w:eastAsia="Times New Roman" w:cs="Arial"/>
                <w:bCs/>
                <w:sz w:val="20"/>
                <w:szCs w:val="20"/>
              </w:rPr>
            </w:pPr>
            <w:r w:rsidRPr="0033290F">
              <w:rPr>
                <w:bCs/>
                <w:sz w:val="20"/>
                <w:szCs w:val="20"/>
              </w:rPr>
              <w:t>Průběžně</w:t>
            </w:r>
          </w:p>
        </w:tc>
      </w:tr>
      <w:tr w:rsidR="00AC0B13" w:rsidRPr="00FF071F" w:rsidTr="004B6C19">
        <w:tc>
          <w:tcPr>
            <w:tcW w:w="709" w:type="dxa"/>
          </w:tcPr>
          <w:p w:rsidR="00AC0B13" w:rsidRPr="003A2CB2" w:rsidRDefault="00AC6A7F" w:rsidP="00B66FDE">
            <w:pPr>
              <w:rPr>
                <w:sz w:val="20"/>
                <w:szCs w:val="20"/>
              </w:rPr>
            </w:pPr>
            <w:r>
              <w:rPr>
                <w:sz w:val="20"/>
                <w:szCs w:val="20"/>
              </w:rPr>
              <w:t>411101</w:t>
            </w:r>
          </w:p>
        </w:tc>
        <w:tc>
          <w:tcPr>
            <w:tcW w:w="1418" w:type="dxa"/>
            <w:vAlign w:val="center"/>
            <w:hideMark/>
          </w:tcPr>
          <w:p w:rsidR="00AC0B13" w:rsidRPr="003A2CB2" w:rsidRDefault="0033290F" w:rsidP="00B66FDE">
            <w:pPr>
              <w:spacing w:line="276" w:lineRule="auto"/>
              <w:rPr>
                <w:bCs/>
                <w:sz w:val="20"/>
                <w:szCs w:val="20"/>
              </w:rPr>
            </w:pPr>
            <w:r w:rsidRPr="0033290F">
              <w:rPr>
                <w:bCs/>
                <w:sz w:val="20"/>
                <w:szCs w:val="20"/>
              </w:rPr>
              <w:t>Zvýšení počtu evidovaných kontaminovaných míst</w:t>
            </w:r>
          </w:p>
        </w:tc>
        <w:tc>
          <w:tcPr>
            <w:tcW w:w="992" w:type="dxa"/>
            <w:vAlign w:val="center"/>
            <w:hideMark/>
          </w:tcPr>
          <w:p w:rsidR="00AC0B13" w:rsidRPr="003A2CB2" w:rsidRDefault="00857768" w:rsidP="00B66FDE">
            <w:pPr>
              <w:spacing w:line="276" w:lineRule="auto"/>
              <w:rPr>
                <w:bCs/>
                <w:sz w:val="20"/>
                <w:szCs w:val="20"/>
              </w:rPr>
            </w:pPr>
            <w:r>
              <w:rPr>
                <w:bCs/>
                <w:sz w:val="20"/>
                <w:szCs w:val="20"/>
              </w:rPr>
              <w:t>lokality</w:t>
            </w:r>
          </w:p>
        </w:tc>
        <w:tc>
          <w:tcPr>
            <w:tcW w:w="850" w:type="dxa"/>
          </w:tcPr>
          <w:p w:rsidR="00AC0B13" w:rsidRPr="003A2CB2" w:rsidRDefault="0033290F" w:rsidP="00B66FDE">
            <w:pPr>
              <w:spacing w:line="276" w:lineRule="auto"/>
              <w:rPr>
                <w:bCs/>
                <w:sz w:val="20"/>
                <w:szCs w:val="20"/>
              </w:rPr>
            </w:pPr>
            <w:r w:rsidRPr="0033290F">
              <w:rPr>
                <w:rFonts w:asciiTheme="majorHAnsi" w:hAnsiTheme="majorHAnsi"/>
                <w:bCs/>
                <w:sz w:val="20"/>
                <w:szCs w:val="20"/>
              </w:rPr>
              <w:t>Není relevantní</w:t>
            </w:r>
          </w:p>
        </w:tc>
        <w:tc>
          <w:tcPr>
            <w:tcW w:w="1134" w:type="dxa"/>
            <w:vAlign w:val="center"/>
            <w:hideMark/>
          </w:tcPr>
          <w:p w:rsidR="00AC0B13" w:rsidRPr="003A2CB2" w:rsidRDefault="0033290F" w:rsidP="00B66FDE">
            <w:pPr>
              <w:spacing w:line="276" w:lineRule="auto"/>
              <w:rPr>
                <w:bCs/>
                <w:sz w:val="20"/>
                <w:szCs w:val="20"/>
              </w:rPr>
            </w:pPr>
            <w:r w:rsidRPr="0033290F">
              <w:rPr>
                <w:bCs/>
                <w:sz w:val="20"/>
                <w:szCs w:val="20"/>
              </w:rPr>
              <w:t>2 328</w:t>
            </w:r>
          </w:p>
        </w:tc>
        <w:tc>
          <w:tcPr>
            <w:tcW w:w="709" w:type="dxa"/>
            <w:vAlign w:val="center"/>
            <w:hideMark/>
          </w:tcPr>
          <w:p w:rsidR="00AC0B13" w:rsidRPr="003A2CB2" w:rsidRDefault="00AC0B13" w:rsidP="00B66FDE">
            <w:pPr>
              <w:rPr>
                <w:rFonts w:eastAsia="Times New Roman" w:cs="Arial"/>
                <w:bCs/>
                <w:sz w:val="20"/>
                <w:szCs w:val="20"/>
              </w:rPr>
            </w:pPr>
            <w:r w:rsidRPr="003A2CB2">
              <w:rPr>
                <w:rFonts w:eastAsia="Times New Roman" w:cs="Arial"/>
                <w:bCs/>
                <w:sz w:val="20"/>
                <w:szCs w:val="20"/>
              </w:rPr>
              <w:t>2014</w:t>
            </w:r>
          </w:p>
        </w:tc>
        <w:tc>
          <w:tcPr>
            <w:tcW w:w="992" w:type="dxa"/>
            <w:vAlign w:val="center"/>
            <w:hideMark/>
          </w:tcPr>
          <w:p w:rsidR="00AC0B13" w:rsidRPr="003A2CB2" w:rsidRDefault="00AC0B13" w:rsidP="00B66FDE">
            <w:pPr>
              <w:rPr>
                <w:rFonts w:eastAsia="Times New Roman" w:cs="Arial"/>
                <w:bCs/>
                <w:sz w:val="20"/>
                <w:szCs w:val="20"/>
              </w:rPr>
            </w:pPr>
            <w:r w:rsidRPr="003A2CB2">
              <w:rPr>
                <w:rFonts w:eastAsia="Times New Roman" w:cs="Arial"/>
                <w:bCs/>
                <w:sz w:val="20"/>
                <w:szCs w:val="20"/>
              </w:rPr>
              <w:t>10 000</w:t>
            </w:r>
          </w:p>
        </w:tc>
        <w:tc>
          <w:tcPr>
            <w:tcW w:w="1134" w:type="dxa"/>
            <w:vAlign w:val="center"/>
            <w:hideMark/>
          </w:tcPr>
          <w:p w:rsidR="00AC0B13" w:rsidRPr="003A2CB2" w:rsidRDefault="0033290F" w:rsidP="00B66FDE">
            <w:pPr>
              <w:spacing w:line="276" w:lineRule="auto"/>
              <w:rPr>
                <w:rFonts w:eastAsia="Times New Roman" w:cs="Arial"/>
                <w:bCs/>
                <w:sz w:val="20"/>
                <w:szCs w:val="20"/>
              </w:rPr>
            </w:pPr>
            <w:r w:rsidRPr="0033290F">
              <w:rPr>
                <w:rFonts w:eastAsia="Times New Roman" w:cs="Arial"/>
                <w:bCs/>
                <w:sz w:val="20"/>
                <w:szCs w:val="20"/>
              </w:rPr>
              <w:t>žadatel/příjemce</w:t>
            </w:r>
          </w:p>
        </w:tc>
        <w:tc>
          <w:tcPr>
            <w:tcW w:w="1134" w:type="dxa"/>
            <w:vAlign w:val="center"/>
            <w:hideMark/>
          </w:tcPr>
          <w:p w:rsidR="00AC0B13" w:rsidRPr="003A2CB2" w:rsidRDefault="0033290F" w:rsidP="00B66FDE">
            <w:pPr>
              <w:spacing w:line="276" w:lineRule="auto"/>
              <w:rPr>
                <w:rFonts w:eastAsia="Times New Roman" w:cs="Arial"/>
                <w:bCs/>
                <w:sz w:val="20"/>
                <w:szCs w:val="20"/>
              </w:rPr>
            </w:pPr>
            <w:r w:rsidRPr="0033290F">
              <w:rPr>
                <w:bCs/>
                <w:sz w:val="20"/>
                <w:szCs w:val="20"/>
              </w:rPr>
              <w:t>Průběžně</w:t>
            </w:r>
          </w:p>
        </w:tc>
      </w:tr>
      <w:tr w:rsidR="00AC0B13" w:rsidRPr="00FF071F" w:rsidTr="004B6C19">
        <w:tc>
          <w:tcPr>
            <w:tcW w:w="709" w:type="dxa"/>
          </w:tcPr>
          <w:p w:rsidR="00AC0B13" w:rsidRPr="003A2CB2" w:rsidRDefault="00AC6A7F" w:rsidP="00B66FDE">
            <w:pPr>
              <w:rPr>
                <w:sz w:val="20"/>
                <w:szCs w:val="20"/>
              </w:rPr>
            </w:pPr>
            <w:r>
              <w:rPr>
                <w:sz w:val="20"/>
                <w:szCs w:val="20"/>
              </w:rPr>
              <w:t>442</w:t>
            </w:r>
            <w:r w:rsidRPr="00AC6A7F">
              <w:rPr>
                <w:sz w:val="20"/>
                <w:szCs w:val="20"/>
              </w:rPr>
              <w:t>11</w:t>
            </w:r>
          </w:p>
        </w:tc>
        <w:tc>
          <w:tcPr>
            <w:tcW w:w="1418" w:type="dxa"/>
            <w:vAlign w:val="center"/>
          </w:tcPr>
          <w:p w:rsidR="00AC0B13" w:rsidRPr="003A2CB2" w:rsidRDefault="0033290F" w:rsidP="00B66FDE">
            <w:pPr>
              <w:spacing w:line="276" w:lineRule="auto"/>
              <w:rPr>
                <w:bCs/>
                <w:sz w:val="20"/>
                <w:szCs w:val="20"/>
              </w:rPr>
            </w:pPr>
            <w:r w:rsidRPr="0033290F">
              <w:rPr>
                <w:sz w:val="20"/>
                <w:szCs w:val="20"/>
              </w:rPr>
              <w:t>Snížení plochy území s identifikovanými opuštěnými úložnými místy těžebních odpadů („úložiště“) v rámci OPŽP 2014+</w:t>
            </w:r>
          </w:p>
        </w:tc>
        <w:tc>
          <w:tcPr>
            <w:tcW w:w="992" w:type="dxa"/>
            <w:vAlign w:val="center"/>
          </w:tcPr>
          <w:p w:rsidR="00AC0B13" w:rsidRPr="003A2CB2" w:rsidRDefault="0033290F" w:rsidP="00B66FDE">
            <w:pPr>
              <w:spacing w:line="276" w:lineRule="auto"/>
              <w:rPr>
                <w:bCs/>
                <w:sz w:val="20"/>
                <w:szCs w:val="20"/>
              </w:rPr>
            </w:pPr>
            <w:r w:rsidRPr="0033290F">
              <w:rPr>
                <w:sz w:val="20"/>
                <w:szCs w:val="20"/>
              </w:rPr>
              <w:t>m</w:t>
            </w:r>
            <w:r w:rsidRPr="0033290F">
              <w:rPr>
                <w:sz w:val="20"/>
                <w:szCs w:val="20"/>
                <w:vertAlign w:val="superscript"/>
              </w:rPr>
              <w:t>2</w:t>
            </w:r>
          </w:p>
        </w:tc>
        <w:tc>
          <w:tcPr>
            <w:tcW w:w="850" w:type="dxa"/>
          </w:tcPr>
          <w:p w:rsidR="00AC0B13" w:rsidRPr="003A2CB2" w:rsidRDefault="0033290F" w:rsidP="00B66FDE">
            <w:pPr>
              <w:rPr>
                <w:rFonts w:eastAsiaTheme="minorHAnsi" w:cs="Courier"/>
                <w:sz w:val="20"/>
                <w:szCs w:val="20"/>
                <w:lang w:eastAsia="en-US"/>
              </w:rPr>
            </w:pPr>
            <w:r w:rsidRPr="0033290F">
              <w:rPr>
                <w:rFonts w:asciiTheme="majorHAnsi" w:hAnsiTheme="majorHAnsi"/>
                <w:bCs/>
                <w:sz w:val="20"/>
                <w:szCs w:val="20"/>
              </w:rPr>
              <w:t>Není relevantní</w:t>
            </w:r>
          </w:p>
        </w:tc>
        <w:tc>
          <w:tcPr>
            <w:tcW w:w="1134" w:type="dxa"/>
            <w:vAlign w:val="center"/>
          </w:tcPr>
          <w:p w:rsidR="00AC0B13" w:rsidRPr="003A2CB2" w:rsidRDefault="00AC0B13" w:rsidP="00B66FDE">
            <w:pPr>
              <w:rPr>
                <w:rFonts w:eastAsiaTheme="minorHAnsi" w:cs="Courier"/>
                <w:sz w:val="20"/>
                <w:szCs w:val="20"/>
                <w:lang w:eastAsia="en-US"/>
              </w:rPr>
            </w:pPr>
            <w:r w:rsidRPr="003A2CB2">
              <w:rPr>
                <w:rFonts w:eastAsiaTheme="minorHAnsi" w:cs="Courier"/>
                <w:sz w:val="20"/>
                <w:szCs w:val="20"/>
                <w:lang w:eastAsia="en-US"/>
              </w:rPr>
              <w:t>25</w:t>
            </w:r>
            <w:r w:rsidR="00562CA9" w:rsidRPr="003A2CB2">
              <w:rPr>
                <w:rFonts w:eastAsiaTheme="minorHAnsi" w:cs="Courier"/>
                <w:sz w:val="20"/>
                <w:szCs w:val="20"/>
                <w:lang w:eastAsia="en-US"/>
              </w:rPr>
              <w:t xml:space="preserve"> </w:t>
            </w:r>
            <w:r w:rsidR="00E432B0" w:rsidRPr="003A2CB2">
              <w:rPr>
                <w:rFonts w:eastAsiaTheme="minorHAnsi" w:cs="Courier"/>
                <w:sz w:val="20"/>
                <w:szCs w:val="20"/>
                <w:lang w:eastAsia="en-US"/>
              </w:rPr>
              <w:t>000</w:t>
            </w:r>
          </w:p>
          <w:p w:rsidR="00AC0B13" w:rsidRPr="003A2CB2" w:rsidRDefault="00AC0B13" w:rsidP="00B66FDE">
            <w:pPr>
              <w:spacing w:line="276" w:lineRule="auto"/>
              <w:rPr>
                <w:bCs/>
                <w:sz w:val="20"/>
                <w:szCs w:val="20"/>
              </w:rPr>
            </w:pPr>
          </w:p>
        </w:tc>
        <w:tc>
          <w:tcPr>
            <w:tcW w:w="709" w:type="dxa"/>
            <w:vAlign w:val="center"/>
          </w:tcPr>
          <w:p w:rsidR="00AC0B13" w:rsidRPr="003A2CB2" w:rsidRDefault="00AC0B13" w:rsidP="00B66FDE">
            <w:pPr>
              <w:rPr>
                <w:rFonts w:eastAsia="Times New Roman" w:cs="Arial"/>
                <w:bCs/>
                <w:sz w:val="20"/>
                <w:szCs w:val="20"/>
              </w:rPr>
            </w:pPr>
            <w:r w:rsidRPr="003A2CB2">
              <w:rPr>
                <w:sz w:val="20"/>
                <w:szCs w:val="20"/>
              </w:rPr>
              <w:t>2013</w:t>
            </w:r>
          </w:p>
        </w:tc>
        <w:tc>
          <w:tcPr>
            <w:tcW w:w="992" w:type="dxa"/>
            <w:vAlign w:val="center"/>
          </w:tcPr>
          <w:p w:rsidR="00AC0B13" w:rsidRPr="003A2CB2" w:rsidRDefault="00AC0B13" w:rsidP="00B66FDE">
            <w:pPr>
              <w:rPr>
                <w:rFonts w:eastAsiaTheme="minorHAnsi" w:cs="Courier"/>
                <w:sz w:val="20"/>
                <w:szCs w:val="20"/>
                <w:lang w:eastAsia="en-US"/>
              </w:rPr>
            </w:pPr>
            <w:r w:rsidRPr="003A2CB2">
              <w:rPr>
                <w:rFonts w:eastAsiaTheme="minorHAnsi" w:cs="Courier"/>
                <w:sz w:val="20"/>
                <w:szCs w:val="20"/>
                <w:lang w:eastAsia="en-US"/>
              </w:rPr>
              <w:t>0</w:t>
            </w:r>
          </w:p>
          <w:p w:rsidR="00AC0B13" w:rsidRPr="003A2CB2" w:rsidRDefault="00AC0B13" w:rsidP="00B66FDE">
            <w:pPr>
              <w:spacing w:line="276" w:lineRule="auto"/>
              <w:rPr>
                <w:rFonts w:eastAsia="Times New Roman" w:cs="Arial"/>
                <w:bCs/>
                <w:sz w:val="20"/>
                <w:szCs w:val="20"/>
              </w:rPr>
            </w:pPr>
          </w:p>
        </w:tc>
        <w:tc>
          <w:tcPr>
            <w:tcW w:w="1134" w:type="dxa"/>
            <w:vAlign w:val="center"/>
          </w:tcPr>
          <w:p w:rsidR="00AC0B13" w:rsidRPr="003A2CB2" w:rsidDel="00612C80" w:rsidRDefault="0033290F" w:rsidP="00B66FDE">
            <w:pPr>
              <w:spacing w:line="276" w:lineRule="auto"/>
              <w:rPr>
                <w:rFonts w:eastAsia="Times New Roman" w:cs="Arial"/>
                <w:bCs/>
                <w:sz w:val="20"/>
                <w:szCs w:val="20"/>
              </w:rPr>
            </w:pPr>
            <w:r w:rsidRPr="0033290F">
              <w:rPr>
                <w:sz w:val="20"/>
                <w:szCs w:val="20"/>
              </w:rPr>
              <w:t>Registry České geologické služby  -Inventarizace opuštěných úložných míst ČR</w:t>
            </w:r>
          </w:p>
        </w:tc>
        <w:tc>
          <w:tcPr>
            <w:tcW w:w="1134" w:type="dxa"/>
            <w:vAlign w:val="center"/>
          </w:tcPr>
          <w:p w:rsidR="00AC0B13" w:rsidRPr="003A2CB2" w:rsidRDefault="0033290F" w:rsidP="00B66FDE">
            <w:pPr>
              <w:spacing w:line="276" w:lineRule="auto"/>
              <w:rPr>
                <w:bCs/>
                <w:sz w:val="20"/>
                <w:szCs w:val="20"/>
              </w:rPr>
            </w:pPr>
            <w:r w:rsidRPr="0033290F">
              <w:rPr>
                <w:sz w:val="20"/>
                <w:szCs w:val="20"/>
              </w:rPr>
              <w:t>ročně</w:t>
            </w:r>
          </w:p>
        </w:tc>
      </w:tr>
    </w:tbl>
    <w:p w:rsidR="001B0121" w:rsidRPr="004314F4" w:rsidRDefault="001B0121" w:rsidP="00B66FDE"/>
    <w:p w:rsidR="001B0121" w:rsidRPr="004314F4" w:rsidRDefault="00AC0B13" w:rsidP="00654A1C">
      <w:pPr>
        <w:pStyle w:val="Nadpis4"/>
      </w:pPr>
      <w:bookmarkStart w:id="2577" w:name="_Toc392151022"/>
      <w:r>
        <w:lastRenderedPageBreak/>
        <w:t>Opatření, jež má být podpořeno v rámci investiční priority</w:t>
      </w:r>
      <w:bookmarkEnd w:id="2577"/>
    </w:p>
    <w:p w:rsidR="001B0121" w:rsidRDefault="001B0121" w:rsidP="00165854">
      <w:pPr>
        <w:pStyle w:val="Nadpis5"/>
      </w:pPr>
      <w:bookmarkStart w:id="2578" w:name="_Toc392151023"/>
      <w:r w:rsidRPr="004314F4">
        <w:t xml:space="preserve">Popis typů </w:t>
      </w:r>
      <w:r w:rsidR="00AC0B13">
        <w:t xml:space="preserve">a </w:t>
      </w:r>
      <w:r w:rsidRPr="004314F4">
        <w:t xml:space="preserve">příkladů </w:t>
      </w:r>
      <w:r w:rsidR="00AC0B13">
        <w:t>opatření, která mají výt podporována, a jejich očekávaný přínos k plnění specifických cílů, případně včetně určení hlavních cílových skupin, konkrétních cílových území a druhů příjemců</w:t>
      </w:r>
      <w:bookmarkEnd w:id="2578"/>
    </w:p>
    <w:p w:rsidR="000E4C2B" w:rsidRPr="004314F4" w:rsidRDefault="000E4C2B" w:rsidP="00165854">
      <w:pPr>
        <w:pStyle w:val="Nadpis6"/>
      </w:pPr>
      <w:r w:rsidRPr="004314F4">
        <w:t xml:space="preserve">Specifický cíl </w:t>
      </w:r>
      <w:r w:rsidR="00834875">
        <w:t>4</w:t>
      </w:r>
      <w:r w:rsidRPr="004314F4">
        <w:t>: Odstranit a inventarizovat ekologické zátěže</w:t>
      </w:r>
    </w:p>
    <w:p w:rsidR="000E4C2B" w:rsidRPr="004314F4" w:rsidRDefault="000E4C2B" w:rsidP="00B353CA">
      <w:pPr>
        <w:spacing w:after="0" w:afterAutospacing="0"/>
      </w:pPr>
      <w:r w:rsidRPr="004314F4">
        <w:t>Podporované aktivity v rámci specifického cíle 3.</w:t>
      </w:r>
      <w:r w:rsidR="00834875">
        <w:t>4</w:t>
      </w:r>
      <w:r w:rsidR="00834875" w:rsidRPr="004314F4">
        <w:t xml:space="preserve"> </w:t>
      </w:r>
      <w:r w:rsidRPr="004314F4">
        <w:t>- budou:</w:t>
      </w:r>
    </w:p>
    <w:p w:rsidR="006F7D80" w:rsidRDefault="00B353CA" w:rsidP="00495FC1">
      <w:pPr>
        <w:pStyle w:val="Odstavecseseznamem"/>
        <w:numPr>
          <w:ilvl w:val="0"/>
          <w:numId w:val="23"/>
        </w:numPr>
        <w:spacing w:after="0" w:afterAutospacing="0"/>
      </w:pPr>
      <w:r>
        <w:t>i</w:t>
      </w:r>
      <w:r w:rsidR="000E4C2B" w:rsidRPr="004314F4">
        <w:t>nventarizace kontaminovaných a potenciálně kontaminovaných míst, kategorizace priorit pro výběr nejzávažněji kontaminovaných míst k</w:t>
      </w:r>
      <w:r>
        <w:t> </w:t>
      </w:r>
      <w:r w:rsidR="000E4C2B" w:rsidRPr="004314F4">
        <w:t>sanaci</w:t>
      </w:r>
      <w:r>
        <w:t>,</w:t>
      </w:r>
      <w:r w:rsidR="000E4C2B" w:rsidRPr="004314F4">
        <w:t xml:space="preserve"> </w:t>
      </w:r>
    </w:p>
    <w:p w:rsidR="006F7D80" w:rsidRDefault="00B353CA" w:rsidP="00495FC1">
      <w:pPr>
        <w:pStyle w:val="Odstavecseseznamem"/>
        <w:numPr>
          <w:ilvl w:val="0"/>
          <w:numId w:val="23"/>
        </w:numPr>
      </w:pPr>
      <w:r>
        <w:t>r</w:t>
      </w:r>
      <w:r w:rsidR="000E4C2B" w:rsidRPr="004314F4">
        <w:t xml:space="preserve">ealizace průzkumných prací (včetně </w:t>
      </w:r>
      <w:proofErr w:type="spellStart"/>
      <w:r w:rsidR="000E4C2B" w:rsidRPr="004314F4">
        <w:t>doprůzkumů</w:t>
      </w:r>
      <w:proofErr w:type="spellEnd"/>
      <w:r w:rsidR="000E4C2B" w:rsidRPr="004314F4">
        <w:t>), analýz rizik</w:t>
      </w:r>
      <w:r>
        <w:t>,</w:t>
      </w:r>
    </w:p>
    <w:p w:rsidR="006F7D80" w:rsidRDefault="00B353CA" w:rsidP="00495FC1">
      <w:pPr>
        <w:pStyle w:val="Odstavecseseznamem"/>
        <w:numPr>
          <w:ilvl w:val="0"/>
          <w:numId w:val="23"/>
        </w:numPr>
      </w:pPr>
      <w:r>
        <w:t>s</w:t>
      </w:r>
      <w:r w:rsidR="000E4C2B" w:rsidRPr="004314F4">
        <w:t>anace vážně kontaminovaných lokalit</w:t>
      </w:r>
      <w:r>
        <w:t>,</w:t>
      </w:r>
      <w:r w:rsidR="000E4C2B" w:rsidRPr="004314F4">
        <w:t xml:space="preserve">  </w:t>
      </w:r>
    </w:p>
    <w:p w:rsidR="001B07DF" w:rsidRDefault="00B353CA" w:rsidP="00495FC1">
      <w:pPr>
        <w:pStyle w:val="Odstavecseseznamem"/>
        <w:numPr>
          <w:ilvl w:val="0"/>
          <w:numId w:val="23"/>
        </w:numPr>
      </w:pPr>
      <w:r>
        <w:t>o</w:t>
      </w:r>
      <w:r w:rsidR="000E4C2B" w:rsidRPr="004314F4">
        <w:t>dstraňování (vymístění) nepovolených tzv. černých "skládek" prioritně v ZCHÚ a</w:t>
      </w:r>
      <w:r>
        <w:t> </w:t>
      </w:r>
      <w:r w:rsidR="000E4C2B" w:rsidRPr="004314F4">
        <w:t>území Natura 2000</w:t>
      </w:r>
      <w:r>
        <w:t>,</w:t>
      </w:r>
    </w:p>
    <w:p w:rsidR="000E4C2B" w:rsidRPr="004314F4" w:rsidRDefault="00B353CA" w:rsidP="00495FC1">
      <w:pPr>
        <w:pStyle w:val="Odstavecseseznamem"/>
        <w:numPr>
          <w:ilvl w:val="0"/>
          <w:numId w:val="23"/>
        </w:numPr>
      </w:pPr>
      <w:r>
        <w:t>s</w:t>
      </w:r>
      <w:r w:rsidR="009D179C" w:rsidRPr="00235791">
        <w:t>anace a stabilizace objektů úložných míst vyplývající ze "Systému Inventarizace uzavřených a opuštěných úložných míst těžebních odpadů na území ČR a Registru rizikových uzavřených a opuštěných úložných míst“</w:t>
      </w:r>
      <w:r w:rsidR="009D179C">
        <w:t>.</w:t>
      </w:r>
    </w:p>
    <w:p w:rsidR="00DD543D" w:rsidRPr="004314F4" w:rsidRDefault="00DD543D" w:rsidP="00B353CA">
      <w:pPr>
        <w:spacing w:after="0" w:afterAutospacing="0"/>
      </w:pPr>
      <w:r w:rsidRPr="004314F4">
        <w:t>Příklady a specifikace podporovaných aktivit:</w:t>
      </w:r>
    </w:p>
    <w:p w:rsidR="006F7D80" w:rsidRDefault="00B353CA" w:rsidP="00495FC1">
      <w:pPr>
        <w:pStyle w:val="Odstavecseseznamem"/>
        <w:numPr>
          <w:ilvl w:val="0"/>
          <w:numId w:val="24"/>
        </w:numPr>
        <w:spacing w:after="0" w:afterAutospacing="0"/>
      </w:pPr>
      <w:r>
        <w:t>v</w:t>
      </w:r>
      <w:r w:rsidR="00DD543D" w:rsidRPr="004314F4">
        <w:t xml:space="preserve"> rámci inventarizace a </w:t>
      </w:r>
      <w:proofErr w:type="spellStart"/>
      <w:r w:rsidR="00DD543D" w:rsidRPr="004314F4">
        <w:t>prioritizace</w:t>
      </w:r>
      <w:proofErr w:type="spellEnd"/>
      <w:r w:rsidR="00DD543D" w:rsidRPr="004314F4">
        <w:t xml:space="preserve"> bude pokračovat plnění databáze kontaminovaných míst a průběžná aktualizace údajů u již evidovaných lokalit</w:t>
      </w:r>
      <w:r>
        <w:t>,</w:t>
      </w:r>
    </w:p>
    <w:p w:rsidR="006F7D80" w:rsidRDefault="00B353CA" w:rsidP="00495FC1">
      <w:pPr>
        <w:pStyle w:val="Odstavecseseznamem"/>
        <w:numPr>
          <w:ilvl w:val="0"/>
          <w:numId w:val="24"/>
        </w:numPr>
      </w:pPr>
      <w:r>
        <w:t>n</w:t>
      </w:r>
      <w:r w:rsidR="00DD543D" w:rsidRPr="004314F4">
        <w:t xml:space="preserve">a základě žádostí, a zpracovaných a schválených projektů budou realizovány detailní průzkumy potenciálně kontaminovaných lokalit, u nichž </w:t>
      </w:r>
      <w:r w:rsidR="00027585">
        <w:t>není znám původce znečištění, a </w:t>
      </w:r>
      <w:r w:rsidR="00DD543D" w:rsidRPr="004314F4">
        <w:t xml:space="preserve">to včetně zpracování analýz rizik a hodnocení </w:t>
      </w:r>
      <w:proofErr w:type="spellStart"/>
      <w:r w:rsidR="00DD543D" w:rsidRPr="004314F4">
        <w:t>prioritizace</w:t>
      </w:r>
      <w:proofErr w:type="spellEnd"/>
      <w:r>
        <w:t>,</w:t>
      </w:r>
    </w:p>
    <w:p w:rsidR="006F7D80" w:rsidRDefault="00B353CA" w:rsidP="00495FC1">
      <w:pPr>
        <w:pStyle w:val="Odstavecseseznamem"/>
        <w:numPr>
          <w:ilvl w:val="0"/>
          <w:numId w:val="24"/>
        </w:numPr>
      </w:pPr>
      <w:r>
        <w:t>n</w:t>
      </w:r>
      <w:r w:rsidR="00DD543D" w:rsidRPr="004314F4">
        <w:t>a základě žádostí, a zpracovaných a schválených projektů budou realizovány sanační zásahy u nejvážněji kontaminovaných lokalit, u nichž míra kontaminace představuje riziko pro lidské zdraví či ekosystémy</w:t>
      </w:r>
      <w:r>
        <w:t>,</w:t>
      </w:r>
    </w:p>
    <w:p w:rsidR="00DD543D" w:rsidRPr="004314F4" w:rsidRDefault="00B353CA" w:rsidP="00495FC1">
      <w:pPr>
        <w:pStyle w:val="Odstavecseseznamem"/>
        <w:numPr>
          <w:ilvl w:val="0"/>
          <w:numId w:val="24"/>
        </w:numPr>
      </w:pPr>
      <w:r>
        <w:t>n</w:t>
      </w:r>
      <w:r w:rsidR="00DD543D" w:rsidRPr="004314F4">
        <w:t>a základě žádostí, a zpracovaných a schválených projektů budou realizovány sanační zásahy (vymístění) nepovolených skládek, u nichž budou prokázána rizika pro lidské zdraví či ekosystémy. Jako prioritní budou hodnoceny lokality v ZCHÚ a Natura 2000. Lokality, u nichž nebudou prokázána rizika pro lidské zdraví a ekosystémy budou moci být řešeny v rámci SC 3.</w:t>
      </w:r>
      <w:r w:rsidR="00834875">
        <w:t>3</w:t>
      </w:r>
      <w:r w:rsidR="00DD543D" w:rsidRPr="004314F4">
        <w:t>.</w:t>
      </w:r>
    </w:p>
    <w:p w:rsidR="006A4F55" w:rsidRPr="004314F4" w:rsidRDefault="000E4C2B" w:rsidP="00B66FDE">
      <w:bookmarkStart w:id="2579" w:name="_Toc384907419"/>
      <w:r w:rsidRPr="004314F4">
        <w:t xml:space="preserve">Hlavní cílové skupiny: </w:t>
      </w:r>
      <w:r w:rsidR="006B3AC2" w:rsidRPr="006B3AC2">
        <w:t>Subjekty zajišťující odstraňovaní ekologických zátěží</w:t>
      </w:r>
      <w:bookmarkEnd w:id="2579"/>
    </w:p>
    <w:p w:rsidR="00C93845" w:rsidRPr="00CA2D14" w:rsidRDefault="000E4C2B" w:rsidP="00C93845">
      <w:bookmarkStart w:id="2580" w:name="_Toc384907420"/>
      <w:r w:rsidRPr="004314F4">
        <w:t xml:space="preserve">Cílová území: území celé </w:t>
      </w:r>
      <w:r w:rsidR="0007549A">
        <w:t xml:space="preserve">České republiky </w:t>
      </w:r>
      <w:bookmarkEnd w:id="2580"/>
      <w:r w:rsidR="00C93845" w:rsidRPr="00CA2D14">
        <w:t>Typy příjemců</w:t>
      </w:r>
      <w:r w:rsidR="00C93845">
        <w:t>:</w:t>
      </w:r>
    </w:p>
    <w:p w:rsidR="00C93845" w:rsidRPr="00CA2D14" w:rsidRDefault="00C93845" w:rsidP="00C93845">
      <w:pPr>
        <w:spacing w:after="0" w:afterAutospacing="0"/>
        <w:rPr>
          <w:rFonts w:eastAsia="Times New Roman" w:cs="Arial"/>
        </w:rPr>
      </w:pPr>
      <w:r w:rsidRPr="00CA2D14">
        <w:rPr>
          <w:rFonts w:eastAsia="Times New Roman" w:cs="Arial"/>
        </w:rPr>
        <w:t xml:space="preserve">Právnické osoby </w:t>
      </w:r>
    </w:p>
    <w:p w:rsidR="00C93845" w:rsidRPr="00CA2D14" w:rsidRDefault="00C93845" w:rsidP="00C93845">
      <w:pPr>
        <w:rPr>
          <w:rFonts w:eastAsia="Times New Roman" w:cs="Arial"/>
        </w:rPr>
      </w:pPr>
      <w:r w:rsidRPr="00CA2D14">
        <w:rPr>
          <w:rFonts w:eastAsia="Times New Roman" w:cs="Arial"/>
        </w:rPr>
        <w:t>Fyzické osoby</w:t>
      </w:r>
    </w:p>
    <w:p w:rsidR="00C93845" w:rsidRPr="00CA2D14" w:rsidRDefault="00C93845" w:rsidP="00C93845">
      <w:pPr>
        <w:rPr>
          <w:rFonts w:eastAsia="Times New Roman" w:cs="Arial"/>
        </w:rPr>
      </w:pPr>
      <w:r w:rsidRPr="00CA2D14">
        <w:rPr>
          <w:rFonts w:eastAsia="Times New Roman" w:cs="Arial"/>
        </w:rPr>
        <w:t>Pozn.: Okruh příjemců bude dále podrobněji definován v navazující dokumentaci.</w:t>
      </w:r>
    </w:p>
    <w:p w:rsidR="00C93845" w:rsidRPr="004314F4" w:rsidRDefault="00C93845" w:rsidP="00B66FDE"/>
    <w:p w:rsidR="00DD543D" w:rsidRDefault="00AC0B13" w:rsidP="00165854">
      <w:pPr>
        <w:pStyle w:val="Nadpis5"/>
      </w:pPr>
      <w:bookmarkStart w:id="2581" w:name="_Toc392151024"/>
      <w:r>
        <w:lastRenderedPageBreak/>
        <w:t xml:space="preserve">Hlavní zásady </w:t>
      </w:r>
      <w:r w:rsidR="00DD543D" w:rsidRPr="001F4E93">
        <w:t>pro výběr operací</w:t>
      </w:r>
      <w:bookmarkEnd w:id="2581"/>
    </w:p>
    <w:p w:rsidR="00280760" w:rsidRPr="00712789" w:rsidRDefault="00280760" w:rsidP="008173D6">
      <w:bookmarkStart w:id="2582" w:name="_Toc389480069"/>
      <w:r>
        <w:rPr>
          <w:b/>
          <w:color w:val="FF0000"/>
        </w:rPr>
        <w:t> </w:t>
      </w:r>
      <w:bookmarkEnd w:id="2582"/>
      <w:r w:rsidRPr="00712789">
        <w:rPr>
          <w:rFonts w:cs="Times New Roman"/>
        </w:rPr>
        <w:t>Výběr projektů bude probíhat v souladu se závazným metodickým pokynem MMR pro řízení výzev, hodnocení a výběr projektů v programovém období 2014-2020. Metodický pokyn vychází mj. ze Strategie pro boj s podvody a korupcí v rámci če</w:t>
      </w:r>
      <w:r w:rsidR="00B353CA">
        <w:rPr>
          <w:rFonts w:cs="Times New Roman"/>
        </w:rPr>
        <w:t>rpání ESI fondů v období 2014–</w:t>
      </w:r>
      <w:r w:rsidRPr="00712789">
        <w:rPr>
          <w:rFonts w:cs="Times New Roman"/>
        </w:rPr>
        <w:t xml:space="preserve">2020. </w:t>
      </w:r>
    </w:p>
    <w:p w:rsidR="00280760" w:rsidRPr="00712789" w:rsidRDefault="00280760" w:rsidP="008173D6">
      <w:r w:rsidRPr="00712789">
        <w:rPr>
          <w:rFonts w:cs="Times New Roman"/>
        </w:rPr>
        <w:t>Projekty budou hodnoceny a vybírány odbornými hodnotiteli podle kritérií pro výběr projektů, která schválí Monitorovací výbor OPŽP.</w:t>
      </w:r>
      <w:r w:rsidR="00AE3271">
        <w:rPr>
          <w:rFonts w:cs="Times New Roman"/>
        </w:rPr>
        <w:t xml:space="preserve"> </w:t>
      </w:r>
      <w:r w:rsidR="0033290F" w:rsidRPr="0033290F">
        <w:t xml:space="preserve">Podporovány budou pouze projekty splňující princip „Znečišťovatel platí“ a to jak u Analýz rizik a průzkumů kontaminovaných lokalit, tak u projektů sanací starých ekologických zátěží. Podporovány budou tedy pouze projekty na lokalitách, kde není znám původce kontaminace nebo původce kontaminace či jeho právní nástupce již neexistuje. V případě projektů sanací starých ekologických zátěží, budou navíc podporovány pouze projekty, kde byla na základě provedené analýzy rizik zjištěna existence závažné kontaminace rizikové pro lidské zdraví či ekosystémy s nejvyššími stupni </w:t>
      </w:r>
      <w:proofErr w:type="spellStart"/>
      <w:r w:rsidR="0033290F" w:rsidRPr="0033290F">
        <w:t>prioritizace</w:t>
      </w:r>
      <w:proofErr w:type="spellEnd"/>
      <w:r w:rsidR="0033290F" w:rsidRPr="0033290F">
        <w:t xml:space="preserve"> (zejména stupně A3 a A2 dle  přílohy </w:t>
      </w:r>
      <w:proofErr w:type="gramStart"/>
      <w:r w:rsidR="0033290F" w:rsidRPr="0033290F">
        <w:t>č.3 Hodnocení</w:t>
      </w:r>
      <w:proofErr w:type="gramEnd"/>
      <w:r w:rsidR="0033290F" w:rsidRPr="0033290F">
        <w:t xml:space="preserve"> priorit - Metodického pokynu MŽP č. 3/2011; jedná se např. o lokality, kde došlo či může dojít ke kontaminaci zdroje pitných vod, </w:t>
      </w:r>
      <w:proofErr w:type="spellStart"/>
      <w:r w:rsidR="0033290F" w:rsidRPr="0033290F">
        <w:t>vytěkávání</w:t>
      </w:r>
      <w:proofErr w:type="spellEnd"/>
      <w:r w:rsidR="0033290F" w:rsidRPr="0033290F">
        <w:t xml:space="preserve"> a vdechování kontaminace z horninového prostředí obyvatelstvem apod.).</w:t>
      </w:r>
    </w:p>
    <w:p w:rsidR="00280760" w:rsidRPr="00712789" w:rsidRDefault="00280760" w:rsidP="008173D6">
      <w:r w:rsidRPr="00712789">
        <w:rPr>
          <w:rFonts w:cs="Times New Roman"/>
        </w:rPr>
        <w:t>Při hodnocení a výběru projektů budou posuzována zejména kritéria ekolog</w:t>
      </w:r>
      <w:r w:rsidR="00D05DA7">
        <w:rPr>
          <w:rFonts w:cs="Times New Roman"/>
        </w:rPr>
        <w:t>ická, technická a ekonomická. Vždy</w:t>
      </w:r>
      <w:r w:rsidRPr="00712789">
        <w:rPr>
          <w:rFonts w:cs="Times New Roman"/>
        </w:rPr>
        <w:t xml:space="preserve"> bude posuzován soulad s příslušnými strateg</w:t>
      </w:r>
      <w:r w:rsidR="00B353CA">
        <w:rPr>
          <w:rFonts w:cs="Times New Roman"/>
        </w:rPr>
        <w:t>iemi na </w:t>
      </w:r>
      <w:r w:rsidR="000D4BCA">
        <w:rPr>
          <w:rFonts w:cs="Times New Roman"/>
        </w:rPr>
        <w:t>evropské, národní a </w:t>
      </w:r>
      <w:r w:rsidRPr="00712789">
        <w:rPr>
          <w:rFonts w:cs="Times New Roman"/>
        </w:rPr>
        <w:t>regionální úrovni.</w:t>
      </w:r>
    </w:p>
    <w:p w:rsidR="00280760" w:rsidRPr="00712789" w:rsidRDefault="00280760" w:rsidP="008173D6">
      <w:r w:rsidRPr="00712789">
        <w:rPr>
          <w:rFonts w:cs="Times New Roman"/>
        </w:rPr>
        <w:t>Při hodnocení a výběru projektů bude posuzována rovněž problematika horizontálních témat (rovné příležitosti a nediskriminace, rovnost žen a mužů a udržitelný rozvoj). Projekt, u kterého bude identifikován negativní dopad na uvedená horizontální témata, nebude moci být podpořen z prostředků OPŽP.</w:t>
      </w:r>
    </w:p>
    <w:p w:rsidR="00280760" w:rsidRPr="00712789" w:rsidRDefault="00280760" w:rsidP="008173D6">
      <w:pPr>
        <w:pStyle w:val="Odstavecseseznamem"/>
        <w:ind w:left="0"/>
      </w:pPr>
      <w:r w:rsidRPr="00712789">
        <w:rPr>
          <w:rFonts w:cs="Times New Roman"/>
        </w:rPr>
        <w:t>Podrobné informace o kritériích pro výběr projektů k podpoře budou uvedeny v návazné řídící dokumentaci.</w:t>
      </w:r>
    </w:p>
    <w:p w:rsidR="00DD543D" w:rsidRDefault="00DD543D" w:rsidP="00165854">
      <w:pPr>
        <w:pStyle w:val="Nadpis5"/>
      </w:pPr>
      <w:bookmarkStart w:id="2583" w:name="_Toc391014864"/>
      <w:bookmarkStart w:id="2584" w:name="_Toc391016015"/>
      <w:bookmarkStart w:id="2585" w:name="_Toc391016966"/>
      <w:bookmarkStart w:id="2586" w:name="_Toc391018079"/>
      <w:bookmarkStart w:id="2587" w:name="_Toc391019191"/>
      <w:bookmarkStart w:id="2588" w:name="_Toc391014865"/>
      <w:bookmarkStart w:id="2589" w:name="_Toc391016016"/>
      <w:bookmarkStart w:id="2590" w:name="_Toc391016967"/>
      <w:bookmarkStart w:id="2591" w:name="_Toc391018080"/>
      <w:bookmarkStart w:id="2592" w:name="_Toc391019192"/>
      <w:bookmarkStart w:id="2593" w:name="_Toc391014866"/>
      <w:bookmarkStart w:id="2594" w:name="_Toc391016017"/>
      <w:bookmarkStart w:id="2595" w:name="_Toc391016968"/>
      <w:bookmarkStart w:id="2596" w:name="_Toc391018081"/>
      <w:bookmarkStart w:id="2597" w:name="_Toc391019193"/>
      <w:bookmarkStart w:id="2598" w:name="_Toc391014867"/>
      <w:bookmarkStart w:id="2599" w:name="_Toc391016018"/>
      <w:bookmarkStart w:id="2600" w:name="_Toc391016969"/>
      <w:bookmarkStart w:id="2601" w:name="_Toc391018082"/>
      <w:bookmarkStart w:id="2602" w:name="_Toc391019194"/>
      <w:bookmarkStart w:id="2603" w:name="_Toc391014868"/>
      <w:bookmarkStart w:id="2604" w:name="_Toc391016019"/>
      <w:bookmarkStart w:id="2605" w:name="_Toc391016970"/>
      <w:bookmarkStart w:id="2606" w:name="_Toc391018083"/>
      <w:bookmarkStart w:id="2607" w:name="_Toc391019195"/>
      <w:bookmarkStart w:id="2608" w:name="_Toc391014869"/>
      <w:bookmarkStart w:id="2609" w:name="_Toc391016020"/>
      <w:bookmarkStart w:id="2610" w:name="_Toc391016971"/>
      <w:bookmarkStart w:id="2611" w:name="_Toc391018084"/>
      <w:bookmarkStart w:id="2612" w:name="_Toc391019196"/>
      <w:bookmarkStart w:id="2613" w:name="_Toc391014870"/>
      <w:bookmarkStart w:id="2614" w:name="_Toc391016021"/>
      <w:bookmarkStart w:id="2615" w:name="_Toc391016972"/>
      <w:bookmarkStart w:id="2616" w:name="_Toc391018085"/>
      <w:bookmarkStart w:id="2617" w:name="_Toc391019197"/>
      <w:bookmarkStart w:id="2618" w:name="_Toc391014871"/>
      <w:bookmarkStart w:id="2619" w:name="_Toc391016022"/>
      <w:bookmarkStart w:id="2620" w:name="_Toc391016973"/>
      <w:bookmarkStart w:id="2621" w:name="_Toc391018086"/>
      <w:bookmarkStart w:id="2622" w:name="_Toc391019198"/>
      <w:bookmarkStart w:id="2623" w:name="_Toc391014872"/>
      <w:bookmarkStart w:id="2624" w:name="_Toc391016023"/>
      <w:bookmarkStart w:id="2625" w:name="_Toc391016974"/>
      <w:bookmarkStart w:id="2626" w:name="_Toc391018087"/>
      <w:bookmarkStart w:id="2627" w:name="_Toc391019199"/>
      <w:bookmarkStart w:id="2628" w:name="_Toc391014873"/>
      <w:bookmarkStart w:id="2629" w:name="_Toc391016024"/>
      <w:bookmarkStart w:id="2630" w:name="_Toc391016975"/>
      <w:bookmarkStart w:id="2631" w:name="_Toc391018088"/>
      <w:bookmarkStart w:id="2632" w:name="_Toc391019200"/>
      <w:bookmarkStart w:id="2633" w:name="_Toc392151025"/>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r w:rsidRPr="004314F4">
        <w:t>Plánované využití finančních nástrojů</w:t>
      </w:r>
      <w:bookmarkEnd w:id="2633"/>
    </w:p>
    <w:p w:rsidR="006926E6" w:rsidRPr="004314F4" w:rsidRDefault="006926E6" w:rsidP="00B66FDE">
      <w:r>
        <w:t xml:space="preserve">V současné chvíli se využití finančních nástrojů v rámci </w:t>
      </w:r>
      <w:r w:rsidR="00EE6E5D">
        <w:t>tohoto specifického cíle</w:t>
      </w:r>
      <w:r>
        <w:t xml:space="preserve"> neuvažuje.</w:t>
      </w:r>
    </w:p>
    <w:p w:rsidR="00DD543D" w:rsidRDefault="00AC0B13" w:rsidP="00165854">
      <w:pPr>
        <w:pStyle w:val="Nadpis5"/>
      </w:pPr>
      <w:bookmarkStart w:id="2634" w:name="_Toc392151026"/>
      <w:r>
        <w:t>Plánované využití</w:t>
      </w:r>
      <w:r w:rsidRPr="004314F4">
        <w:t xml:space="preserve"> </w:t>
      </w:r>
      <w:r w:rsidR="00DD543D" w:rsidRPr="004314F4">
        <w:t>velkých projektů</w:t>
      </w:r>
      <w:bookmarkEnd w:id="2634"/>
    </w:p>
    <w:p w:rsidR="00E967A6" w:rsidRDefault="00E967A6" w:rsidP="005627B6">
      <w:bookmarkStart w:id="2635" w:name="_Toc389480073"/>
      <w:r>
        <w:t>V rámci specifického cíle 3. 4</w:t>
      </w:r>
      <w:r w:rsidRPr="004314F4">
        <w:t xml:space="preserve"> se </w:t>
      </w:r>
      <w:r>
        <w:t>v současné chvíli ne</w:t>
      </w:r>
      <w:r w:rsidRPr="004314F4">
        <w:t>pře</w:t>
      </w:r>
      <w:r>
        <w:t>d</w:t>
      </w:r>
      <w:r w:rsidRPr="004314F4">
        <w:t xml:space="preserve">pokládá </w:t>
      </w:r>
      <w:r>
        <w:t xml:space="preserve">realizace </w:t>
      </w:r>
      <w:r w:rsidRPr="004314F4">
        <w:t xml:space="preserve">velkého projektu. </w:t>
      </w:r>
    </w:p>
    <w:p w:rsidR="004B6C19" w:rsidRDefault="004B6C19" w:rsidP="005627B6"/>
    <w:p w:rsidR="004B6C19" w:rsidRDefault="004B6C19" w:rsidP="005627B6"/>
    <w:p w:rsidR="004B6C19" w:rsidRPr="00E967A6" w:rsidRDefault="004B6C19" w:rsidP="005627B6"/>
    <w:p w:rsidR="001B0121" w:rsidRPr="00806EEC" w:rsidRDefault="00AC0B13" w:rsidP="00165854">
      <w:pPr>
        <w:pStyle w:val="Nadpis5"/>
      </w:pPr>
      <w:bookmarkStart w:id="2636" w:name="_Toc392151027"/>
      <w:bookmarkEnd w:id="2635"/>
      <w:r>
        <w:lastRenderedPageBreak/>
        <w:t>Ukazatele výstupů podle investiční priority</w:t>
      </w:r>
      <w:r w:rsidR="00DA7B69">
        <w:t xml:space="preserve"> </w:t>
      </w:r>
      <w:r>
        <w:t>a případně podle kategorie regionů</w:t>
      </w:r>
      <w:bookmarkEnd w:id="2636"/>
    </w:p>
    <w:p w:rsidR="001B0121" w:rsidRPr="004314F4" w:rsidRDefault="005E472E" w:rsidP="00165854">
      <w:pPr>
        <w:pStyle w:val="Titulek"/>
      </w:pPr>
      <w:r w:rsidRPr="004314F4">
        <w:t>Společné a specifické</w:t>
      </w:r>
      <w:r w:rsidR="00334B43">
        <w:t xml:space="preserve"> programové</w:t>
      </w:r>
      <w:r w:rsidRPr="004314F4">
        <w:t xml:space="preserve"> </w:t>
      </w:r>
      <w:r w:rsidR="00AC0B13">
        <w:t>ukazatele</w:t>
      </w:r>
      <w:r w:rsidRPr="004314F4">
        <w:t xml:space="preserve"> výstup</w:t>
      </w:r>
      <w:r w:rsidR="00AC0B13">
        <w:t>ů</w:t>
      </w:r>
      <w:r w:rsidRPr="004314F4">
        <w:t xml:space="preserve"> SC 3.</w:t>
      </w:r>
      <w:r w:rsidR="00834875">
        <w:t>4</w:t>
      </w:r>
    </w:p>
    <w:tbl>
      <w:tblPr>
        <w:tblStyle w:val="Mkatabulky"/>
        <w:tblW w:w="9072" w:type="dxa"/>
        <w:tblInd w:w="108" w:type="dxa"/>
        <w:tblLayout w:type="fixed"/>
        <w:tblLook w:val="04A0" w:firstRow="1" w:lastRow="0" w:firstColumn="1" w:lastColumn="0" w:noHBand="0" w:noVBand="1"/>
      </w:tblPr>
      <w:tblGrid>
        <w:gridCol w:w="709"/>
        <w:gridCol w:w="1276"/>
        <w:gridCol w:w="1276"/>
        <w:gridCol w:w="850"/>
        <w:gridCol w:w="992"/>
        <w:gridCol w:w="1418"/>
        <w:gridCol w:w="1276"/>
        <w:gridCol w:w="1275"/>
      </w:tblGrid>
      <w:tr w:rsidR="00AC0B13" w:rsidRPr="002F4623" w:rsidTr="00177B95">
        <w:tc>
          <w:tcPr>
            <w:tcW w:w="709" w:type="dxa"/>
            <w:tcBorders>
              <w:bottom w:val="single" w:sz="12" w:space="0" w:color="auto"/>
            </w:tcBorders>
            <w:shd w:val="clear" w:color="auto" w:fill="BFBFBF" w:themeFill="background1" w:themeFillShade="BF"/>
          </w:tcPr>
          <w:p w:rsidR="00AC0B13" w:rsidRPr="003A2CB2" w:rsidRDefault="00AC0B13" w:rsidP="00B66FDE">
            <w:pPr>
              <w:rPr>
                <w:b/>
                <w:sz w:val="20"/>
                <w:szCs w:val="20"/>
              </w:rPr>
            </w:pPr>
            <w:r w:rsidRPr="003A2CB2">
              <w:rPr>
                <w:b/>
                <w:sz w:val="20"/>
                <w:szCs w:val="20"/>
              </w:rPr>
              <w:t xml:space="preserve">ID </w:t>
            </w:r>
          </w:p>
        </w:tc>
        <w:tc>
          <w:tcPr>
            <w:tcW w:w="1276" w:type="dxa"/>
            <w:tcBorders>
              <w:bottom w:val="single" w:sz="12" w:space="0" w:color="auto"/>
            </w:tcBorders>
            <w:shd w:val="clear" w:color="auto" w:fill="BFBFBF" w:themeFill="background1" w:themeFillShade="BF"/>
          </w:tcPr>
          <w:p w:rsidR="00AC0B13" w:rsidRPr="003A2CB2" w:rsidRDefault="00AC0B13" w:rsidP="00B66FDE">
            <w:pPr>
              <w:spacing w:line="276" w:lineRule="auto"/>
              <w:rPr>
                <w:b/>
                <w:sz w:val="20"/>
                <w:szCs w:val="20"/>
              </w:rPr>
            </w:pPr>
            <w:r w:rsidRPr="003A2CB2">
              <w:rPr>
                <w:b/>
                <w:sz w:val="20"/>
                <w:szCs w:val="20"/>
              </w:rPr>
              <w:t>Ukazatel</w:t>
            </w:r>
          </w:p>
        </w:tc>
        <w:tc>
          <w:tcPr>
            <w:tcW w:w="1276" w:type="dxa"/>
            <w:tcBorders>
              <w:bottom w:val="single" w:sz="12" w:space="0" w:color="auto"/>
            </w:tcBorders>
            <w:shd w:val="clear" w:color="auto" w:fill="BFBFBF" w:themeFill="background1" w:themeFillShade="BF"/>
          </w:tcPr>
          <w:p w:rsidR="00AC0B13" w:rsidRPr="003A2CB2" w:rsidRDefault="0033290F" w:rsidP="00B66FDE">
            <w:pPr>
              <w:spacing w:line="276" w:lineRule="auto"/>
              <w:rPr>
                <w:b/>
                <w:sz w:val="20"/>
                <w:szCs w:val="20"/>
              </w:rPr>
            </w:pPr>
            <w:r w:rsidRPr="0033290F">
              <w:rPr>
                <w:b/>
                <w:sz w:val="20"/>
                <w:szCs w:val="20"/>
              </w:rPr>
              <w:t>Měrná jednotka</w:t>
            </w:r>
          </w:p>
        </w:tc>
        <w:tc>
          <w:tcPr>
            <w:tcW w:w="850" w:type="dxa"/>
            <w:tcBorders>
              <w:bottom w:val="single" w:sz="12" w:space="0" w:color="auto"/>
            </w:tcBorders>
            <w:shd w:val="clear" w:color="auto" w:fill="BFBFBF" w:themeFill="background1" w:themeFillShade="BF"/>
          </w:tcPr>
          <w:p w:rsidR="00AC0B13" w:rsidRPr="003A2CB2" w:rsidRDefault="0033290F" w:rsidP="00B66FDE">
            <w:pPr>
              <w:spacing w:line="276" w:lineRule="auto"/>
              <w:rPr>
                <w:b/>
                <w:sz w:val="20"/>
                <w:szCs w:val="20"/>
              </w:rPr>
            </w:pPr>
            <w:r w:rsidRPr="0033290F">
              <w:rPr>
                <w:b/>
                <w:sz w:val="20"/>
                <w:szCs w:val="20"/>
              </w:rPr>
              <w:t>Fond</w:t>
            </w:r>
          </w:p>
        </w:tc>
        <w:tc>
          <w:tcPr>
            <w:tcW w:w="992" w:type="dxa"/>
            <w:tcBorders>
              <w:bottom w:val="single" w:sz="12" w:space="0" w:color="auto"/>
            </w:tcBorders>
            <w:shd w:val="clear" w:color="auto" w:fill="BFBFBF" w:themeFill="background1" w:themeFillShade="BF"/>
          </w:tcPr>
          <w:p w:rsidR="00AC0B13" w:rsidRPr="003A2CB2" w:rsidRDefault="0033290F" w:rsidP="00B66FDE">
            <w:pPr>
              <w:spacing w:line="276" w:lineRule="auto"/>
              <w:rPr>
                <w:b/>
                <w:sz w:val="20"/>
                <w:szCs w:val="20"/>
              </w:rPr>
            </w:pPr>
            <w:r w:rsidRPr="0033290F">
              <w:rPr>
                <w:b/>
                <w:sz w:val="20"/>
                <w:szCs w:val="20"/>
              </w:rPr>
              <w:t>Kategorie regionů</w:t>
            </w:r>
          </w:p>
        </w:tc>
        <w:tc>
          <w:tcPr>
            <w:tcW w:w="1418" w:type="dxa"/>
            <w:tcBorders>
              <w:bottom w:val="single" w:sz="12" w:space="0" w:color="auto"/>
            </w:tcBorders>
            <w:shd w:val="clear" w:color="auto" w:fill="BFBFBF" w:themeFill="background1" w:themeFillShade="BF"/>
          </w:tcPr>
          <w:p w:rsidR="00AC0B13" w:rsidRPr="003A2CB2" w:rsidRDefault="0033290F" w:rsidP="00B66FDE">
            <w:pPr>
              <w:spacing w:line="276" w:lineRule="auto"/>
              <w:rPr>
                <w:b/>
                <w:sz w:val="20"/>
                <w:szCs w:val="20"/>
              </w:rPr>
            </w:pPr>
            <w:r w:rsidRPr="0033290F">
              <w:rPr>
                <w:b/>
                <w:sz w:val="20"/>
                <w:szCs w:val="20"/>
              </w:rPr>
              <w:t>Cílová hodnota (2023)</w:t>
            </w:r>
          </w:p>
        </w:tc>
        <w:tc>
          <w:tcPr>
            <w:tcW w:w="1276" w:type="dxa"/>
            <w:tcBorders>
              <w:bottom w:val="single" w:sz="12" w:space="0" w:color="auto"/>
            </w:tcBorders>
            <w:shd w:val="clear" w:color="auto" w:fill="BFBFBF" w:themeFill="background1" w:themeFillShade="BF"/>
          </w:tcPr>
          <w:p w:rsidR="00AC0B13" w:rsidRPr="003A2CB2" w:rsidRDefault="0033290F" w:rsidP="00B66FDE">
            <w:pPr>
              <w:spacing w:line="276" w:lineRule="auto"/>
              <w:rPr>
                <w:b/>
                <w:sz w:val="20"/>
                <w:szCs w:val="20"/>
              </w:rPr>
            </w:pPr>
            <w:r w:rsidRPr="0033290F">
              <w:rPr>
                <w:b/>
                <w:sz w:val="20"/>
                <w:szCs w:val="20"/>
              </w:rPr>
              <w:t>Zdroj údajů</w:t>
            </w:r>
          </w:p>
        </w:tc>
        <w:tc>
          <w:tcPr>
            <w:tcW w:w="1275" w:type="dxa"/>
            <w:tcBorders>
              <w:bottom w:val="single" w:sz="12" w:space="0" w:color="auto"/>
            </w:tcBorders>
            <w:shd w:val="clear" w:color="auto" w:fill="BFBFBF" w:themeFill="background1" w:themeFillShade="BF"/>
          </w:tcPr>
          <w:p w:rsidR="00AC0B13" w:rsidRPr="003A2CB2" w:rsidRDefault="0033290F" w:rsidP="00B66FDE">
            <w:pPr>
              <w:spacing w:line="276" w:lineRule="auto"/>
              <w:rPr>
                <w:b/>
                <w:sz w:val="20"/>
                <w:szCs w:val="20"/>
              </w:rPr>
            </w:pPr>
            <w:r w:rsidRPr="0033290F">
              <w:rPr>
                <w:b/>
                <w:sz w:val="20"/>
                <w:szCs w:val="20"/>
              </w:rPr>
              <w:t>Četnost podávání zpráv</w:t>
            </w:r>
          </w:p>
        </w:tc>
      </w:tr>
      <w:tr w:rsidR="00AC0B13" w:rsidRPr="002F4623" w:rsidTr="00177B95">
        <w:trPr>
          <w:trHeight w:val="1283"/>
        </w:trPr>
        <w:tc>
          <w:tcPr>
            <w:tcW w:w="709" w:type="dxa"/>
            <w:tcBorders>
              <w:top w:val="single" w:sz="12" w:space="0" w:color="auto"/>
            </w:tcBorders>
          </w:tcPr>
          <w:p w:rsidR="00AC0B13" w:rsidRPr="003A2CB2" w:rsidRDefault="00AC6A7F" w:rsidP="00B66FDE">
            <w:pPr>
              <w:rPr>
                <w:sz w:val="20"/>
                <w:szCs w:val="20"/>
              </w:rPr>
            </w:pPr>
            <w:r>
              <w:rPr>
                <w:sz w:val="20"/>
                <w:szCs w:val="20"/>
              </w:rPr>
              <w:t>411</w:t>
            </w:r>
            <w:r w:rsidRPr="00AC6A7F">
              <w:rPr>
                <w:sz w:val="20"/>
                <w:szCs w:val="20"/>
              </w:rPr>
              <w:t>02</w:t>
            </w:r>
          </w:p>
        </w:tc>
        <w:tc>
          <w:tcPr>
            <w:tcW w:w="1276" w:type="dxa"/>
            <w:tcBorders>
              <w:top w:val="single" w:sz="12" w:space="0" w:color="auto"/>
            </w:tcBorders>
          </w:tcPr>
          <w:p w:rsidR="00AC0B13" w:rsidRPr="003A2CB2" w:rsidRDefault="0033290F" w:rsidP="00B66FDE">
            <w:pPr>
              <w:spacing w:line="276" w:lineRule="auto"/>
              <w:rPr>
                <w:bCs/>
                <w:sz w:val="20"/>
                <w:szCs w:val="20"/>
              </w:rPr>
            </w:pPr>
            <w:r w:rsidRPr="0033290F">
              <w:rPr>
                <w:bCs/>
                <w:sz w:val="20"/>
                <w:szCs w:val="20"/>
              </w:rPr>
              <w:t>Počet inventarizovaných míst s hodnocenou prioritou</w:t>
            </w:r>
          </w:p>
        </w:tc>
        <w:tc>
          <w:tcPr>
            <w:tcW w:w="1276" w:type="dxa"/>
            <w:tcBorders>
              <w:top w:val="single" w:sz="12" w:space="0" w:color="auto"/>
            </w:tcBorders>
            <w:vAlign w:val="center"/>
          </w:tcPr>
          <w:p w:rsidR="00AC0B13" w:rsidRPr="003A2CB2" w:rsidRDefault="0033290F" w:rsidP="00AC6A7F">
            <w:pPr>
              <w:spacing w:line="276" w:lineRule="auto"/>
              <w:rPr>
                <w:bCs/>
                <w:sz w:val="20"/>
                <w:szCs w:val="20"/>
              </w:rPr>
            </w:pPr>
            <w:r w:rsidRPr="0033290F">
              <w:rPr>
                <w:bCs/>
                <w:sz w:val="20"/>
                <w:szCs w:val="20"/>
              </w:rPr>
              <w:t>inventarizovan</w:t>
            </w:r>
            <w:r w:rsidR="00AC6A7F">
              <w:rPr>
                <w:bCs/>
                <w:sz w:val="20"/>
                <w:szCs w:val="20"/>
              </w:rPr>
              <w:t>á</w:t>
            </w:r>
            <w:r w:rsidRPr="0033290F">
              <w:rPr>
                <w:bCs/>
                <w:sz w:val="20"/>
                <w:szCs w:val="20"/>
              </w:rPr>
              <w:t xml:space="preserve"> míst</w:t>
            </w:r>
            <w:r w:rsidR="00AC6A7F">
              <w:rPr>
                <w:bCs/>
                <w:sz w:val="20"/>
                <w:szCs w:val="20"/>
              </w:rPr>
              <w:t>a</w:t>
            </w:r>
          </w:p>
        </w:tc>
        <w:tc>
          <w:tcPr>
            <w:tcW w:w="850" w:type="dxa"/>
            <w:tcBorders>
              <w:top w:val="single" w:sz="12" w:space="0" w:color="auto"/>
            </w:tcBorders>
            <w:vAlign w:val="center"/>
          </w:tcPr>
          <w:p w:rsidR="00AC0B13" w:rsidRPr="003A2CB2" w:rsidRDefault="00AC0B13" w:rsidP="00B66FDE">
            <w:pPr>
              <w:rPr>
                <w:sz w:val="20"/>
                <w:szCs w:val="20"/>
              </w:rPr>
            </w:pPr>
            <w:r w:rsidRPr="003A2CB2">
              <w:rPr>
                <w:sz w:val="20"/>
                <w:szCs w:val="20"/>
              </w:rPr>
              <w:t>FS</w:t>
            </w:r>
          </w:p>
        </w:tc>
        <w:tc>
          <w:tcPr>
            <w:tcW w:w="992" w:type="dxa"/>
            <w:tcBorders>
              <w:top w:val="single" w:sz="12" w:space="0" w:color="auto"/>
            </w:tcBorders>
          </w:tcPr>
          <w:p w:rsidR="00AC0B13" w:rsidRPr="003A2CB2" w:rsidRDefault="0033290F" w:rsidP="00B66FDE">
            <w:pPr>
              <w:rPr>
                <w:sz w:val="20"/>
                <w:szCs w:val="20"/>
              </w:rPr>
            </w:pPr>
            <w:r w:rsidRPr="0033290F">
              <w:rPr>
                <w:rFonts w:asciiTheme="majorHAnsi" w:hAnsiTheme="majorHAnsi"/>
                <w:bCs/>
                <w:sz w:val="20"/>
                <w:szCs w:val="20"/>
              </w:rPr>
              <w:t>Není relevantní</w:t>
            </w:r>
          </w:p>
        </w:tc>
        <w:tc>
          <w:tcPr>
            <w:tcW w:w="1418" w:type="dxa"/>
            <w:tcBorders>
              <w:top w:val="single" w:sz="12" w:space="0" w:color="auto"/>
            </w:tcBorders>
            <w:vAlign w:val="center"/>
          </w:tcPr>
          <w:p w:rsidR="00AC0B13" w:rsidRPr="003A2CB2" w:rsidRDefault="00AC0B13" w:rsidP="00B66FDE">
            <w:pPr>
              <w:rPr>
                <w:sz w:val="20"/>
                <w:szCs w:val="20"/>
              </w:rPr>
            </w:pPr>
            <w:r w:rsidRPr="003A2CB2">
              <w:rPr>
                <w:sz w:val="20"/>
                <w:szCs w:val="20"/>
              </w:rPr>
              <w:t>9 950</w:t>
            </w:r>
          </w:p>
        </w:tc>
        <w:tc>
          <w:tcPr>
            <w:tcW w:w="1276" w:type="dxa"/>
            <w:tcBorders>
              <w:top w:val="single" w:sz="12" w:space="0" w:color="auto"/>
            </w:tcBorders>
            <w:vAlign w:val="center"/>
          </w:tcPr>
          <w:p w:rsidR="00AC0B13" w:rsidRPr="003A2CB2" w:rsidRDefault="0033290F" w:rsidP="00B66FDE">
            <w:pPr>
              <w:spacing w:line="276" w:lineRule="auto"/>
              <w:rPr>
                <w:bCs/>
                <w:sz w:val="20"/>
                <w:szCs w:val="20"/>
              </w:rPr>
            </w:pPr>
            <w:r w:rsidRPr="0033290F">
              <w:rPr>
                <w:bCs/>
                <w:sz w:val="20"/>
                <w:szCs w:val="20"/>
              </w:rPr>
              <w:t>Žadatel/příjemce</w:t>
            </w:r>
          </w:p>
        </w:tc>
        <w:tc>
          <w:tcPr>
            <w:tcW w:w="1275" w:type="dxa"/>
            <w:tcBorders>
              <w:top w:val="single" w:sz="12" w:space="0" w:color="auto"/>
            </w:tcBorders>
            <w:vAlign w:val="center"/>
          </w:tcPr>
          <w:p w:rsidR="00AC0B13" w:rsidRPr="003A2CB2" w:rsidRDefault="0033290F" w:rsidP="00B66FDE">
            <w:pPr>
              <w:spacing w:line="276" w:lineRule="auto"/>
              <w:rPr>
                <w:bCs/>
                <w:sz w:val="20"/>
                <w:szCs w:val="20"/>
              </w:rPr>
            </w:pPr>
            <w:r w:rsidRPr="0033290F">
              <w:rPr>
                <w:bCs/>
                <w:sz w:val="20"/>
                <w:szCs w:val="20"/>
              </w:rPr>
              <w:t>Průběžně</w:t>
            </w:r>
          </w:p>
        </w:tc>
      </w:tr>
      <w:tr w:rsidR="00AC0B13" w:rsidRPr="002F4623" w:rsidTr="00177B95">
        <w:tc>
          <w:tcPr>
            <w:tcW w:w="709" w:type="dxa"/>
          </w:tcPr>
          <w:p w:rsidR="00AC0B13" w:rsidRPr="003A2CB2" w:rsidRDefault="00AC6A7F" w:rsidP="003D2669">
            <w:pPr>
              <w:rPr>
                <w:sz w:val="20"/>
                <w:szCs w:val="20"/>
              </w:rPr>
            </w:pPr>
            <w:r>
              <w:rPr>
                <w:sz w:val="20"/>
                <w:szCs w:val="20"/>
              </w:rPr>
              <w:t>411</w:t>
            </w:r>
            <w:r w:rsidRPr="00AC6A7F">
              <w:rPr>
                <w:sz w:val="20"/>
                <w:szCs w:val="20"/>
              </w:rPr>
              <w:t>01</w:t>
            </w:r>
          </w:p>
        </w:tc>
        <w:tc>
          <w:tcPr>
            <w:tcW w:w="1276" w:type="dxa"/>
          </w:tcPr>
          <w:p w:rsidR="00AC0B13" w:rsidRPr="003A2CB2" w:rsidRDefault="0033290F" w:rsidP="00AC6A7F">
            <w:pPr>
              <w:spacing w:line="276" w:lineRule="auto"/>
              <w:rPr>
                <w:bCs/>
                <w:sz w:val="20"/>
                <w:szCs w:val="20"/>
              </w:rPr>
            </w:pPr>
            <w:r w:rsidRPr="0033290F">
              <w:rPr>
                <w:bCs/>
                <w:sz w:val="20"/>
                <w:szCs w:val="20"/>
              </w:rPr>
              <w:t xml:space="preserve">Počet zpracovaných </w:t>
            </w:r>
            <w:proofErr w:type="spellStart"/>
            <w:r w:rsidRPr="0033290F">
              <w:rPr>
                <w:bCs/>
                <w:sz w:val="20"/>
                <w:szCs w:val="20"/>
              </w:rPr>
              <w:t>analýzrizik</w:t>
            </w:r>
            <w:proofErr w:type="spellEnd"/>
          </w:p>
        </w:tc>
        <w:tc>
          <w:tcPr>
            <w:tcW w:w="1276" w:type="dxa"/>
            <w:vAlign w:val="center"/>
          </w:tcPr>
          <w:p w:rsidR="00AC0B13" w:rsidRPr="003A2CB2" w:rsidRDefault="0033290F" w:rsidP="00B66FDE">
            <w:pPr>
              <w:spacing w:line="276" w:lineRule="auto"/>
              <w:rPr>
                <w:bCs/>
                <w:sz w:val="20"/>
                <w:szCs w:val="20"/>
              </w:rPr>
            </w:pPr>
            <w:r w:rsidRPr="0033290F">
              <w:rPr>
                <w:bCs/>
                <w:sz w:val="20"/>
                <w:szCs w:val="20"/>
              </w:rPr>
              <w:t>analýz</w:t>
            </w:r>
            <w:r w:rsidR="00AC6A7F">
              <w:rPr>
                <w:bCs/>
                <w:sz w:val="20"/>
                <w:szCs w:val="20"/>
              </w:rPr>
              <w:t>y</w:t>
            </w:r>
          </w:p>
        </w:tc>
        <w:tc>
          <w:tcPr>
            <w:tcW w:w="850" w:type="dxa"/>
            <w:vAlign w:val="center"/>
          </w:tcPr>
          <w:p w:rsidR="00AC0B13" w:rsidRPr="003A2CB2" w:rsidRDefault="00AC0B13" w:rsidP="00B66FDE">
            <w:pPr>
              <w:rPr>
                <w:sz w:val="20"/>
                <w:szCs w:val="20"/>
              </w:rPr>
            </w:pPr>
            <w:r w:rsidRPr="003A2CB2">
              <w:rPr>
                <w:sz w:val="20"/>
                <w:szCs w:val="20"/>
              </w:rPr>
              <w:t>FS</w:t>
            </w:r>
          </w:p>
        </w:tc>
        <w:tc>
          <w:tcPr>
            <w:tcW w:w="992" w:type="dxa"/>
          </w:tcPr>
          <w:p w:rsidR="00AC0B13" w:rsidRPr="003A2CB2" w:rsidRDefault="0033290F" w:rsidP="00B66FDE">
            <w:pPr>
              <w:rPr>
                <w:bCs/>
                <w:sz w:val="20"/>
                <w:szCs w:val="20"/>
              </w:rPr>
            </w:pPr>
            <w:r w:rsidRPr="0033290F">
              <w:rPr>
                <w:rFonts w:asciiTheme="majorHAnsi" w:hAnsiTheme="majorHAnsi"/>
                <w:bCs/>
                <w:sz w:val="20"/>
                <w:szCs w:val="20"/>
              </w:rPr>
              <w:t>Není relevantní</w:t>
            </w:r>
          </w:p>
        </w:tc>
        <w:tc>
          <w:tcPr>
            <w:tcW w:w="1418" w:type="dxa"/>
            <w:vAlign w:val="center"/>
          </w:tcPr>
          <w:p w:rsidR="00AC0B13" w:rsidRPr="003A2CB2" w:rsidRDefault="00AC0B13" w:rsidP="00B66FDE">
            <w:pPr>
              <w:spacing w:line="276" w:lineRule="auto"/>
              <w:rPr>
                <w:sz w:val="20"/>
                <w:szCs w:val="20"/>
              </w:rPr>
            </w:pPr>
            <w:r w:rsidRPr="003A2CB2">
              <w:rPr>
                <w:bCs/>
                <w:sz w:val="20"/>
                <w:szCs w:val="20"/>
              </w:rPr>
              <w:t>150</w:t>
            </w:r>
          </w:p>
        </w:tc>
        <w:tc>
          <w:tcPr>
            <w:tcW w:w="1276" w:type="dxa"/>
            <w:vAlign w:val="center"/>
          </w:tcPr>
          <w:p w:rsidR="00AC0B13" w:rsidRPr="003A2CB2" w:rsidRDefault="0033290F" w:rsidP="00B66FDE">
            <w:pPr>
              <w:spacing w:line="276" w:lineRule="auto"/>
              <w:rPr>
                <w:bCs/>
                <w:sz w:val="20"/>
                <w:szCs w:val="20"/>
              </w:rPr>
            </w:pPr>
            <w:r w:rsidRPr="0033290F">
              <w:rPr>
                <w:bCs/>
                <w:sz w:val="20"/>
                <w:szCs w:val="20"/>
              </w:rPr>
              <w:t>Žadatel/příjemce</w:t>
            </w:r>
          </w:p>
        </w:tc>
        <w:tc>
          <w:tcPr>
            <w:tcW w:w="1275" w:type="dxa"/>
            <w:vAlign w:val="center"/>
          </w:tcPr>
          <w:p w:rsidR="00AC0B13" w:rsidRPr="003A2CB2" w:rsidRDefault="0033290F" w:rsidP="00B66FDE">
            <w:pPr>
              <w:spacing w:line="276" w:lineRule="auto"/>
              <w:rPr>
                <w:bCs/>
                <w:sz w:val="20"/>
                <w:szCs w:val="20"/>
              </w:rPr>
            </w:pPr>
            <w:r w:rsidRPr="0033290F">
              <w:rPr>
                <w:bCs/>
                <w:sz w:val="20"/>
                <w:szCs w:val="20"/>
              </w:rPr>
              <w:t>Průběžně</w:t>
            </w:r>
          </w:p>
        </w:tc>
      </w:tr>
      <w:tr w:rsidR="00AC0B13" w:rsidRPr="002F4623" w:rsidTr="00177B95">
        <w:tc>
          <w:tcPr>
            <w:tcW w:w="709" w:type="dxa"/>
          </w:tcPr>
          <w:p w:rsidR="00AC0B13" w:rsidRPr="003A2CB2" w:rsidRDefault="00AC6A7F" w:rsidP="00B66FDE">
            <w:pPr>
              <w:rPr>
                <w:sz w:val="20"/>
                <w:szCs w:val="20"/>
              </w:rPr>
            </w:pPr>
            <w:r>
              <w:rPr>
                <w:sz w:val="20"/>
                <w:szCs w:val="20"/>
              </w:rPr>
              <w:t>441</w:t>
            </w:r>
            <w:r w:rsidRPr="00AC6A7F">
              <w:rPr>
                <w:sz w:val="20"/>
                <w:szCs w:val="20"/>
              </w:rPr>
              <w:t>01</w:t>
            </w:r>
          </w:p>
        </w:tc>
        <w:tc>
          <w:tcPr>
            <w:tcW w:w="1276" w:type="dxa"/>
          </w:tcPr>
          <w:p w:rsidR="00AC0B13" w:rsidRPr="003A2CB2" w:rsidRDefault="0033290F" w:rsidP="00B66FDE">
            <w:pPr>
              <w:spacing w:line="276" w:lineRule="auto"/>
              <w:rPr>
                <w:bCs/>
                <w:sz w:val="20"/>
                <w:szCs w:val="20"/>
              </w:rPr>
            </w:pPr>
            <w:r w:rsidRPr="0033290F">
              <w:rPr>
                <w:bCs/>
                <w:sz w:val="20"/>
                <w:szCs w:val="20"/>
              </w:rPr>
              <w:t>Celková rozloha sanovaných lokalit v ČR vztažená k určitému datu</w:t>
            </w:r>
          </w:p>
        </w:tc>
        <w:tc>
          <w:tcPr>
            <w:tcW w:w="1276" w:type="dxa"/>
            <w:vAlign w:val="center"/>
          </w:tcPr>
          <w:p w:rsidR="00AC0B13" w:rsidRPr="003A2CB2" w:rsidRDefault="0033290F" w:rsidP="00B66FDE">
            <w:pPr>
              <w:spacing w:line="276" w:lineRule="auto"/>
              <w:rPr>
                <w:bCs/>
                <w:sz w:val="20"/>
                <w:szCs w:val="20"/>
              </w:rPr>
            </w:pPr>
            <w:r w:rsidRPr="0033290F">
              <w:rPr>
                <w:bCs/>
                <w:sz w:val="20"/>
                <w:szCs w:val="20"/>
              </w:rPr>
              <w:t>m</w:t>
            </w:r>
            <w:r w:rsidRPr="0033290F">
              <w:rPr>
                <w:bCs/>
                <w:sz w:val="20"/>
                <w:szCs w:val="20"/>
                <w:vertAlign w:val="superscript"/>
              </w:rPr>
              <w:t>2</w:t>
            </w:r>
          </w:p>
        </w:tc>
        <w:tc>
          <w:tcPr>
            <w:tcW w:w="850" w:type="dxa"/>
            <w:vAlign w:val="center"/>
          </w:tcPr>
          <w:p w:rsidR="00AC0B13" w:rsidRPr="003A2CB2" w:rsidRDefault="00AC0B13" w:rsidP="00B66FDE">
            <w:pPr>
              <w:rPr>
                <w:sz w:val="20"/>
                <w:szCs w:val="20"/>
              </w:rPr>
            </w:pPr>
            <w:r w:rsidRPr="003A2CB2">
              <w:rPr>
                <w:sz w:val="20"/>
                <w:szCs w:val="20"/>
              </w:rPr>
              <w:t>FS</w:t>
            </w:r>
          </w:p>
        </w:tc>
        <w:tc>
          <w:tcPr>
            <w:tcW w:w="992" w:type="dxa"/>
          </w:tcPr>
          <w:p w:rsidR="00AC0B13" w:rsidRPr="003A2CB2" w:rsidRDefault="0033290F" w:rsidP="00B66FDE">
            <w:pPr>
              <w:rPr>
                <w:bCs/>
                <w:sz w:val="20"/>
                <w:szCs w:val="20"/>
              </w:rPr>
            </w:pPr>
            <w:r w:rsidRPr="0033290F">
              <w:rPr>
                <w:rFonts w:asciiTheme="majorHAnsi" w:hAnsiTheme="majorHAnsi"/>
                <w:bCs/>
                <w:sz w:val="20"/>
                <w:szCs w:val="20"/>
              </w:rPr>
              <w:t>Není relevantní</w:t>
            </w:r>
          </w:p>
        </w:tc>
        <w:tc>
          <w:tcPr>
            <w:tcW w:w="1418" w:type="dxa"/>
            <w:vAlign w:val="center"/>
          </w:tcPr>
          <w:p w:rsidR="00AC0B13" w:rsidRPr="003A2CB2" w:rsidRDefault="00AC0B13" w:rsidP="00B66FDE">
            <w:pPr>
              <w:spacing w:line="276" w:lineRule="auto"/>
              <w:rPr>
                <w:sz w:val="20"/>
                <w:szCs w:val="20"/>
              </w:rPr>
            </w:pPr>
            <w:r w:rsidRPr="003A2CB2">
              <w:rPr>
                <w:bCs/>
                <w:sz w:val="20"/>
                <w:szCs w:val="20"/>
              </w:rPr>
              <w:t>3</w:t>
            </w:r>
            <w:r w:rsidR="0033290F" w:rsidRPr="0033290F">
              <w:rPr>
                <w:bCs/>
                <w:sz w:val="20"/>
                <w:szCs w:val="20"/>
              </w:rPr>
              <w:t xml:space="preserve"> 000 000</w:t>
            </w:r>
          </w:p>
        </w:tc>
        <w:tc>
          <w:tcPr>
            <w:tcW w:w="1276" w:type="dxa"/>
            <w:vAlign w:val="center"/>
          </w:tcPr>
          <w:p w:rsidR="00AC0B13" w:rsidRPr="003A2CB2" w:rsidRDefault="0033290F" w:rsidP="00B66FDE">
            <w:pPr>
              <w:spacing w:line="276" w:lineRule="auto"/>
              <w:rPr>
                <w:bCs/>
                <w:sz w:val="20"/>
                <w:szCs w:val="20"/>
              </w:rPr>
            </w:pPr>
            <w:r w:rsidRPr="0033290F">
              <w:rPr>
                <w:bCs/>
                <w:sz w:val="20"/>
                <w:szCs w:val="20"/>
              </w:rPr>
              <w:t>Žadatel/příjemce</w:t>
            </w:r>
          </w:p>
        </w:tc>
        <w:tc>
          <w:tcPr>
            <w:tcW w:w="1275" w:type="dxa"/>
            <w:vAlign w:val="center"/>
          </w:tcPr>
          <w:p w:rsidR="00AC0B13" w:rsidRPr="003A2CB2" w:rsidRDefault="0033290F" w:rsidP="00B66FDE">
            <w:pPr>
              <w:spacing w:line="276" w:lineRule="auto"/>
              <w:rPr>
                <w:bCs/>
                <w:sz w:val="20"/>
                <w:szCs w:val="20"/>
              </w:rPr>
            </w:pPr>
            <w:r w:rsidRPr="0033290F">
              <w:rPr>
                <w:bCs/>
                <w:sz w:val="20"/>
                <w:szCs w:val="20"/>
              </w:rPr>
              <w:t>Průběžně</w:t>
            </w:r>
          </w:p>
        </w:tc>
      </w:tr>
      <w:tr w:rsidR="00AC0B13" w:rsidRPr="002F4623" w:rsidTr="00177B95">
        <w:tc>
          <w:tcPr>
            <w:tcW w:w="709" w:type="dxa"/>
          </w:tcPr>
          <w:p w:rsidR="00AC0B13" w:rsidRPr="003A2CB2" w:rsidRDefault="00195455" w:rsidP="00195455">
            <w:pPr>
              <w:rPr>
                <w:sz w:val="20"/>
                <w:szCs w:val="20"/>
              </w:rPr>
            </w:pPr>
            <w:r>
              <w:rPr>
                <w:sz w:val="20"/>
                <w:szCs w:val="20"/>
              </w:rPr>
              <w:t>4</w:t>
            </w:r>
            <w:r w:rsidRPr="00195455">
              <w:rPr>
                <w:sz w:val="20"/>
                <w:szCs w:val="20"/>
              </w:rPr>
              <w:t>4201</w:t>
            </w:r>
          </w:p>
        </w:tc>
        <w:tc>
          <w:tcPr>
            <w:tcW w:w="1276" w:type="dxa"/>
          </w:tcPr>
          <w:p w:rsidR="00AC0B13" w:rsidRPr="003A2CB2" w:rsidRDefault="0033290F" w:rsidP="00B66FDE">
            <w:pPr>
              <w:spacing w:line="276" w:lineRule="auto"/>
              <w:rPr>
                <w:bCs/>
                <w:sz w:val="20"/>
                <w:szCs w:val="20"/>
              </w:rPr>
            </w:pPr>
            <w:r w:rsidRPr="0033290F">
              <w:rPr>
                <w:sz w:val="20"/>
                <w:szCs w:val="20"/>
              </w:rPr>
              <w:t>Plocha nově zabezpečených objektů s identifikovanými opuštěnými úložnými místy těžebních odpadů („úložiště“) v rámci OPŽP 2014+</w:t>
            </w:r>
          </w:p>
        </w:tc>
        <w:tc>
          <w:tcPr>
            <w:tcW w:w="1276" w:type="dxa"/>
          </w:tcPr>
          <w:p w:rsidR="00AC0B13" w:rsidRPr="003A2CB2" w:rsidRDefault="00AC0B13" w:rsidP="006F5437">
            <w:pPr>
              <w:rPr>
                <w:sz w:val="20"/>
                <w:szCs w:val="20"/>
              </w:rPr>
            </w:pPr>
            <w:r w:rsidRPr="003A2CB2">
              <w:rPr>
                <w:sz w:val="20"/>
                <w:szCs w:val="20"/>
              </w:rPr>
              <w:t xml:space="preserve"> </w:t>
            </w:r>
            <w:r w:rsidR="006F5437" w:rsidRPr="003A2CB2">
              <w:rPr>
                <w:sz w:val="20"/>
                <w:szCs w:val="20"/>
              </w:rPr>
              <w:t>m</w:t>
            </w:r>
            <w:r w:rsidR="0033290F" w:rsidRPr="0033290F">
              <w:rPr>
                <w:sz w:val="20"/>
                <w:szCs w:val="20"/>
                <w:vertAlign w:val="superscript"/>
              </w:rPr>
              <w:t>2</w:t>
            </w:r>
          </w:p>
        </w:tc>
        <w:tc>
          <w:tcPr>
            <w:tcW w:w="850" w:type="dxa"/>
          </w:tcPr>
          <w:p w:rsidR="00AC0B13" w:rsidRPr="003A2CB2" w:rsidRDefault="0033290F" w:rsidP="00B66FDE">
            <w:pPr>
              <w:spacing w:line="276" w:lineRule="auto"/>
              <w:rPr>
                <w:sz w:val="20"/>
                <w:szCs w:val="20"/>
              </w:rPr>
            </w:pPr>
            <w:r w:rsidRPr="0033290F">
              <w:rPr>
                <w:sz w:val="20"/>
                <w:szCs w:val="20"/>
              </w:rPr>
              <w:t>FS</w:t>
            </w:r>
          </w:p>
        </w:tc>
        <w:tc>
          <w:tcPr>
            <w:tcW w:w="992" w:type="dxa"/>
          </w:tcPr>
          <w:p w:rsidR="00AC0B13" w:rsidRPr="003A2CB2" w:rsidRDefault="0033290F" w:rsidP="00B66FDE">
            <w:pPr>
              <w:rPr>
                <w:sz w:val="20"/>
                <w:szCs w:val="20"/>
              </w:rPr>
            </w:pPr>
            <w:r w:rsidRPr="0033290F">
              <w:rPr>
                <w:rFonts w:asciiTheme="majorHAnsi" w:hAnsiTheme="majorHAnsi"/>
                <w:bCs/>
                <w:sz w:val="20"/>
                <w:szCs w:val="20"/>
              </w:rPr>
              <w:t>Není relevantní</w:t>
            </w:r>
          </w:p>
        </w:tc>
        <w:tc>
          <w:tcPr>
            <w:tcW w:w="1418" w:type="dxa"/>
          </w:tcPr>
          <w:p w:rsidR="00AC0B13" w:rsidRPr="003A2CB2" w:rsidRDefault="00AC0B13" w:rsidP="00B66FDE">
            <w:pPr>
              <w:spacing w:line="276" w:lineRule="auto"/>
              <w:rPr>
                <w:bCs/>
                <w:sz w:val="20"/>
                <w:szCs w:val="20"/>
              </w:rPr>
            </w:pPr>
            <w:r w:rsidRPr="003A2CB2">
              <w:rPr>
                <w:sz w:val="20"/>
                <w:szCs w:val="20"/>
              </w:rPr>
              <w:t xml:space="preserve"> 25</w:t>
            </w:r>
            <w:r w:rsidR="00B353CA">
              <w:rPr>
                <w:sz w:val="20"/>
                <w:szCs w:val="20"/>
              </w:rPr>
              <w:t xml:space="preserve"> </w:t>
            </w:r>
            <w:r w:rsidR="0033290F" w:rsidRPr="0033290F">
              <w:rPr>
                <w:sz w:val="20"/>
                <w:szCs w:val="20"/>
              </w:rPr>
              <w:t>000</w:t>
            </w:r>
          </w:p>
        </w:tc>
        <w:tc>
          <w:tcPr>
            <w:tcW w:w="1276" w:type="dxa"/>
          </w:tcPr>
          <w:p w:rsidR="00AC0B13" w:rsidRPr="003A2CB2" w:rsidRDefault="0033290F" w:rsidP="00B66FDE">
            <w:pPr>
              <w:spacing w:line="276" w:lineRule="auto"/>
              <w:rPr>
                <w:bCs/>
                <w:sz w:val="20"/>
                <w:szCs w:val="20"/>
              </w:rPr>
            </w:pPr>
            <w:r w:rsidRPr="0033290F">
              <w:rPr>
                <w:sz w:val="20"/>
                <w:szCs w:val="20"/>
              </w:rPr>
              <w:t>Registry České geologické služby  -Inventarizace opuštěných úložných míst ČR</w:t>
            </w:r>
          </w:p>
        </w:tc>
        <w:tc>
          <w:tcPr>
            <w:tcW w:w="1275" w:type="dxa"/>
          </w:tcPr>
          <w:p w:rsidR="00AC0B13" w:rsidRPr="003A2CB2" w:rsidRDefault="0033290F" w:rsidP="00B66FDE">
            <w:pPr>
              <w:spacing w:line="276" w:lineRule="auto"/>
              <w:rPr>
                <w:bCs/>
                <w:sz w:val="20"/>
                <w:szCs w:val="20"/>
              </w:rPr>
            </w:pPr>
            <w:r w:rsidRPr="0033290F">
              <w:rPr>
                <w:sz w:val="20"/>
                <w:szCs w:val="20"/>
              </w:rPr>
              <w:t>ročně</w:t>
            </w:r>
          </w:p>
        </w:tc>
      </w:tr>
    </w:tbl>
    <w:p w:rsidR="001B0121" w:rsidRPr="004314F4" w:rsidRDefault="001B0121" w:rsidP="00B66FDE"/>
    <w:p w:rsidR="001B0121" w:rsidRPr="00597584" w:rsidRDefault="001B0121" w:rsidP="00165854">
      <w:pPr>
        <w:pStyle w:val="Nadpis3"/>
      </w:pPr>
      <w:bookmarkStart w:id="2637" w:name="_Toc392151028"/>
      <w:r w:rsidRPr="004314F4">
        <w:lastRenderedPageBreak/>
        <w:t>INVESTIČNÍ PRIORITA 3 prioritní osy 3</w:t>
      </w:r>
      <w:r w:rsidRPr="00341305">
        <w:t>:</w:t>
      </w:r>
      <w:r w:rsidR="00127B71" w:rsidRPr="00127B71">
        <w:t xml:space="preserve"> </w:t>
      </w:r>
      <w:r w:rsidR="000A224F" w:rsidRPr="00C2763D">
        <w:t>Podpor</w:t>
      </w:r>
      <w:r w:rsidR="00F94A2E">
        <w:t>ování přizpůsobení se změně klimatu, předcházení rizikům a jejich řízení podporou</w:t>
      </w:r>
      <w:r w:rsidR="000A224F" w:rsidRPr="00C2763D">
        <w:t xml:space="preserve"> investic zaměřených na řešení konkrétních rizik, zajištěním odolnosti vůči katastrofám a vývojem systémů </w:t>
      </w:r>
      <w:r w:rsidR="00923F61">
        <w:t>krizového řízení</w:t>
      </w:r>
      <w:r w:rsidR="00187030">
        <w:t xml:space="preserve"> (Dle Nařízení Evro</w:t>
      </w:r>
      <w:r w:rsidR="00923F61">
        <w:t>pského parlamentu a Rady (EU) č.</w:t>
      </w:r>
      <w:r w:rsidR="00187030">
        <w:t xml:space="preserve"> 1301/2013 čl. 5 odst. 5 písm. b))</w:t>
      </w:r>
      <w:bookmarkEnd w:id="2637"/>
      <w:r w:rsidR="000A224F" w:rsidRPr="000A224F">
        <w:t xml:space="preserve"> </w:t>
      </w:r>
    </w:p>
    <w:p w:rsidR="001B0121" w:rsidRPr="00BE7616" w:rsidRDefault="001B0121" w:rsidP="00423B35">
      <w:pPr>
        <w:pStyle w:val="Nadpis4"/>
      </w:pPr>
      <w:bookmarkStart w:id="2638" w:name="_Toc392151029"/>
      <w:r w:rsidRPr="004314F4">
        <w:t>Specifické cíle odpovída</w:t>
      </w:r>
      <w:r w:rsidR="004072FD">
        <w:t>jící dané investiční prioritě a </w:t>
      </w:r>
      <w:r w:rsidR="00AC0B13">
        <w:t>očekávané</w:t>
      </w:r>
      <w:r w:rsidR="00AC0B13" w:rsidRPr="004314F4">
        <w:t xml:space="preserve"> </w:t>
      </w:r>
      <w:r w:rsidRPr="004314F4">
        <w:t>výsledky</w:t>
      </w:r>
      <w:bookmarkEnd w:id="2638"/>
    </w:p>
    <w:p w:rsidR="00B21066" w:rsidRDefault="001B0121" w:rsidP="00165854">
      <w:pPr>
        <w:pStyle w:val="Nadpis6"/>
      </w:pPr>
      <w:r w:rsidRPr="004314F4">
        <w:t xml:space="preserve">Specifický cíl </w:t>
      </w:r>
      <w:r w:rsidR="00834875">
        <w:t>5</w:t>
      </w:r>
      <w:r w:rsidRPr="004314F4">
        <w:t xml:space="preserve">: </w:t>
      </w:r>
      <w:r w:rsidR="00810F35" w:rsidRPr="004314F4">
        <w:t>Snížit environmentální rizika a rozvíjet systémy jejich řízení</w:t>
      </w:r>
    </w:p>
    <w:p w:rsidR="00AA6A57" w:rsidRPr="004314F4" w:rsidRDefault="00AA6A57" w:rsidP="00B66FDE">
      <w:pPr>
        <w:rPr>
          <w:rFonts w:cs="Times New Roman"/>
        </w:rPr>
      </w:pPr>
      <w:r w:rsidRPr="004314F4">
        <w:rPr>
          <w:rFonts w:cs="Times New Roman"/>
        </w:rPr>
        <w:t>Hlavní problémy v omezování a snižování environ</w:t>
      </w:r>
      <w:r w:rsidR="004072FD">
        <w:rPr>
          <w:rFonts w:cs="Times New Roman"/>
        </w:rPr>
        <w:t>mentálních rizik jsou spojeny s </w:t>
      </w:r>
      <w:r w:rsidRPr="004314F4">
        <w:rPr>
          <w:rFonts w:cs="Times New Roman"/>
        </w:rPr>
        <w:t xml:space="preserve">nedostatečným environmentálním povědomím mezi podniky, státní správou a veřejností, komplikovanou legislativou, nedostatečným institucionálním zázemím, chápáním ochrany životního prostředí po složkách a ne jako celku, nedostatkem financí na zavádění nových, environmentálně přínosných technologií, nedostatečná aplikace preventivního přístupu, nedostatečná osvěta v této oblasti. V oblasti </w:t>
      </w:r>
      <w:r w:rsidR="00124DA0">
        <w:rPr>
          <w:rFonts w:cs="Times New Roman"/>
        </w:rPr>
        <w:t xml:space="preserve">nakládání s </w:t>
      </w:r>
      <w:r w:rsidRPr="004314F4">
        <w:rPr>
          <w:rFonts w:cs="Times New Roman"/>
        </w:rPr>
        <w:t>chemický</w:t>
      </w:r>
      <w:r w:rsidR="00124DA0">
        <w:rPr>
          <w:rFonts w:cs="Times New Roman"/>
        </w:rPr>
        <w:t>mi</w:t>
      </w:r>
      <w:r w:rsidRPr="004314F4">
        <w:rPr>
          <w:rFonts w:cs="Times New Roman"/>
        </w:rPr>
        <w:t xml:space="preserve"> látk</w:t>
      </w:r>
      <w:r w:rsidR="00124DA0">
        <w:rPr>
          <w:rFonts w:cs="Times New Roman"/>
        </w:rPr>
        <w:t>ami</w:t>
      </w:r>
      <w:r w:rsidRPr="004314F4">
        <w:rPr>
          <w:rFonts w:cs="Times New Roman"/>
        </w:rPr>
        <w:t xml:space="preserve"> je potřebné efektivně implementovat novou evropskou právní úpravu managementu chemických látek, vybudovat potřebnou infrastrukturu pro </w:t>
      </w:r>
      <w:r w:rsidR="00C97B0C">
        <w:t>hodnocení a řízení</w:t>
      </w:r>
      <w:r w:rsidR="00C97B0C" w:rsidRPr="004314F4">
        <w:t xml:space="preserve"> </w:t>
      </w:r>
      <w:r w:rsidRPr="004314F4">
        <w:rPr>
          <w:rFonts w:cs="Times New Roman"/>
        </w:rPr>
        <w:t>rizik chemických látek a zabezpečit plošnou dostupnost informací o rizicích chemických látek pro zdraví a životní prostředí.</w:t>
      </w:r>
    </w:p>
    <w:p w:rsidR="00FD49D1" w:rsidRPr="001F0174" w:rsidRDefault="00FD49D1" w:rsidP="00B66FDE">
      <w:pPr>
        <w:rPr>
          <w:color w:val="FF0000"/>
        </w:rPr>
      </w:pPr>
      <w:r w:rsidRPr="004314F4">
        <w:rPr>
          <w:rFonts w:cs="Times New Roman"/>
        </w:rPr>
        <w:t>Globálním cílem pro období 2014-2020 je omezování a sniž</w:t>
      </w:r>
      <w:r w:rsidR="009B2F59" w:rsidRPr="004314F4">
        <w:rPr>
          <w:rFonts w:cs="Times New Roman"/>
        </w:rPr>
        <w:t>ování environmentálních rizik.</w:t>
      </w:r>
      <w:r w:rsidR="00D51017" w:rsidRPr="004314F4">
        <w:rPr>
          <w:rFonts w:cs="Times New Roman"/>
        </w:rPr>
        <w:t xml:space="preserve"> </w:t>
      </w:r>
      <w:r w:rsidR="009B2F59" w:rsidRPr="004314F4">
        <w:rPr>
          <w:rFonts w:cs="Times New Roman"/>
        </w:rPr>
        <w:t xml:space="preserve">Naplnění specifického cíle povede k rozvoji, </w:t>
      </w:r>
      <w:r w:rsidRPr="004314F4">
        <w:rPr>
          <w:rFonts w:cs="Times New Roman"/>
        </w:rPr>
        <w:t>inovac</w:t>
      </w:r>
      <w:r w:rsidR="009B2F59" w:rsidRPr="004314F4">
        <w:rPr>
          <w:rFonts w:cs="Times New Roman"/>
        </w:rPr>
        <w:t>i</w:t>
      </w:r>
      <w:r w:rsidRPr="004314F4">
        <w:rPr>
          <w:rFonts w:cs="Times New Roman"/>
        </w:rPr>
        <w:t xml:space="preserve"> a aplikac</w:t>
      </w:r>
      <w:r w:rsidR="009B2F59" w:rsidRPr="004314F4">
        <w:rPr>
          <w:rFonts w:cs="Times New Roman"/>
        </w:rPr>
        <w:t xml:space="preserve">i technologií </w:t>
      </w:r>
      <w:r w:rsidR="00124DA0">
        <w:rPr>
          <w:rFonts w:cs="Times New Roman"/>
        </w:rPr>
        <w:t xml:space="preserve">a postupů </w:t>
      </w:r>
      <w:r w:rsidR="009B2F59" w:rsidRPr="004314F4">
        <w:rPr>
          <w:rFonts w:cs="Times New Roman"/>
        </w:rPr>
        <w:t>přispívající</w:t>
      </w:r>
      <w:r w:rsidR="00124DA0">
        <w:rPr>
          <w:rFonts w:cs="Times New Roman"/>
        </w:rPr>
        <w:t>ch</w:t>
      </w:r>
      <w:r w:rsidR="009B2F59" w:rsidRPr="004314F4">
        <w:rPr>
          <w:rFonts w:cs="Times New Roman"/>
        </w:rPr>
        <w:t xml:space="preserve"> k</w:t>
      </w:r>
      <w:r w:rsidR="00124DA0">
        <w:rPr>
          <w:rFonts w:cs="Times New Roman"/>
        </w:rPr>
        <w:t>e zvýšení bezpečnosti při nakládání s chemickými látkami a tím k</w:t>
      </w:r>
      <w:r w:rsidR="004072FD">
        <w:rPr>
          <w:rFonts w:cs="Times New Roman"/>
        </w:rPr>
        <w:t> </w:t>
      </w:r>
      <w:r w:rsidRPr="004314F4">
        <w:rPr>
          <w:rFonts w:cs="Times New Roman"/>
        </w:rPr>
        <w:t>omezování a</w:t>
      </w:r>
      <w:r w:rsidR="00124DA0">
        <w:rPr>
          <w:rFonts w:cs="Times New Roman"/>
        </w:rPr>
        <w:t> </w:t>
      </w:r>
      <w:r w:rsidRPr="004314F4">
        <w:rPr>
          <w:rFonts w:cs="Times New Roman"/>
        </w:rPr>
        <w:t>sniž</w:t>
      </w:r>
      <w:r w:rsidR="009B2F59" w:rsidRPr="004314F4">
        <w:rPr>
          <w:rFonts w:cs="Times New Roman"/>
        </w:rPr>
        <w:t>ování environmentálních rizik</w:t>
      </w:r>
      <w:r w:rsidR="00124DA0">
        <w:rPr>
          <w:rFonts w:cs="Times New Roman"/>
        </w:rPr>
        <w:t>.</w:t>
      </w:r>
      <w:r w:rsidR="009B2F59" w:rsidRPr="004314F4">
        <w:rPr>
          <w:rFonts w:cs="Times New Roman"/>
        </w:rPr>
        <w:t xml:space="preserve"> </w:t>
      </w:r>
      <w:r w:rsidR="0033290F" w:rsidRPr="0033290F">
        <w:t>Podporované projekty musí plně respektovat princip „znečišťovatel platí“ vycházejícího ze Směrnice Evropského parlamentu a Rady </w:t>
      </w:r>
      <w:hyperlink r:id="rId17" w:tgtFrame="_blank" w:tooltip="2004/35/ES" w:history="1">
        <w:r w:rsidR="0033290F" w:rsidRPr="0033290F">
          <w:t>2004/35/ES</w:t>
        </w:r>
      </w:hyperlink>
      <w:r w:rsidR="0033290F" w:rsidRPr="0033290F">
        <w:t xml:space="preserve"> o odpovědnosti za </w:t>
      </w:r>
      <w:r w:rsidR="000E7758">
        <w:t> </w:t>
      </w:r>
      <w:r w:rsidR="0033290F" w:rsidRPr="0033290F">
        <w:t>životní prostředí v souvislosti s prevencí a nápravou škod na životním prostředí.</w:t>
      </w:r>
    </w:p>
    <w:p w:rsidR="00FD49D1" w:rsidRPr="004314F4" w:rsidRDefault="00184F47" w:rsidP="00B353CA">
      <w:pPr>
        <w:spacing w:after="0" w:afterAutospacing="0"/>
        <w:rPr>
          <w:rFonts w:cs="Times New Roman"/>
        </w:rPr>
      </w:pPr>
      <w:r>
        <w:rPr>
          <w:rFonts w:cs="Times New Roman"/>
        </w:rPr>
        <w:t xml:space="preserve"> </w:t>
      </w:r>
      <w:r w:rsidR="00FD49D1" w:rsidRPr="004314F4">
        <w:rPr>
          <w:rFonts w:cs="Times New Roman"/>
        </w:rPr>
        <w:t xml:space="preserve">Výsledkem podpory v oblasti snižování environmentálních rizik </w:t>
      </w:r>
      <w:r w:rsidR="00124DA0">
        <w:rPr>
          <w:rFonts w:cs="Times New Roman"/>
        </w:rPr>
        <w:t>bude</w:t>
      </w:r>
      <w:r w:rsidR="00FD49D1" w:rsidRPr="004314F4">
        <w:rPr>
          <w:rFonts w:cs="Times New Roman"/>
        </w:rPr>
        <w:t xml:space="preserve">: </w:t>
      </w:r>
    </w:p>
    <w:p w:rsidR="006F7D80" w:rsidRPr="00423B35" w:rsidRDefault="00FD49D1" w:rsidP="00495FC1">
      <w:pPr>
        <w:pStyle w:val="Odstavecseseznamem"/>
        <w:numPr>
          <w:ilvl w:val="0"/>
          <w:numId w:val="25"/>
        </w:numPr>
        <w:spacing w:after="0" w:afterAutospacing="0"/>
        <w:rPr>
          <w:rFonts w:cs="Times New Roman"/>
        </w:rPr>
      </w:pPr>
      <w:r w:rsidRPr="00423B35">
        <w:rPr>
          <w:rFonts w:cs="Times New Roman"/>
        </w:rPr>
        <w:t xml:space="preserve">rozvoj inovačních a informačních technologií, </w:t>
      </w:r>
    </w:p>
    <w:p w:rsidR="006F7D80" w:rsidRPr="00423B35" w:rsidRDefault="00FD49D1" w:rsidP="00495FC1">
      <w:pPr>
        <w:pStyle w:val="Odstavecseseznamem"/>
        <w:numPr>
          <w:ilvl w:val="0"/>
          <w:numId w:val="25"/>
        </w:numPr>
        <w:spacing w:after="0" w:afterAutospacing="0"/>
        <w:rPr>
          <w:rFonts w:cs="Times New Roman"/>
        </w:rPr>
      </w:pPr>
      <w:r w:rsidRPr="00423B35">
        <w:rPr>
          <w:rFonts w:cs="Times New Roman"/>
        </w:rPr>
        <w:t xml:space="preserve">realizace technologií </w:t>
      </w:r>
      <w:r w:rsidR="00124DA0">
        <w:rPr>
          <w:rFonts w:cs="Times New Roman"/>
        </w:rPr>
        <w:t xml:space="preserve">s vyšší bezpečností provozu, </w:t>
      </w:r>
    </w:p>
    <w:p w:rsidR="006F7D80" w:rsidRPr="00423B35" w:rsidRDefault="00FD49D1" w:rsidP="00495FC1">
      <w:pPr>
        <w:pStyle w:val="Odstavecseseznamem"/>
        <w:numPr>
          <w:ilvl w:val="0"/>
          <w:numId w:val="25"/>
        </w:numPr>
        <w:rPr>
          <w:rFonts w:cs="Times New Roman"/>
        </w:rPr>
      </w:pPr>
      <w:r w:rsidRPr="00423B35">
        <w:rPr>
          <w:rFonts w:cs="Times New Roman"/>
        </w:rPr>
        <w:t>vytvoření ucelené soustavy</w:t>
      </w:r>
      <w:r w:rsidR="00124DA0">
        <w:rPr>
          <w:rFonts w:cs="Times New Roman"/>
        </w:rPr>
        <w:t xml:space="preserve"> hodnocení</w:t>
      </w:r>
      <w:r w:rsidRPr="00423B35">
        <w:rPr>
          <w:rFonts w:cs="Times New Roman"/>
        </w:rPr>
        <w:t xml:space="preserve"> rizik chemických látek a jejich omezování, </w:t>
      </w:r>
    </w:p>
    <w:p w:rsidR="00E70938" w:rsidRPr="00FF238E" w:rsidRDefault="00FD49D1" w:rsidP="00495FC1">
      <w:pPr>
        <w:pStyle w:val="Odstavecseseznamem"/>
        <w:numPr>
          <w:ilvl w:val="0"/>
          <w:numId w:val="25"/>
        </w:numPr>
        <w:rPr>
          <w:rFonts w:cs="Times New Roman"/>
        </w:rPr>
      </w:pPr>
      <w:r w:rsidRPr="00423B35">
        <w:rPr>
          <w:rFonts w:cs="Times New Roman"/>
        </w:rPr>
        <w:t xml:space="preserve">vytvoření systému prevence závažných havárií. </w:t>
      </w:r>
    </w:p>
    <w:p w:rsidR="00674BC9" w:rsidRDefault="00FD49D1">
      <w:pPr>
        <w:spacing w:after="0" w:afterAutospacing="0"/>
        <w:rPr>
          <w:rFonts w:cs="Times New Roman"/>
        </w:rPr>
      </w:pPr>
      <w:r w:rsidRPr="004314F4">
        <w:rPr>
          <w:rFonts w:cs="Times New Roman"/>
        </w:rPr>
        <w:t xml:space="preserve">V </w:t>
      </w:r>
      <w:r w:rsidRPr="004314F4">
        <w:t>oblasti</w:t>
      </w:r>
      <w:r w:rsidRPr="004314F4">
        <w:rPr>
          <w:rFonts w:cs="Times New Roman"/>
        </w:rPr>
        <w:t xml:space="preserve"> </w:t>
      </w:r>
      <w:r w:rsidRPr="004314F4">
        <w:t>o</w:t>
      </w:r>
      <w:r w:rsidRPr="004314F4">
        <w:rPr>
          <w:rFonts w:cs="Times New Roman"/>
        </w:rPr>
        <w:t xml:space="preserve">mezování environmentálních rizik se předpokládají tyto dopady: </w:t>
      </w:r>
    </w:p>
    <w:p w:rsidR="00674BC9" w:rsidRDefault="00FD49D1" w:rsidP="00495FC1">
      <w:pPr>
        <w:pStyle w:val="Odstavecseseznamem"/>
        <w:numPr>
          <w:ilvl w:val="0"/>
          <w:numId w:val="26"/>
        </w:numPr>
        <w:spacing w:after="0" w:afterAutospacing="0"/>
        <w:rPr>
          <w:rFonts w:cs="Times New Roman"/>
        </w:rPr>
      </w:pPr>
      <w:r w:rsidRPr="00423B35">
        <w:rPr>
          <w:rFonts w:cs="Times New Roman"/>
        </w:rPr>
        <w:t xml:space="preserve">snížení průmyslového znečištění, </w:t>
      </w:r>
    </w:p>
    <w:p w:rsidR="00674BC9" w:rsidRDefault="00124DA0" w:rsidP="00495FC1">
      <w:pPr>
        <w:pStyle w:val="Odstavecseseznamem"/>
        <w:numPr>
          <w:ilvl w:val="0"/>
          <w:numId w:val="26"/>
        </w:numPr>
        <w:spacing w:after="0" w:afterAutospacing="0"/>
      </w:pPr>
      <w:r>
        <w:t>zvýšení bezpečnosti při nakládání s chemickými látkami,</w:t>
      </w:r>
    </w:p>
    <w:p w:rsidR="004B6C19" w:rsidRPr="006031CD" w:rsidRDefault="00FD49D1" w:rsidP="006031CD">
      <w:pPr>
        <w:pStyle w:val="Odstavecseseznamem"/>
        <w:numPr>
          <w:ilvl w:val="0"/>
          <w:numId w:val="26"/>
        </w:numPr>
        <w:rPr>
          <w:rFonts w:cs="Times New Roman"/>
        </w:rPr>
      </w:pPr>
      <w:r w:rsidRPr="00423B35">
        <w:rPr>
          <w:rFonts w:cs="Times New Roman"/>
        </w:rPr>
        <w:t>snížení množství emisí a přenosů látek, pokles kontaminace složek životního prostředí (včetně potravinového řetězce) chemickými látkami</w:t>
      </w:r>
      <w:r w:rsidR="001359FD">
        <w:rPr>
          <w:rFonts w:cs="Times New Roman"/>
        </w:rPr>
        <w:t>.</w:t>
      </w:r>
    </w:p>
    <w:p w:rsidR="00674BC9" w:rsidRDefault="00E515AF">
      <w:pPr>
        <w:spacing w:after="0" w:afterAutospacing="0"/>
        <w:rPr>
          <w:b/>
        </w:rPr>
      </w:pPr>
      <w:bookmarkStart w:id="2639" w:name="_Toc384907429"/>
      <w:r w:rsidRPr="003D10F9">
        <w:rPr>
          <w:b/>
        </w:rPr>
        <w:t>Stav, který by měl být dosažen k r. 2020:</w:t>
      </w:r>
      <w:bookmarkEnd w:id="2639"/>
    </w:p>
    <w:p w:rsidR="00674BC9" w:rsidRDefault="00B353CA" w:rsidP="00495FC1">
      <w:pPr>
        <w:pStyle w:val="Odstavecseseznamem"/>
        <w:numPr>
          <w:ilvl w:val="0"/>
          <w:numId w:val="27"/>
        </w:numPr>
        <w:spacing w:after="0" w:afterAutospacing="0"/>
      </w:pPr>
      <w:r>
        <w:rPr>
          <w:rFonts w:cs="Arial"/>
        </w:rPr>
        <w:t>p</w:t>
      </w:r>
      <w:r w:rsidR="005E3447" w:rsidRPr="00423B35">
        <w:rPr>
          <w:rFonts w:cs="Arial"/>
        </w:rPr>
        <w:t>ro dosažení cíle omezování rizik chemických látek a prosazování nové právní úpravy jejich managementu REACH - vytvoření systému ekonomic</w:t>
      </w:r>
      <w:r w:rsidR="00163A66" w:rsidRPr="00423B35">
        <w:rPr>
          <w:rFonts w:cs="Arial"/>
        </w:rPr>
        <w:t xml:space="preserve">kých </w:t>
      </w:r>
      <w:r w:rsidR="005E3447" w:rsidRPr="00423B35">
        <w:rPr>
          <w:rFonts w:cs="Arial"/>
        </w:rPr>
        <w:t xml:space="preserve">a institucionálních </w:t>
      </w:r>
      <w:r w:rsidR="005E3447" w:rsidRPr="00423B35">
        <w:rPr>
          <w:rFonts w:cs="Arial"/>
        </w:rPr>
        <w:lastRenderedPageBreak/>
        <w:t>nástrojů pro podporu aktivit vedoucích ke snižování a omezování rizika chemických látek; naplnit požadavky nařízení EU:</w:t>
      </w:r>
    </w:p>
    <w:p w:rsidR="005E3447" w:rsidRPr="00423B35" w:rsidRDefault="005E3447" w:rsidP="00495FC1">
      <w:pPr>
        <w:pStyle w:val="Odstavecseseznamem"/>
        <w:numPr>
          <w:ilvl w:val="0"/>
          <w:numId w:val="28"/>
        </w:numPr>
        <w:rPr>
          <w:rFonts w:cs="Arial"/>
        </w:rPr>
      </w:pPr>
      <w:r w:rsidRPr="00423B35">
        <w:rPr>
          <w:rFonts w:cs="Arial"/>
        </w:rPr>
        <w:t>Nařízení Evropského parlamentu a Rady (ES) č. 1907/2006 o registraci, hodnocení, povolování a omezování chemických látek, o zřízení Evropské agentury pro chemické látky, a o změně směrnice 1999/45/ES a o zrušení nařízení Rady (EHS) č. 793/93, nařízení Komise (ES) č. 1488/94, směrnice Rady 76/769/EHS a směrnic Komise 91/155/EHS, 93/67/EHS, 93/105/ES a 2000/21/ES (nařízení REACH)</w:t>
      </w:r>
      <w:r w:rsidR="00B353CA">
        <w:rPr>
          <w:rFonts w:cs="Arial"/>
        </w:rPr>
        <w:t>,</w:t>
      </w:r>
    </w:p>
    <w:p w:rsidR="005E3447" w:rsidRPr="00423B35" w:rsidRDefault="005E3447" w:rsidP="00495FC1">
      <w:pPr>
        <w:pStyle w:val="Odstavecseseznamem"/>
        <w:numPr>
          <w:ilvl w:val="0"/>
          <w:numId w:val="28"/>
        </w:numPr>
        <w:rPr>
          <w:rFonts w:cs="Arial"/>
        </w:rPr>
      </w:pPr>
      <w:r w:rsidRPr="00423B35">
        <w:rPr>
          <w:rFonts w:cs="Arial"/>
        </w:rPr>
        <w:t>Nařízení Evropského parlamentu a Rady (ES) č. 1272/2008 o klasifikaci, označování a balení látek a směsí, o změně a zrušení směr</w:t>
      </w:r>
      <w:r w:rsidR="004072FD" w:rsidRPr="00423B35">
        <w:rPr>
          <w:rFonts w:cs="Arial"/>
        </w:rPr>
        <w:t>nic 67/548/EHS a 1999/45/ES a o </w:t>
      </w:r>
      <w:r w:rsidRPr="00423B35">
        <w:rPr>
          <w:rFonts w:cs="Arial"/>
        </w:rPr>
        <w:t>změně nařízení (ES) č. 1907/2006 (nařízení CLP)</w:t>
      </w:r>
      <w:r w:rsidR="00B353CA">
        <w:rPr>
          <w:rFonts w:cs="Arial"/>
        </w:rPr>
        <w:t>,</w:t>
      </w:r>
    </w:p>
    <w:p w:rsidR="005E3447" w:rsidRPr="00423B35" w:rsidRDefault="005E3447" w:rsidP="00495FC1">
      <w:pPr>
        <w:pStyle w:val="Odstavecseseznamem"/>
        <w:numPr>
          <w:ilvl w:val="0"/>
          <w:numId w:val="28"/>
        </w:numPr>
        <w:rPr>
          <w:rFonts w:cs="Arial"/>
        </w:rPr>
      </w:pPr>
      <w:r w:rsidRPr="00423B35">
        <w:rPr>
          <w:rFonts w:cs="Arial"/>
        </w:rPr>
        <w:t xml:space="preserve">Nařízení Komise (ES) </w:t>
      </w:r>
      <w:r w:rsidRPr="00EE6E5D">
        <w:t>č. 440/2008</w:t>
      </w:r>
      <w:r w:rsidRPr="00423B35">
        <w:rPr>
          <w:rFonts w:cs="Arial"/>
        </w:rPr>
        <w:t>, kterým se stanoví zkušební metody podle nařízení Evropského parlamentu a Rady (ES) č. 1907/2006 o registraci, hodnocení, povolování a omezování chemických látek (REACH)</w:t>
      </w:r>
      <w:r w:rsidR="00B353CA">
        <w:rPr>
          <w:rFonts w:cs="Arial"/>
        </w:rPr>
        <w:t>;</w:t>
      </w:r>
    </w:p>
    <w:p w:rsidR="005E3447" w:rsidRPr="00423B35" w:rsidRDefault="00B353CA" w:rsidP="00495FC1">
      <w:pPr>
        <w:pStyle w:val="Odstavecseseznamem"/>
        <w:numPr>
          <w:ilvl w:val="0"/>
          <w:numId w:val="27"/>
        </w:numPr>
        <w:rPr>
          <w:rFonts w:cs="Arial"/>
          <w:lang w:val="en-US"/>
        </w:rPr>
      </w:pPr>
      <w:r>
        <w:t>s</w:t>
      </w:r>
      <w:r w:rsidR="005E3447" w:rsidRPr="00EE6E5D">
        <w:t xml:space="preserve">plnit cíl spočívající v zavádění technologií </w:t>
      </w:r>
      <w:r w:rsidR="00124DA0">
        <w:t xml:space="preserve">s vyšší bezpečností provozu </w:t>
      </w:r>
      <w:r w:rsidR="004072FD">
        <w:t>a </w:t>
      </w:r>
      <w:r w:rsidR="005E3447" w:rsidRPr="00EE6E5D">
        <w:t xml:space="preserve">zavádění informačních systémů a nástrojů </w:t>
      </w:r>
      <w:r w:rsidR="00124DA0">
        <w:t xml:space="preserve">v </w:t>
      </w:r>
      <w:r w:rsidR="005E3447" w:rsidRPr="00EE6E5D">
        <w:t>prevenc</w:t>
      </w:r>
      <w:r w:rsidR="00124DA0">
        <w:t>i</w:t>
      </w:r>
      <w:r w:rsidR="005E3447" w:rsidRPr="00EE6E5D">
        <w:t xml:space="preserve"> závažných </w:t>
      </w:r>
      <w:r w:rsidR="00124DA0">
        <w:t xml:space="preserve">chemických </w:t>
      </w:r>
      <w:r w:rsidR="005E3447" w:rsidRPr="00EE6E5D">
        <w:t>havárií, naplňování požadavků směrnice</w:t>
      </w:r>
      <w:r w:rsidR="00124DA0">
        <w:t xml:space="preserve"> ke</w:t>
      </w:r>
      <w:r w:rsidR="00124DA0" w:rsidRPr="00EE6E5D">
        <w:t xml:space="preserve"> snižování environmentálních rizik</w:t>
      </w:r>
      <w:r w:rsidR="005E3447" w:rsidRPr="00EE6E5D">
        <w:t>:</w:t>
      </w:r>
    </w:p>
    <w:p w:rsidR="00632E37" w:rsidRPr="00FF238E" w:rsidRDefault="005E3447" w:rsidP="00495FC1">
      <w:pPr>
        <w:pStyle w:val="Odstavecseseznamem"/>
        <w:numPr>
          <w:ilvl w:val="0"/>
          <w:numId w:val="29"/>
        </w:numPr>
        <w:rPr>
          <w:rFonts w:cs="Arial"/>
          <w:lang w:val="en-US"/>
        </w:rPr>
      </w:pPr>
      <w:r w:rsidRPr="00423B35">
        <w:rPr>
          <w:rFonts w:cs="Arial"/>
        </w:rPr>
        <w:t>Směrnice Evropského Parlamentu a Rady 2012/</w:t>
      </w:r>
      <w:r w:rsidR="004072FD" w:rsidRPr="00423B35">
        <w:rPr>
          <w:rFonts w:cs="Arial"/>
        </w:rPr>
        <w:t>18/EU ze dne 4. července 2012 o </w:t>
      </w:r>
      <w:r w:rsidRPr="00423B35">
        <w:rPr>
          <w:rFonts w:cs="Arial"/>
        </w:rPr>
        <w:t>kontrole nebezpečí závažných havárií s přítomností nebezpečných látek a o změně a následném zrušení směrnice Rady 96/82/ES</w:t>
      </w:r>
      <w:r w:rsidR="004072FD" w:rsidRPr="00423B35">
        <w:rPr>
          <w:rFonts w:cs="Arial"/>
        </w:rPr>
        <w:t>.</w:t>
      </w:r>
    </w:p>
    <w:p w:rsidR="004479EC" w:rsidRPr="004314F4" w:rsidRDefault="004479EC" w:rsidP="00165854">
      <w:pPr>
        <w:pStyle w:val="Titulek"/>
      </w:pPr>
      <w:bookmarkStart w:id="2640" w:name="_Toc384907430"/>
      <w:r w:rsidRPr="004314F4">
        <w:t xml:space="preserve">Specifické </w:t>
      </w:r>
      <w:r w:rsidR="00AC0B13">
        <w:t>programové ukazatele</w:t>
      </w:r>
      <w:r w:rsidRPr="004314F4">
        <w:t xml:space="preserve"> výsledků pro SC 3.</w:t>
      </w:r>
      <w:r w:rsidR="00834875">
        <w:t>5</w:t>
      </w:r>
      <w:bookmarkEnd w:id="2640"/>
    </w:p>
    <w:tbl>
      <w:tblPr>
        <w:tblStyle w:val="Mkatabulky"/>
        <w:tblW w:w="8930" w:type="dxa"/>
        <w:tblInd w:w="250" w:type="dxa"/>
        <w:tblLayout w:type="fixed"/>
        <w:tblLook w:val="04A0" w:firstRow="1" w:lastRow="0" w:firstColumn="1" w:lastColumn="0" w:noHBand="0" w:noVBand="1"/>
      </w:tblPr>
      <w:tblGrid>
        <w:gridCol w:w="851"/>
        <w:gridCol w:w="992"/>
        <w:gridCol w:w="992"/>
        <w:gridCol w:w="1134"/>
        <w:gridCol w:w="992"/>
        <w:gridCol w:w="993"/>
        <w:gridCol w:w="992"/>
        <w:gridCol w:w="850"/>
        <w:gridCol w:w="1134"/>
      </w:tblGrid>
      <w:tr w:rsidR="00BC653B" w:rsidRPr="0042662F" w:rsidTr="00177B95">
        <w:tc>
          <w:tcPr>
            <w:tcW w:w="851" w:type="dxa"/>
            <w:tcBorders>
              <w:bottom w:val="single" w:sz="12" w:space="0" w:color="auto"/>
            </w:tcBorders>
            <w:shd w:val="clear" w:color="auto" w:fill="BFBFBF" w:themeFill="background1" w:themeFillShade="BF"/>
          </w:tcPr>
          <w:p w:rsidR="001B0121" w:rsidRPr="003A2CB2" w:rsidRDefault="001B0121" w:rsidP="00B66FDE">
            <w:pPr>
              <w:rPr>
                <w:b/>
                <w:sz w:val="20"/>
                <w:szCs w:val="20"/>
              </w:rPr>
            </w:pPr>
            <w:r w:rsidRPr="003A2CB2">
              <w:rPr>
                <w:b/>
                <w:sz w:val="20"/>
                <w:szCs w:val="20"/>
              </w:rPr>
              <w:t xml:space="preserve">ID </w:t>
            </w:r>
          </w:p>
        </w:tc>
        <w:tc>
          <w:tcPr>
            <w:tcW w:w="992" w:type="dxa"/>
            <w:tcBorders>
              <w:bottom w:val="single" w:sz="12" w:space="0" w:color="auto"/>
            </w:tcBorders>
            <w:shd w:val="clear" w:color="auto" w:fill="BFBFBF" w:themeFill="background1" w:themeFillShade="BF"/>
          </w:tcPr>
          <w:p w:rsidR="00674BC9" w:rsidRDefault="0033290F">
            <w:pPr>
              <w:rPr>
                <w:b/>
                <w:sz w:val="20"/>
                <w:szCs w:val="20"/>
              </w:rPr>
            </w:pPr>
            <w:r w:rsidRPr="0033290F">
              <w:rPr>
                <w:b/>
                <w:sz w:val="20"/>
                <w:szCs w:val="20"/>
              </w:rPr>
              <w:t>Ukazatel</w:t>
            </w:r>
          </w:p>
        </w:tc>
        <w:tc>
          <w:tcPr>
            <w:tcW w:w="992" w:type="dxa"/>
            <w:tcBorders>
              <w:bottom w:val="single" w:sz="12" w:space="0" w:color="auto"/>
            </w:tcBorders>
            <w:shd w:val="clear" w:color="auto" w:fill="BFBFBF" w:themeFill="background1" w:themeFillShade="BF"/>
          </w:tcPr>
          <w:p w:rsidR="001B0121" w:rsidRPr="003A2CB2" w:rsidRDefault="0033290F" w:rsidP="00B66FDE">
            <w:pPr>
              <w:spacing w:line="276" w:lineRule="auto"/>
              <w:rPr>
                <w:b/>
                <w:sz w:val="20"/>
                <w:szCs w:val="20"/>
              </w:rPr>
            </w:pPr>
            <w:r w:rsidRPr="0033290F">
              <w:rPr>
                <w:b/>
                <w:sz w:val="20"/>
                <w:szCs w:val="20"/>
              </w:rPr>
              <w:t>Měrná jednotka</w:t>
            </w:r>
          </w:p>
        </w:tc>
        <w:tc>
          <w:tcPr>
            <w:tcW w:w="1134" w:type="dxa"/>
            <w:tcBorders>
              <w:bottom w:val="single" w:sz="12" w:space="0" w:color="auto"/>
            </w:tcBorders>
            <w:shd w:val="clear" w:color="auto" w:fill="BFBFBF" w:themeFill="background1" w:themeFillShade="BF"/>
          </w:tcPr>
          <w:p w:rsidR="001B0121" w:rsidRPr="003A2CB2" w:rsidRDefault="0033290F" w:rsidP="00B66FDE">
            <w:pPr>
              <w:spacing w:line="276" w:lineRule="auto"/>
              <w:rPr>
                <w:b/>
                <w:sz w:val="20"/>
                <w:szCs w:val="20"/>
              </w:rPr>
            </w:pPr>
            <w:r w:rsidRPr="0033290F">
              <w:rPr>
                <w:b/>
                <w:sz w:val="20"/>
                <w:szCs w:val="20"/>
              </w:rPr>
              <w:t>Kategorie regionů</w:t>
            </w:r>
          </w:p>
        </w:tc>
        <w:tc>
          <w:tcPr>
            <w:tcW w:w="992" w:type="dxa"/>
            <w:tcBorders>
              <w:bottom w:val="single" w:sz="12" w:space="0" w:color="auto"/>
            </w:tcBorders>
            <w:shd w:val="clear" w:color="auto" w:fill="BFBFBF" w:themeFill="background1" w:themeFillShade="BF"/>
          </w:tcPr>
          <w:p w:rsidR="001B0121" w:rsidRPr="003A2CB2" w:rsidRDefault="0033290F" w:rsidP="00B66FDE">
            <w:pPr>
              <w:spacing w:line="276" w:lineRule="auto"/>
              <w:rPr>
                <w:b/>
                <w:sz w:val="20"/>
                <w:szCs w:val="20"/>
              </w:rPr>
            </w:pPr>
            <w:r w:rsidRPr="0033290F">
              <w:rPr>
                <w:b/>
                <w:sz w:val="20"/>
                <w:szCs w:val="20"/>
              </w:rPr>
              <w:t>Výchozí hodnota</w:t>
            </w:r>
          </w:p>
        </w:tc>
        <w:tc>
          <w:tcPr>
            <w:tcW w:w="993" w:type="dxa"/>
            <w:tcBorders>
              <w:bottom w:val="single" w:sz="12" w:space="0" w:color="auto"/>
            </w:tcBorders>
            <w:shd w:val="clear" w:color="auto" w:fill="BFBFBF" w:themeFill="background1" w:themeFillShade="BF"/>
          </w:tcPr>
          <w:p w:rsidR="001B0121" w:rsidRPr="003A2CB2" w:rsidRDefault="0033290F" w:rsidP="00B66FDE">
            <w:pPr>
              <w:spacing w:line="276" w:lineRule="auto"/>
              <w:rPr>
                <w:b/>
                <w:sz w:val="20"/>
                <w:szCs w:val="20"/>
              </w:rPr>
            </w:pPr>
            <w:r w:rsidRPr="0033290F">
              <w:rPr>
                <w:b/>
                <w:sz w:val="20"/>
                <w:szCs w:val="20"/>
              </w:rPr>
              <w:t>Výchozí rok</w:t>
            </w:r>
          </w:p>
        </w:tc>
        <w:tc>
          <w:tcPr>
            <w:tcW w:w="992" w:type="dxa"/>
            <w:tcBorders>
              <w:bottom w:val="single" w:sz="12" w:space="0" w:color="auto"/>
            </w:tcBorders>
            <w:shd w:val="clear" w:color="auto" w:fill="BFBFBF" w:themeFill="background1" w:themeFillShade="BF"/>
          </w:tcPr>
          <w:p w:rsidR="001B0121" w:rsidRPr="003A2CB2" w:rsidRDefault="0033290F" w:rsidP="00B66FDE">
            <w:pPr>
              <w:spacing w:line="276" w:lineRule="auto"/>
              <w:rPr>
                <w:b/>
                <w:sz w:val="20"/>
                <w:szCs w:val="20"/>
              </w:rPr>
            </w:pPr>
            <w:r w:rsidRPr="0033290F">
              <w:rPr>
                <w:b/>
                <w:sz w:val="20"/>
                <w:szCs w:val="20"/>
              </w:rPr>
              <w:t>Cílová hodnota (2023)</w:t>
            </w:r>
          </w:p>
        </w:tc>
        <w:tc>
          <w:tcPr>
            <w:tcW w:w="850" w:type="dxa"/>
            <w:tcBorders>
              <w:bottom w:val="single" w:sz="12" w:space="0" w:color="auto"/>
            </w:tcBorders>
            <w:shd w:val="clear" w:color="auto" w:fill="BFBFBF" w:themeFill="background1" w:themeFillShade="BF"/>
          </w:tcPr>
          <w:p w:rsidR="001B0121" w:rsidRPr="003A2CB2" w:rsidRDefault="0033290F" w:rsidP="00B66FDE">
            <w:pPr>
              <w:spacing w:line="276" w:lineRule="auto"/>
              <w:rPr>
                <w:b/>
                <w:sz w:val="20"/>
                <w:szCs w:val="20"/>
              </w:rPr>
            </w:pPr>
            <w:r w:rsidRPr="0033290F">
              <w:rPr>
                <w:b/>
                <w:sz w:val="20"/>
                <w:szCs w:val="20"/>
              </w:rPr>
              <w:t>Zdroj údajů</w:t>
            </w:r>
          </w:p>
        </w:tc>
        <w:tc>
          <w:tcPr>
            <w:tcW w:w="1134" w:type="dxa"/>
            <w:tcBorders>
              <w:bottom w:val="single" w:sz="12" w:space="0" w:color="auto"/>
            </w:tcBorders>
            <w:shd w:val="clear" w:color="auto" w:fill="BFBFBF" w:themeFill="background1" w:themeFillShade="BF"/>
          </w:tcPr>
          <w:p w:rsidR="001B0121" w:rsidRPr="003A2CB2" w:rsidRDefault="0033290F" w:rsidP="00B66FDE">
            <w:pPr>
              <w:spacing w:line="276" w:lineRule="auto"/>
              <w:rPr>
                <w:b/>
                <w:sz w:val="20"/>
                <w:szCs w:val="20"/>
              </w:rPr>
            </w:pPr>
            <w:r w:rsidRPr="0033290F">
              <w:rPr>
                <w:b/>
                <w:sz w:val="20"/>
                <w:szCs w:val="20"/>
              </w:rPr>
              <w:t>Četnost podávání zpráv</w:t>
            </w:r>
          </w:p>
        </w:tc>
      </w:tr>
      <w:tr w:rsidR="00BC653B" w:rsidRPr="0042662F" w:rsidTr="00177B95">
        <w:tc>
          <w:tcPr>
            <w:tcW w:w="851" w:type="dxa"/>
            <w:tcBorders>
              <w:top w:val="single" w:sz="12" w:space="0" w:color="auto"/>
            </w:tcBorders>
          </w:tcPr>
          <w:p w:rsidR="001B0121" w:rsidRPr="003A2CB2" w:rsidRDefault="00195455" w:rsidP="00195455">
            <w:pPr>
              <w:rPr>
                <w:sz w:val="20"/>
                <w:szCs w:val="20"/>
              </w:rPr>
            </w:pPr>
            <w:r>
              <w:rPr>
                <w:sz w:val="20"/>
                <w:szCs w:val="20"/>
              </w:rPr>
              <w:t>4</w:t>
            </w:r>
            <w:r w:rsidRPr="00195455">
              <w:rPr>
                <w:sz w:val="20"/>
                <w:szCs w:val="20"/>
              </w:rPr>
              <w:t>1011</w:t>
            </w:r>
          </w:p>
        </w:tc>
        <w:tc>
          <w:tcPr>
            <w:tcW w:w="992" w:type="dxa"/>
            <w:tcBorders>
              <w:top w:val="single" w:sz="12" w:space="0" w:color="auto"/>
            </w:tcBorders>
          </w:tcPr>
          <w:p w:rsidR="001B0121" w:rsidRPr="003A2CB2" w:rsidRDefault="0033485C" w:rsidP="00B66FDE">
            <w:pPr>
              <w:rPr>
                <w:rFonts w:asciiTheme="majorHAnsi" w:hAnsiTheme="majorHAnsi"/>
                <w:sz w:val="20"/>
                <w:szCs w:val="20"/>
              </w:rPr>
            </w:pPr>
            <w:r w:rsidRPr="003A2CB2">
              <w:rPr>
                <w:rFonts w:asciiTheme="majorHAnsi" w:hAnsiTheme="majorHAnsi" w:cs="Arial"/>
                <w:sz w:val="20"/>
                <w:szCs w:val="20"/>
              </w:rPr>
              <w:t xml:space="preserve"> </w:t>
            </w:r>
            <w:r w:rsidR="0033290F" w:rsidRPr="0033290F">
              <w:rPr>
                <w:rFonts w:cs="Arial"/>
                <w:sz w:val="20"/>
                <w:szCs w:val="20"/>
              </w:rPr>
              <w:t xml:space="preserve">Snížení rizika při </w:t>
            </w:r>
            <w:r w:rsidR="00C379C2" w:rsidRPr="003A2CB2">
              <w:rPr>
                <w:rFonts w:cs="Arial"/>
                <w:sz w:val="20"/>
                <w:szCs w:val="20"/>
              </w:rPr>
              <w:t>nakládání s nebezpečnými látkami</w:t>
            </w:r>
          </w:p>
        </w:tc>
        <w:tc>
          <w:tcPr>
            <w:tcW w:w="992" w:type="dxa"/>
            <w:tcBorders>
              <w:top w:val="single" w:sz="12" w:space="0" w:color="auto"/>
            </w:tcBorders>
            <w:vAlign w:val="center"/>
          </w:tcPr>
          <w:p w:rsidR="001B0121" w:rsidRPr="003A2CB2" w:rsidRDefault="0033290F" w:rsidP="00B66FDE">
            <w:pPr>
              <w:spacing w:line="276" w:lineRule="auto"/>
              <w:rPr>
                <w:sz w:val="20"/>
                <w:szCs w:val="20"/>
              </w:rPr>
            </w:pPr>
            <w:r w:rsidRPr="0033290F">
              <w:rPr>
                <w:sz w:val="20"/>
                <w:szCs w:val="20"/>
              </w:rPr>
              <w:t>relativní míra rizika</w:t>
            </w:r>
          </w:p>
        </w:tc>
        <w:tc>
          <w:tcPr>
            <w:tcW w:w="1134" w:type="dxa"/>
            <w:tcBorders>
              <w:top w:val="single" w:sz="12" w:space="0" w:color="auto"/>
            </w:tcBorders>
            <w:vAlign w:val="center"/>
          </w:tcPr>
          <w:p w:rsidR="001B0121" w:rsidRPr="003A2CB2" w:rsidRDefault="0033290F" w:rsidP="00C5373F">
            <w:pPr>
              <w:spacing w:line="276" w:lineRule="auto"/>
              <w:rPr>
                <w:sz w:val="20"/>
                <w:szCs w:val="20"/>
              </w:rPr>
            </w:pPr>
            <w:r w:rsidRPr="0033290F">
              <w:rPr>
                <w:sz w:val="20"/>
                <w:szCs w:val="20"/>
              </w:rPr>
              <w:t>Méně rozvinuté regiony</w:t>
            </w:r>
          </w:p>
        </w:tc>
        <w:tc>
          <w:tcPr>
            <w:tcW w:w="992" w:type="dxa"/>
            <w:tcBorders>
              <w:top w:val="single" w:sz="12" w:space="0" w:color="auto"/>
            </w:tcBorders>
            <w:vAlign w:val="center"/>
          </w:tcPr>
          <w:p w:rsidR="001B0121" w:rsidRPr="003A2CB2" w:rsidRDefault="0033290F" w:rsidP="00B66FDE">
            <w:pPr>
              <w:spacing w:line="276" w:lineRule="auto"/>
              <w:rPr>
                <w:sz w:val="20"/>
                <w:szCs w:val="20"/>
              </w:rPr>
            </w:pPr>
            <w:r w:rsidRPr="0033290F">
              <w:rPr>
                <w:sz w:val="20"/>
                <w:szCs w:val="20"/>
              </w:rPr>
              <w:t>1</w:t>
            </w:r>
          </w:p>
        </w:tc>
        <w:tc>
          <w:tcPr>
            <w:tcW w:w="993" w:type="dxa"/>
            <w:tcBorders>
              <w:top w:val="single" w:sz="12" w:space="0" w:color="auto"/>
            </w:tcBorders>
            <w:vAlign w:val="center"/>
          </w:tcPr>
          <w:p w:rsidR="001B0121" w:rsidRPr="003A2CB2" w:rsidRDefault="0033290F" w:rsidP="00B66FDE">
            <w:pPr>
              <w:spacing w:line="276" w:lineRule="auto"/>
              <w:rPr>
                <w:sz w:val="20"/>
                <w:szCs w:val="20"/>
              </w:rPr>
            </w:pPr>
            <w:r w:rsidRPr="0033290F">
              <w:rPr>
                <w:sz w:val="20"/>
                <w:szCs w:val="20"/>
              </w:rPr>
              <w:t>2014</w:t>
            </w:r>
          </w:p>
        </w:tc>
        <w:tc>
          <w:tcPr>
            <w:tcW w:w="992" w:type="dxa"/>
            <w:tcBorders>
              <w:top w:val="single" w:sz="12" w:space="0" w:color="auto"/>
            </w:tcBorders>
            <w:vAlign w:val="center"/>
          </w:tcPr>
          <w:p w:rsidR="001B0121" w:rsidRPr="003A2CB2" w:rsidRDefault="0033290F" w:rsidP="00B66FDE">
            <w:pPr>
              <w:spacing w:line="276" w:lineRule="auto"/>
              <w:rPr>
                <w:sz w:val="20"/>
                <w:szCs w:val="20"/>
              </w:rPr>
            </w:pPr>
            <w:r w:rsidRPr="0033290F">
              <w:rPr>
                <w:sz w:val="20"/>
                <w:szCs w:val="20"/>
              </w:rPr>
              <w:t>0,8</w:t>
            </w:r>
          </w:p>
        </w:tc>
        <w:tc>
          <w:tcPr>
            <w:tcW w:w="850" w:type="dxa"/>
            <w:tcBorders>
              <w:top w:val="single" w:sz="12" w:space="0" w:color="auto"/>
            </w:tcBorders>
            <w:vAlign w:val="center"/>
          </w:tcPr>
          <w:p w:rsidR="00825FA0" w:rsidRPr="003A2CB2" w:rsidRDefault="0033290F" w:rsidP="00B66FDE">
            <w:pPr>
              <w:spacing w:line="276" w:lineRule="auto"/>
              <w:rPr>
                <w:bCs/>
                <w:sz w:val="20"/>
                <w:szCs w:val="20"/>
              </w:rPr>
            </w:pPr>
            <w:r w:rsidRPr="0033290F">
              <w:rPr>
                <w:bCs/>
                <w:sz w:val="20"/>
                <w:szCs w:val="20"/>
              </w:rPr>
              <w:t>Žadatel/</w:t>
            </w:r>
          </w:p>
          <w:p w:rsidR="001B0121" w:rsidRPr="003A2CB2" w:rsidRDefault="0033290F" w:rsidP="00B66FDE">
            <w:pPr>
              <w:spacing w:line="276" w:lineRule="auto"/>
              <w:rPr>
                <w:sz w:val="20"/>
                <w:szCs w:val="20"/>
              </w:rPr>
            </w:pPr>
            <w:r w:rsidRPr="0033290F">
              <w:rPr>
                <w:bCs/>
                <w:sz w:val="20"/>
                <w:szCs w:val="20"/>
              </w:rPr>
              <w:t>příjemce</w:t>
            </w:r>
          </w:p>
        </w:tc>
        <w:tc>
          <w:tcPr>
            <w:tcW w:w="1134" w:type="dxa"/>
            <w:tcBorders>
              <w:top w:val="single" w:sz="12" w:space="0" w:color="auto"/>
            </w:tcBorders>
            <w:vAlign w:val="center"/>
          </w:tcPr>
          <w:p w:rsidR="001B0121" w:rsidRPr="003A2CB2" w:rsidRDefault="0033290F" w:rsidP="00B66FDE">
            <w:pPr>
              <w:spacing w:line="276" w:lineRule="auto"/>
              <w:rPr>
                <w:sz w:val="20"/>
                <w:szCs w:val="20"/>
              </w:rPr>
            </w:pPr>
            <w:r w:rsidRPr="0033290F">
              <w:rPr>
                <w:sz w:val="20"/>
                <w:szCs w:val="20"/>
              </w:rPr>
              <w:t>Průběžně</w:t>
            </w:r>
          </w:p>
        </w:tc>
      </w:tr>
    </w:tbl>
    <w:p w:rsidR="004B6C19" w:rsidRPr="004314F4" w:rsidRDefault="004B6C19" w:rsidP="00B66FDE"/>
    <w:p w:rsidR="00873B18" w:rsidRPr="00597584" w:rsidRDefault="00AC0B13" w:rsidP="00165854">
      <w:pPr>
        <w:pStyle w:val="Nadpis4"/>
      </w:pPr>
      <w:bookmarkStart w:id="2641" w:name="_Toc392151030"/>
      <w:r>
        <w:t>Opatření, jež má být podpořeno v rámci investiční priority</w:t>
      </w:r>
      <w:bookmarkEnd w:id="2641"/>
      <w:r>
        <w:t xml:space="preserve"> </w:t>
      </w:r>
    </w:p>
    <w:p w:rsidR="00EA10AB" w:rsidRDefault="001B0121" w:rsidP="00165854">
      <w:pPr>
        <w:pStyle w:val="Nadpis5"/>
      </w:pPr>
      <w:bookmarkStart w:id="2642" w:name="_Toc392151031"/>
      <w:r w:rsidRPr="004314F4">
        <w:t xml:space="preserve">Popis typů </w:t>
      </w:r>
      <w:r w:rsidR="00AC0B13">
        <w:t xml:space="preserve">a </w:t>
      </w:r>
      <w:r w:rsidRPr="004314F4">
        <w:t xml:space="preserve">příkladů </w:t>
      </w:r>
      <w:r w:rsidR="00AC0B13">
        <w:t>opatření, která mají být podporována, a jejich očekávaný přínos k plnění specifických cílů, případně včetně hlavních cílových skupin, konkrétních cílových území a druhů příjemců</w:t>
      </w:r>
      <w:bookmarkEnd w:id="2642"/>
      <w:r w:rsidR="00AC0B13">
        <w:t xml:space="preserve"> </w:t>
      </w:r>
    </w:p>
    <w:p w:rsidR="006A1538" w:rsidRDefault="006A1538" w:rsidP="00165854">
      <w:pPr>
        <w:pStyle w:val="Nadpis6"/>
      </w:pPr>
      <w:r w:rsidRPr="004314F4">
        <w:t xml:space="preserve">Specifický cíl </w:t>
      </w:r>
      <w:r w:rsidR="00834875">
        <w:t>5</w:t>
      </w:r>
      <w:r w:rsidRPr="004314F4">
        <w:t>: Snížit environmentální rizika a rozvíjet systémy jejich řízení</w:t>
      </w:r>
    </w:p>
    <w:p w:rsidR="00674BC9" w:rsidRDefault="006A1538">
      <w:pPr>
        <w:spacing w:after="0" w:afterAutospacing="0"/>
      </w:pPr>
      <w:r w:rsidRPr="004314F4">
        <w:t>Podporované aktivity v rámci specifického cíle 3.</w:t>
      </w:r>
      <w:r w:rsidR="00834875">
        <w:t>5</w:t>
      </w:r>
      <w:r w:rsidR="00834875" w:rsidRPr="004314F4">
        <w:t xml:space="preserve"> </w:t>
      </w:r>
      <w:r w:rsidRPr="004314F4">
        <w:t>- budou:</w:t>
      </w:r>
    </w:p>
    <w:p w:rsidR="00674BC9" w:rsidRDefault="00B353CA" w:rsidP="00495FC1">
      <w:pPr>
        <w:pStyle w:val="Odstavecseseznamem"/>
        <w:numPr>
          <w:ilvl w:val="0"/>
          <w:numId w:val="30"/>
        </w:numPr>
        <w:spacing w:after="0" w:afterAutospacing="0"/>
        <w:ind w:left="720"/>
      </w:pPr>
      <w:r>
        <w:t>n</w:t>
      </w:r>
      <w:r w:rsidR="00124DA0">
        <w:t>áhrada nebo r</w:t>
      </w:r>
      <w:r w:rsidR="00124DA0" w:rsidRPr="004314F4">
        <w:t>ekonstrukce z</w:t>
      </w:r>
      <w:r w:rsidR="00124DA0">
        <w:t xml:space="preserve">ařízení (stacionární </w:t>
      </w:r>
      <w:r w:rsidR="00124DA0" w:rsidRPr="003B7A8F">
        <w:t>technick</w:t>
      </w:r>
      <w:r w:rsidR="00124DA0">
        <w:t>é</w:t>
      </w:r>
      <w:r w:rsidR="00124DA0" w:rsidRPr="003B7A8F">
        <w:t xml:space="preserve"> nebo technologick</w:t>
      </w:r>
      <w:r w:rsidR="00124DA0">
        <w:t>é</w:t>
      </w:r>
      <w:r w:rsidR="00124DA0" w:rsidRPr="003B7A8F">
        <w:t xml:space="preserve"> jednotk</w:t>
      </w:r>
      <w:r w:rsidR="00124DA0">
        <w:t>y</w:t>
      </w:r>
      <w:r w:rsidR="00124DA0" w:rsidRPr="003B7A8F">
        <w:t xml:space="preserve">, ve které je nebezpečná </w:t>
      </w:r>
      <w:r w:rsidR="00124DA0">
        <w:t xml:space="preserve">chemická </w:t>
      </w:r>
      <w:r w:rsidR="00124DA0" w:rsidRPr="003B7A8F">
        <w:t>látka vyráběna, zpracovávána, používána, přepravována nebo skladována</w:t>
      </w:r>
      <w:r w:rsidR="00124DA0">
        <w:t>), s cílem zvýšení bezpečnosti provozu, snížení míry rizika a </w:t>
      </w:r>
      <w:r w:rsidR="00124DA0" w:rsidRPr="00876D63">
        <w:t>omezování následků závažných havárií</w:t>
      </w:r>
      <w:r>
        <w:t>,</w:t>
      </w:r>
    </w:p>
    <w:p w:rsidR="006F7D80" w:rsidRDefault="00B353CA" w:rsidP="00495FC1">
      <w:pPr>
        <w:pStyle w:val="Odstavecseseznamem"/>
        <w:numPr>
          <w:ilvl w:val="0"/>
          <w:numId w:val="30"/>
        </w:numPr>
        <w:ind w:left="720"/>
      </w:pPr>
      <w:r>
        <w:lastRenderedPageBreak/>
        <w:t>v</w:t>
      </w:r>
      <w:r w:rsidR="006A1538" w:rsidRPr="004314F4">
        <w:t>ytvoření informačních systémů</w:t>
      </w:r>
      <w:r w:rsidR="00386EC1">
        <w:t>,</w:t>
      </w:r>
      <w:r w:rsidR="00386EC1" w:rsidRPr="00716862">
        <w:t xml:space="preserve"> znalostních portálů </w:t>
      </w:r>
      <w:r w:rsidR="00386EC1">
        <w:t xml:space="preserve">a </w:t>
      </w:r>
      <w:r w:rsidR="00386EC1" w:rsidRPr="00716862">
        <w:t>SW nástrojů</w:t>
      </w:r>
      <w:r w:rsidR="00386EC1" w:rsidRPr="00B95FA6">
        <w:t xml:space="preserve"> </w:t>
      </w:r>
      <w:r w:rsidR="00386EC1" w:rsidRPr="00716862">
        <w:t>pro tvorbu a</w:t>
      </w:r>
      <w:r>
        <w:t> </w:t>
      </w:r>
      <w:r w:rsidR="00386EC1" w:rsidRPr="00716862">
        <w:t>aplikaci nových metodik a postupů</w:t>
      </w:r>
      <w:r w:rsidR="00386EC1">
        <w:t xml:space="preserve"> v </w:t>
      </w:r>
      <w:r w:rsidR="00386EC1" w:rsidRPr="00716862">
        <w:t xml:space="preserve">managementu chemických látek </w:t>
      </w:r>
      <w:r w:rsidR="00386EC1">
        <w:t xml:space="preserve">a </w:t>
      </w:r>
      <w:r w:rsidR="00386EC1" w:rsidRPr="00716862">
        <w:t>prevenci závažných</w:t>
      </w:r>
      <w:r w:rsidR="00B049D0">
        <w:t xml:space="preserve"> chemických</w:t>
      </w:r>
      <w:r w:rsidR="00386EC1" w:rsidRPr="00716862">
        <w:t xml:space="preserve"> havárií</w:t>
      </w:r>
      <w:r>
        <w:t>,</w:t>
      </w:r>
    </w:p>
    <w:p w:rsidR="00B63245" w:rsidRPr="004314F4" w:rsidRDefault="00B353CA" w:rsidP="00495FC1">
      <w:pPr>
        <w:pStyle w:val="Odstavecseseznamem"/>
        <w:numPr>
          <w:ilvl w:val="0"/>
          <w:numId w:val="30"/>
        </w:numPr>
        <w:ind w:left="720"/>
      </w:pPr>
      <w:r>
        <w:t>v</w:t>
      </w:r>
      <w:r w:rsidR="0085768E">
        <w:t>ytvoření</w:t>
      </w:r>
      <w:r w:rsidR="006A1538" w:rsidRPr="004314F4">
        <w:t xml:space="preserve"> expertních center REACH a center prevence rizik</w:t>
      </w:r>
      <w:r w:rsidR="00B049D0">
        <w:t xml:space="preserve"> - i</w:t>
      </w:r>
      <w:r w:rsidR="0085768E">
        <w:t>nfrastruktura pro </w:t>
      </w:r>
      <w:r w:rsidR="00B049D0" w:rsidRPr="00876D63">
        <w:t xml:space="preserve">institucionální zázemí </w:t>
      </w:r>
      <w:r w:rsidR="00B049D0">
        <w:t xml:space="preserve">implementace </w:t>
      </w:r>
      <w:r w:rsidR="00B049D0" w:rsidRPr="00876D63">
        <w:t xml:space="preserve">REACH a </w:t>
      </w:r>
      <w:r w:rsidR="00B049D0">
        <w:t>prevence závažných chemických havárií</w:t>
      </w:r>
      <w:r w:rsidR="0063643C">
        <w:t>.</w:t>
      </w:r>
      <w:r w:rsidR="006A1538" w:rsidRPr="004314F4">
        <w:t xml:space="preserve">    </w:t>
      </w:r>
    </w:p>
    <w:p w:rsidR="00674BC9" w:rsidRDefault="00E515AF">
      <w:pPr>
        <w:tabs>
          <w:tab w:val="left" w:pos="3975"/>
        </w:tabs>
        <w:spacing w:after="0" w:afterAutospacing="0"/>
        <w:rPr>
          <w:rFonts w:cs="Times New Roman"/>
        </w:rPr>
      </w:pPr>
      <w:r w:rsidRPr="004314F4">
        <w:rPr>
          <w:rFonts w:cs="Times New Roman"/>
        </w:rPr>
        <w:t>Typy podporovaných projektů:</w:t>
      </w:r>
      <w:r w:rsidR="00721DFF">
        <w:rPr>
          <w:rFonts w:cs="Times New Roman"/>
        </w:rPr>
        <w:tab/>
      </w:r>
    </w:p>
    <w:p w:rsidR="00674BC9" w:rsidRDefault="00B353CA" w:rsidP="00495FC1">
      <w:pPr>
        <w:pStyle w:val="Odstavecseseznamem"/>
        <w:numPr>
          <w:ilvl w:val="0"/>
          <w:numId w:val="58"/>
        </w:numPr>
      </w:pPr>
      <w:r>
        <w:t>r</w:t>
      </w:r>
      <w:r w:rsidR="00B049D0" w:rsidRPr="00897894">
        <w:t>ekonstrukce zařízení výrob s nebezpečnými chemickými látkami</w:t>
      </w:r>
      <w:r>
        <w:t>,</w:t>
      </w:r>
    </w:p>
    <w:p w:rsidR="00674BC9" w:rsidRDefault="00B353CA" w:rsidP="00495FC1">
      <w:pPr>
        <w:pStyle w:val="Odstavecseseznamem"/>
        <w:numPr>
          <w:ilvl w:val="0"/>
          <w:numId w:val="58"/>
        </w:numPr>
      </w:pPr>
      <w:r>
        <w:t>r</w:t>
      </w:r>
      <w:r w:rsidR="00B049D0" w:rsidRPr="00897894">
        <w:t>ekonstrukce chladícího zařízení - změnou chladiva, snížením množství kapalného čpavku, náhradou chladícího zařízení, modernizac</w:t>
      </w:r>
      <w:r w:rsidR="00B049D0">
        <w:t>í</w:t>
      </w:r>
      <w:r w:rsidR="00B049D0" w:rsidRPr="00897894">
        <w:t xml:space="preserve"> rozvodů</w:t>
      </w:r>
      <w:r>
        <w:t>,</w:t>
      </w:r>
    </w:p>
    <w:p w:rsidR="00674BC9" w:rsidRDefault="00B353CA" w:rsidP="00495FC1">
      <w:pPr>
        <w:pStyle w:val="Odstavecseseznamem"/>
        <w:numPr>
          <w:ilvl w:val="0"/>
          <w:numId w:val="58"/>
        </w:numPr>
      </w:pPr>
      <w:r>
        <w:t>p</w:t>
      </w:r>
      <w:r w:rsidR="00B049D0" w:rsidRPr="00897894">
        <w:t>rotipožární izolace zásobníků LPG</w:t>
      </w:r>
      <w:r>
        <w:t>,</w:t>
      </w:r>
    </w:p>
    <w:p w:rsidR="00674BC9" w:rsidRDefault="00B353CA" w:rsidP="00495FC1">
      <w:pPr>
        <w:pStyle w:val="Odstavecseseznamem"/>
        <w:numPr>
          <w:ilvl w:val="0"/>
          <w:numId w:val="58"/>
        </w:numPr>
      </w:pPr>
      <w:r>
        <w:t>v</w:t>
      </w:r>
      <w:r w:rsidR="00B049D0" w:rsidRPr="00897894">
        <w:t>ybudování bezpečného stáčení vstupních surovin a nových produktů</w:t>
      </w:r>
      <w:r>
        <w:t>,</w:t>
      </w:r>
    </w:p>
    <w:p w:rsidR="00674BC9" w:rsidRDefault="00B353CA" w:rsidP="00495FC1">
      <w:pPr>
        <w:pStyle w:val="Odstavecseseznamem"/>
        <w:numPr>
          <w:ilvl w:val="0"/>
          <w:numId w:val="58"/>
        </w:numPr>
      </w:pPr>
      <w:r>
        <w:t>r</w:t>
      </w:r>
      <w:r w:rsidR="00B049D0" w:rsidRPr="00897894">
        <w:t>ekonstrukce skladovacích nádrží vč. realizace havarijních jímek</w:t>
      </w:r>
      <w:r>
        <w:t>,</w:t>
      </w:r>
    </w:p>
    <w:p w:rsidR="00674BC9" w:rsidRDefault="00B353CA" w:rsidP="00495FC1">
      <w:pPr>
        <w:pStyle w:val="Odstavecseseznamem"/>
        <w:numPr>
          <w:ilvl w:val="0"/>
          <w:numId w:val="58"/>
        </w:numPr>
      </w:pPr>
      <w:r>
        <w:t>r</w:t>
      </w:r>
      <w:r w:rsidR="00B049D0" w:rsidRPr="00897894">
        <w:t>ekonstrukce skladů hořlavých kapalin</w:t>
      </w:r>
      <w:r>
        <w:t>,</w:t>
      </w:r>
    </w:p>
    <w:p w:rsidR="00674BC9" w:rsidRDefault="00B353CA" w:rsidP="00495FC1">
      <w:pPr>
        <w:pStyle w:val="Odstavecseseznamem"/>
        <w:numPr>
          <w:ilvl w:val="0"/>
          <w:numId w:val="58"/>
        </w:numPr>
      </w:pPr>
      <w:r>
        <w:t>r</w:t>
      </w:r>
      <w:r w:rsidR="00B049D0" w:rsidRPr="00897894">
        <w:t>ekonstrukce skladovacích nádrží kapalných uhlovodíků</w:t>
      </w:r>
      <w:r>
        <w:t>,</w:t>
      </w:r>
    </w:p>
    <w:p w:rsidR="00674BC9" w:rsidRDefault="00B353CA" w:rsidP="00495FC1">
      <w:pPr>
        <w:pStyle w:val="Odstavecseseznamem"/>
        <w:numPr>
          <w:ilvl w:val="0"/>
          <w:numId w:val="58"/>
        </w:numPr>
      </w:pPr>
      <w:r>
        <w:t>r</w:t>
      </w:r>
      <w:r w:rsidR="00B049D0" w:rsidRPr="00897894">
        <w:t>ekonstrukce skladů kapalných průmyslových hnojiv</w:t>
      </w:r>
      <w:r>
        <w:t>,</w:t>
      </w:r>
    </w:p>
    <w:p w:rsidR="00674BC9" w:rsidRDefault="00B353CA" w:rsidP="00495FC1">
      <w:pPr>
        <w:pStyle w:val="Odstavecseseznamem"/>
        <w:numPr>
          <w:ilvl w:val="0"/>
          <w:numId w:val="58"/>
        </w:numPr>
      </w:pPr>
      <w:r>
        <w:t>v</w:t>
      </w:r>
      <w:r w:rsidR="00B049D0" w:rsidRPr="00897894">
        <w:t>ýstavba zabezpečených skladů agrochemikálií</w:t>
      </w:r>
      <w:r>
        <w:t>,</w:t>
      </w:r>
    </w:p>
    <w:p w:rsidR="00674BC9" w:rsidRDefault="00B353CA" w:rsidP="00495FC1">
      <w:pPr>
        <w:pStyle w:val="Odstavecseseznamem"/>
        <w:numPr>
          <w:ilvl w:val="0"/>
          <w:numId w:val="58"/>
        </w:numPr>
      </w:pPr>
      <w:r>
        <w:t>m</w:t>
      </w:r>
      <w:r w:rsidR="00B049D0" w:rsidRPr="00897894">
        <w:t>odernizace zabezpečovacího zařízení u vlečky pro přepravu nebezpečných látek</w:t>
      </w:r>
      <w:r>
        <w:t>,</w:t>
      </w:r>
    </w:p>
    <w:p w:rsidR="00674BC9" w:rsidRDefault="00B353CA" w:rsidP="00495FC1">
      <w:pPr>
        <w:pStyle w:val="Odstavecseseznamem"/>
        <w:numPr>
          <w:ilvl w:val="0"/>
          <w:numId w:val="58"/>
        </w:numPr>
      </w:pPr>
      <w:r>
        <w:t>z</w:t>
      </w:r>
      <w:r w:rsidR="00B049D0" w:rsidRPr="00897894">
        <w:t>nalostní portály - vytvoření uceleného znalostního systému nebezpečných chemických látek pro potřeby implementace nařízení CLP s ohledem na specifika GHS, TDG a</w:t>
      </w:r>
      <w:r>
        <w:t> </w:t>
      </w:r>
      <w:r w:rsidR="00B049D0" w:rsidRPr="00897894">
        <w:t>na</w:t>
      </w:r>
      <w:r>
        <w:t> </w:t>
      </w:r>
      <w:r w:rsidR="00B049D0" w:rsidRPr="00897894">
        <w:t>požadavky prevence závažných havárií</w:t>
      </w:r>
      <w:r>
        <w:t>,</w:t>
      </w:r>
    </w:p>
    <w:p w:rsidR="00674BC9" w:rsidRDefault="00B353CA" w:rsidP="00495FC1">
      <w:pPr>
        <w:pStyle w:val="Odstavecseseznamem"/>
        <w:numPr>
          <w:ilvl w:val="0"/>
          <w:numId w:val="58"/>
        </w:numPr>
      </w:pPr>
      <w:r>
        <w:t>i</w:t>
      </w:r>
      <w:r w:rsidR="00B049D0" w:rsidRPr="00897894">
        <w:t>nformační systémy pro podporu prevence závažných havárií</w:t>
      </w:r>
      <w:r>
        <w:t>,</w:t>
      </w:r>
    </w:p>
    <w:p w:rsidR="00674BC9" w:rsidRDefault="00B353CA" w:rsidP="00495FC1">
      <w:pPr>
        <w:pStyle w:val="Odstavecseseznamem"/>
        <w:numPr>
          <w:ilvl w:val="0"/>
          <w:numId w:val="58"/>
        </w:numPr>
      </w:pPr>
      <w:r>
        <w:t>v</w:t>
      </w:r>
      <w:r w:rsidR="00B049D0" w:rsidRPr="00897894">
        <w:t>ytvoření expertních center REACH pro hodnocení rizik chemických látek</w:t>
      </w:r>
      <w:r>
        <w:t>,</w:t>
      </w:r>
    </w:p>
    <w:p w:rsidR="00674BC9" w:rsidRDefault="00B049D0" w:rsidP="00495FC1">
      <w:pPr>
        <w:pStyle w:val="Odstavecseseznamem"/>
        <w:numPr>
          <w:ilvl w:val="0"/>
          <w:numId w:val="58"/>
        </w:numPr>
      </w:pPr>
      <w:r>
        <w:t>V</w:t>
      </w:r>
      <w:r w:rsidRPr="00897894">
        <w:t>ybavení pracoviště pro hodnocení rizik chemických látek</w:t>
      </w:r>
      <w:r>
        <w:t>.</w:t>
      </w:r>
    </w:p>
    <w:p w:rsidR="00BE7616" w:rsidRPr="004314F4" w:rsidRDefault="006A1538" w:rsidP="00B66FDE">
      <w:bookmarkStart w:id="2643" w:name="_Toc384907434"/>
      <w:r w:rsidRPr="004314F4">
        <w:t xml:space="preserve">Hlavní cílové skupiny: </w:t>
      </w:r>
      <w:r w:rsidR="00244D10" w:rsidRPr="004314F4">
        <w:t xml:space="preserve">Subjekty angažující se v oblasti </w:t>
      </w:r>
      <w:r w:rsidR="00386EC1">
        <w:t>omezování</w:t>
      </w:r>
      <w:r w:rsidR="00386EC1" w:rsidRPr="004314F4">
        <w:t xml:space="preserve"> </w:t>
      </w:r>
      <w:r w:rsidR="00244D10" w:rsidRPr="004314F4">
        <w:t>environmentálních rizik</w:t>
      </w:r>
      <w:bookmarkEnd w:id="2643"/>
    </w:p>
    <w:p w:rsidR="004B6C19" w:rsidRPr="004314F4" w:rsidRDefault="006A1538" w:rsidP="00B66FDE">
      <w:bookmarkStart w:id="2644" w:name="_Toc384907435"/>
      <w:r w:rsidRPr="004314F4">
        <w:t xml:space="preserve">Cílová území: území celé </w:t>
      </w:r>
      <w:r w:rsidR="0007549A">
        <w:t>České republiky</w:t>
      </w:r>
      <w:bookmarkEnd w:id="2644"/>
      <w:r w:rsidR="004A2843">
        <w:t>, mimo území hl. města Prahy.</w:t>
      </w:r>
    </w:p>
    <w:p w:rsidR="00C93845" w:rsidRPr="00B61266" w:rsidRDefault="0033290F" w:rsidP="00B66FDE">
      <w:pPr>
        <w:rPr>
          <w:b/>
        </w:rPr>
      </w:pPr>
      <w:r w:rsidRPr="0033290F">
        <w:rPr>
          <w:b/>
        </w:rPr>
        <w:t>Typy příjemců:</w:t>
      </w:r>
    </w:p>
    <w:p w:rsidR="00C93845" w:rsidRPr="00CA2D14" w:rsidRDefault="00C93845" w:rsidP="00C93845">
      <w:pPr>
        <w:spacing w:after="0" w:afterAutospacing="0"/>
      </w:pPr>
      <w:r w:rsidRPr="00CA2D14">
        <w:t>Právnické osoby</w:t>
      </w:r>
      <w:r w:rsidR="00B61266">
        <w:t xml:space="preserve"> (pouze indikativní výčet)</w:t>
      </w:r>
      <w:r w:rsidR="00B61266" w:rsidRPr="00FF3719">
        <w:t>:</w:t>
      </w:r>
      <w:r w:rsidRPr="00CA2D14">
        <w:t xml:space="preserve"> </w:t>
      </w:r>
    </w:p>
    <w:p w:rsidR="00C93845" w:rsidRPr="00CA2D14" w:rsidRDefault="00B61266" w:rsidP="00495FC1">
      <w:pPr>
        <w:pStyle w:val="Odstavecseseznamem"/>
        <w:numPr>
          <w:ilvl w:val="0"/>
          <w:numId w:val="105"/>
        </w:numPr>
        <w:spacing w:after="0" w:afterAutospacing="0"/>
        <w:jc w:val="left"/>
      </w:pPr>
      <w:r>
        <w:t>k</w:t>
      </w:r>
      <w:r w:rsidR="00C93845" w:rsidRPr="00CA2D14">
        <w:t>raje</w:t>
      </w:r>
      <w:r>
        <w:t>,</w:t>
      </w:r>
    </w:p>
    <w:p w:rsidR="00C93845" w:rsidRPr="00CA2D14" w:rsidRDefault="00C93845" w:rsidP="00495FC1">
      <w:pPr>
        <w:pStyle w:val="Odstavecseseznamem"/>
        <w:numPr>
          <w:ilvl w:val="0"/>
          <w:numId w:val="105"/>
        </w:numPr>
        <w:spacing w:after="0" w:afterAutospacing="0"/>
        <w:jc w:val="left"/>
      </w:pPr>
      <w:r w:rsidRPr="00CA2D14">
        <w:t>obce</w:t>
      </w:r>
      <w:r w:rsidR="00B61266">
        <w:t>,</w:t>
      </w:r>
    </w:p>
    <w:p w:rsidR="00C93845" w:rsidRPr="00CA2D14" w:rsidRDefault="00C93845" w:rsidP="00495FC1">
      <w:pPr>
        <w:pStyle w:val="Odstavecseseznamem"/>
        <w:numPr>
          <w:ilvl w:val="0"/>
          <w:numId w:val="105"/>
        </w:numPr>
        <w:spacing w:after="0" w:afterAutospacing="0"/>
        <w:jc w:val="left"/>
      </w:pPr>
      <w:r w:rsidRPr="00CA2D14">
        <w:t>dobrovolné svazky obcí</w:t>
      </w:r>
      <w:r w:rsidR="00B61266">
        <w:t>,</w:t>
      </w:r>
    </w:p>
    <w:p w:rsidR="00C93845" w:rsidRPr="00CA2D14" w:rsidRDefault="00C93845" w:rsidP="00495FC1">
      <w:pPr>
        <w:pStyle w:val="Odstavecseseznamem"/>
        <w:numPr>
          <w:ilvl w:val="0"/>
          <w:numId w:val="105"/>
        </w:numPr>
        <w:jc w:val="left"/>
      </w:pPr>
      <w:r w:rsidRPr="00CA2D14">
        <w:t>příspěvkové organizace</w:t>
      </w:r>
      <w:r w:rsidR="00B61266">
        <w:t>,</w:t>
      </w:r>
    </w:p>
    <w:p w:rsidR="00C93845" w:rsidRPr="00CA2D14" w:rsidRDefault="00C93845" w:rsidP="00495FC1">
      <w:pPr>
        <w:pStyle w:val="Odstavecseseznamem"/>
        <w:numPr>
          <w:ilvl w:val="0"/>
          <w:numId w:val="105"/>
        </w:numPr>
        <w:jc w:val="left"/>
      </w:pPr>
      <w:r w:rsidRPr="00CA2D14">
        <w:t>státní podniky</w:t>
      </w:r>
      <w:r w:rsidR="00B61266">
        <w:t>,</w:t>
      </w:r>
    </w:p>
    <w:p w:rsidR="00C93845" w:rsidRPr="00CA2D14" w:rsidRDefault="00C93845" w:rsidP="00495FC1">
      <w:pPr>
        <w:pStyle w:val="Odstavecseseznamem"/>
        <w:numPr>
          <w:ilvl w:val="0"/>
          <w:numId w:val="105"/>
        </w:numPr>
        <w:jc w:val="left"/>
      </w:pPr>
      <w:r w:rsidRPr="00CA2D14">
        <w:t>spolky</w:t>
      </w:r>
      <w:r w:rsidR="00B61266">
        <w:t>,</w:t>
      </w:r>
    </w:p>
    <w:p w:rsidR="00C93845" w:rsidRPr="00CA2D14" w:rsidRDefault="00C93845" w:rsidP="00495FC1">
      <w:pPr>
        <w:pStyle w:val="Odstavecseseznamem"/>
        <w:numPr>
          <w:ilvl w:val="0"/>
          <w:numId w:val="105"/>
        </w:numPr>
        <w:jc w:val="left"/>
      </w:pPr>
      <w:r w:rsidRPr="00CA2D14">
        <w:t>organizační složky státu</w:t>
      </w:r>
      <w:r w:rsidR="00B61266">
        <w:t>,</w:t>
      </w:r>
    </w:p>
    <w:p w:rsidR="00C93845" w:rsidRPr="00CA2D14" w:rsidRDefault="00B61266" w:rsidP="00495FC1">
      <w:pPr>
        <w:pStyle w:val="Odstavecseseznamem"/>
        <w:numPr>
          <w:ilvl w:val="0"/>
          <w:numId w:val="105"/>
        </w:numPr>
        <w:jc w:val="left"/>
      </w:pPr>
      <w:r>
        <w:t>podnikatelské subjekty</w:t>
      </w:r>
      <w:r w:rsidR="00C93845" w:rsidRPr="00CA2D14">
        <w:t>.</w:t>
      </w:r>
    </w:p>
    <w:p w:rsidR="00C93845" w:rsidRPr="004314F4" w:rsidRDefault="00C93845" w:rsidP="00B66FDE">
      <w:r w:rsidRPr="00CA2D14">
        <w:rPr>
          <w:rFonts w:eastAsia="Times New Roman" w:cs="Arial"/>
        </w:rPr>
        <w:t>Pozn.: Okruh příjemců bude dále podrobněji definován v navazující dokumentaci.</w:t>
      </w:r>
    </w:p>
    <w:p w:rsidR="00574DA1" w:rsidRDefault="0030075C" w:rsidP="00165854">
      <w:pPr>
        <w:pStyle w:val="Nadpis5"/>
      </w:pPr>
      <w:bookmarkStart w:id="2645" w:name="_Toc392151032"/>
      <w:r>
        <w:lastRenderedPageBreak/>
        <w:t>Hlavní zásady</w:t>
      </w:r>
      <w:r w:rsidR="007714F3" w:rsidRPr="004314F4">
        <w:t xml:space="preserve"> pro výběr operací</w:t>
      </w:r>
      <w:bookmarkEnd w:id="2645"/>
    </w:p>
    <w:p w:rsidR="00280760" w:rsidRPr="00712789" w:rsidRDefault="00280760" w:rsidP="008173D6">
      <w:r>
        <w:rPr>
          <w:b/>
          <w:color w:val="FF0000"/>
        </w:rPr>
        <w:t> </w:t>
      </w:r>
      <w:r w:rsidRPr="00712789">
        <w:rPr>
          <w:rFonts w:cs="Times New Roman"/>
        </w:rPr>
        <w:t xml:space="preserve">Výběr projektů bude probíhat v souladu se závazným metodickým pokynem MMR pro řízení výzev, hodnocení a výběr projektů v programovém období 2014-2020. </w:t>
      </w:r>
    </w:p>
    <w:p w:rsidR="00280760" w:rsidRPr="00712789" w:rsidRDefault="00280760" w:rsidP="008173D6">
      <w:r w:rsidRPr="00712789">
        <w:rPr>
          <w:rFonts w:cs="Times New Roman"/>
        </w:rPr>
        <w:t>Projekty budou hodnoceny a vybírány odbornými hodnotiteli podle kritérií pro výběr projektů, která schválí Monitorovací výbor OPŽP.</w:t>
      </w:r>
      <w:r w:rsidR="000E7758">
        <w:rPr>
          <w:rFonts w:cs="Times New Roman"/>
        </w:rPr>
        <w:t xml:space="preserve"> </w:t>
      </w:r>
      <w:r w:rsidR="0033290F" w:rsidRPr="0033290F">
        <w:t>Podporovány budou pouze projekty plně respektující princip „znečišťovatel platí“ vycházející ze Směrnice Evropského parlamentu</w:t>
      </w:r>
      <w:r w:rsidR="0033290F" w:rsidRPr="0033290F">
        <w:br/>
        <w:t>a Rady </w:t>
      </w:r>
      <w:hyperlink r:id="rId18" w:tgtFrame="_blank" w:tooltip="2004/35/ES" w:history="1">
        <w:r w:rsidR="0033290F" w:rsidRPr="0033290F">
          <w:t>2004/35/ES</w:t>
        </w:r>
      </w:hyperlink>
      <w:r w:rsidR="0033290F" w:rsidRPr="0033290F">
        <w:t xml:space="preserve"> o odpovědnosti za životní prostředí v souvislosti s prevencí a nápravou škod na životním prostředí</w:t>
      </w:r>
      <w:r w:rsidR="00130F8E">
        <w:t xml:space="preserve">, </w:t>
      </w:r>
      <w:r w:rsidR="00130F8E" w:rsidRPr="004B6C19">
        <w:rPr>
          <w:rFonts w:cs="Arial"/>
          <w:bCs/>
          <w:szCs w:val="24"/>
        </w:rPr>
        <w:t xml:space="preserve">a </w:t>
      </w:r>
      <w:r w:rsidR="00130F8E" w:rsidRPr="004B6C19">
        <w:rPr>
          <w:rFonts w:cs="Arial"/>
          <w:szCs w:val="24"/>
        </w:rPr>
        <w:t>zákona 167/2008 Sb. o předcházení ekologické újmě a o její nápravě a o změně některých zákonů</w:t>
      </w:r>
      <w:r w:rsidR="001F0174" w:rsidRPr="004B6C19">
        <w:t>.</w:t>
      </w:r>
    </w:p>
    <w:p w:rsidR="00280760" w:rsidRPr="00712789" w:rsidRDefault="00280760" w:rsidP="008173D6">
      <w:r w:rsidRPr="00712789">
        <w:rPr>
          <w:rFonts w:cs="Times New Roman"/>
        </w:rPr>
        <w:t>Při hodnocení a výběru projektů budou posuzována zejména kritéria ekolog</w:t>
      </w:r>
      <w:r w:rsidR="005C72FC">
        <w:rPr>
          <w:rFonts w:cs="Times New Roman"/>
        </w:rPr>
        <w:t>ická, technická a ekonomická. Vždy</w:t>
      </w:r>
      <w:r w:rsidRPr="00712789">
        <w:rPr>
          <w:rFonts w:cs="Times New Roman"/>
        </w:rPr>
        <w:t xml:space="preserve"> bude posuzován soul</w:t>
      </w:r>
      <w:r w:rsidR="00B61266">
        <w:rPr>
          <w:rFonts w:cs="Times New Roman"/>
        </w:rPr>
        <w:t>ad s příslušnými strategiemi na </w:t>
      </w:r>
      <w:r w:rsidR="000D4BCA">
        <w:rPr>
          <w:rFonts w:cs="Times New Roman"/>
        </w:rPr>
        <w:t>evropské, národní a </w:t>
      </w:r>
      <w:r w:rsidRPr="00712789">
        <w:rPr>
          <w:rFonts w:cs="Times New Roman"/>
        </w:rPr>
        <w:t>regionální úrovni.</w:t>
      </w:r>
    </w:p>
    <w:p w:rsidR="00280760" w:rsidRPr="00712789" w:rsidRDefault="00280760" w:rsidP="008173D6">
      <w:r w:rsidRPr="00712789">
        <w:rPr>
          <w:rFonts w:cs="Times New Roman"/>
        </w:rPr>
        <w:t>Při hodnocení a výběru projektů bude posuzována rovněž problematika horizontálních témat (rovné příležitosti a nediskriminace, rovnost žen a mužů a udržitelný rozvoj). Projekt, u kterého bude identifikován negativní dopad na uvedená horizontální témata, nebude moci být podpořen z prostředků OPŽP.</w:t>
      </w:r>
    </w:p>
    <w:p w:rsidR="00280760" w:rsidRPr="00712789" w:rsidRDefault="00280760" w:rsidP="008173D6">
      <w:pPr>
        <w:pStyle w:val="Odstavecseseznamem"/>
        <w:ind w:left="0"/>
      </w:pPr>
      <w:r w:rsidRPr="00712789">
        <w:rPr>
          <w:rFonts w:cs="Times New Roman"/>
        </w:rPr>
        <w:t>Podrobné informace o kritériích pro výběr projektů k podpoře budou uvedeny v návazné řídící dokumentaci.</w:t>
      </w:r>
    </w:p>
    <w:p w:rsidR="007714F3" w:rsidRDefault="007714F3" w:rsidP="00165854">
      <w:pPr>
        <w:pStyle w:val="Nadpis5"/>
      </w:pPr>
      <w:bookmarkStart w:id="2646" w:name="_Toc391014885"/>
      <w:bookmarkStart w:id="2647" w:name="_Toc391016036"/>
      <w:bookmarkStart w:id="2648" w:name="_Toc391016985"/>
      <w:bookmarkStart w:id="2649" w:name="_Toc391018098"/>
      <w:bookmarkStart w:id="2650" w:name="_Toc391019210"/>
      <w:bookmarkStart w:id="2651" w:name="_Toc391014886"/>
      <w:bookmarkStart w:id="2652" w:name="_Toc391016037"/>
      <w:bookmarkStart w:id="2653" w:name="_Toc391016986"/>
      <w:bookmarkStart w:id="2654" w:name="_Toc391018099"/>
      <w:bookmarkStart w:id="2655" w:name="_Toc391019211"/>
      <w:bookmarkStart w:id="2656" w:name="_Toc391014887"/>
      <w:bookmarkStart w:id="2657" w:name="_Toc391016038"/>
      <w:bookmarkStart w:id="2658" w:name="_Toc391016987"/>
      <w:bookmarkStart w:id="2659" w:name="_Toc391018100"/>
      <w:bookmarkStart w:id="2660" w:name="_Toc391019212"/>
      <w:bookmarkStart w:id="2661" w:name="_Toc391014888"/>
      <w:bookmarkStart w:id="2662" w:name="_Toc391016039"/>
      <w:bookmarkStart w:id="2663" w:name="_Toc391016988"/>
      <w:bookmarkStart w:id="2664" w:name="_Toc391018101"/>
      <w:bookmarkStart w:id="2665" w:name="_Toc391019213"/>
      <w:bookmarkStart w:id="2666" w:name="_Toc391014889"/>
      <w:bookmarkStart w:id="2667" w:name="_Toc391016040"/>
      <w:bookmarkStart w:id="2668" w:name="_Toc391016989"/>
      <w:bookmarkStart w:id="2669" w:name="_Toc391018102"/>
      <w:bookmarkStart w:id="2670" w:name="_Toc391019214"/>
      <w:bookmarkStart w:id="2671" w:name="_Toc391014890"/>
      <w:bookmarkStart w:id="2672" w:name="_Toc391016041"/>
      <w:bookmarkStart w:id="2673" w:name="_Toc391016990"/>
      <w:bookmarkStart w:id="2674" w:name="_Toc391018103"/>
      <w:bookmarkStart w:id="2675" w:name="_Toc391019215"/>
      <w:bookmarkStart w:id="2676" w:name="_Toc391014891"/>
      <w:bookmarkStart w:id="2677" w:name="_Toc391016042"/>
      <w:bookmarkStart w:id="2678" w:name="_Toc391016991"/>
      <w:bookmarkStart w:id="2679" w:name="_Toc391018104"/>
      <w:bookmarkStart w:id="2680" w:name="_Toc391019216"/>
      <w:bookmarkStart w:id="2681" w:name="_Toc391014892"/>
      <w:bookmarkStart w:id="2682" w:name="_Toc391016043"/>
      <w:bookmarkStart w:id="2683" w:name="_Toc391016992"/>
      <w:bookmarkStart w:id="2684" w:name="_Toc391018105"/>
      <w:bookmarkStart w:id="2685" w:name="_Toc391019217"/>
      <w:bookmarkStart w:id="2686" w:name="_Toc391014893"/>
      <w:bookmarkStart w:id="2687" w:name="_Toc391016044"/>
      <w:bookmarkStart w:id="2688" w:name="_Toc391016993"/>
      <w:bookmarkStart w:id="2689" w:name="_Toc391018106"/>
      <w:bookmarkStart w:id="2690" w:name="_Toc391019218"/>
      <w:bookmarkStart w:id="2691" w:name="_Toc391014894"/>
      <w:bookmarkStart w:id="2692" w:name="_Toc391016045"/>
      <w:bookmarkStart w:id="2693" w:name="_Toc391016994"/>
      <w:bookmarkStart w:id="2694" w:name="_Toc391018107"/>
      <w:bookmarkStart w:id="2695" w:name="_Toc391019219"/>
      <w:bookmarkStart w:id="2696" w:name="_Toc391014896"/>
      <w:bookmarkStart w:id="2697" w:name="_Toc391016047"/>
      <w:bookmarkStart w:id="2698" w:name="_Toc391016996"/>
      <w:bookmarkStart w:id="2699" w:name="_Toc391018109"/>
      <w:bookmarkStart w:id="2700" w:name="_Toc391019221"/>
      <w:bookmarkStart w:id="2701" w:name="_Toc391014897"/>
      <w:bookmarkStart w:id="2702" w:name="_Toc391016048"/>
      <w:bookmarkStart w:id="2703" w:name="_Toc391016997"/>
      <w:bookmarkStart w:id="2704" w:name="_Toc391018110"/>
      <w:bookmarkStart w:id="2705" w:name="_Toc391019222"/>
      <w:bookmarkStart w:id="2706" w:name="_Toc391014898"/>
      <w:bookmarkStart w:id="2707" w:name="_Toc391016049"/>
      <w:bookmarkStart w:id="2708" w:name="_Toc391016998"/>
      <w:bookmarkStart w:id="2709" w:name="_Toc391018111"/>
      <w:bookmarkStart w:id="2710" w:name="_Toc391019223"/>
      <w:bookmarkStart w:id="2711" w:name="_Toc391014899"/>
      <w:bookmarkStart w:id="2712" w:name="_Toc391016050"/>
      <w:bookmarkStart w:id="2713" w:name="_Toc391016999"/>
      <w:bookmarkStart w:id="2714" w:name="_Toc391018112"/>
      <w:bookmarkStart w:id="2715" w:name="_Toc391019224"/>
      <w:bookmarkStart w:id="2716" w:name="_Toc391014901"/>
      <w:bookmarkStart w:id="2717" w:name="_Toc391016052"/>
      <w:bookmarkStart w:id="2718" w:name="_Toc391017001"/>
      <w:bookmarkStart w:id="2719" w:name="_Toc391018114"/>
      <w:bookmarkStart w:id="2720" w:name="_Toc391019226"/>
      <w:bookmarkStart w:id="2721" w:name="_Toc391014902"/>
      <w:bookmarkStart w:id="2722" w:name="_Toc391016053"/>
      <w:bookmarkStart w:id="2723" w:name="_Toc391017002"/>
      <w:bookmarkStart w:id="2724" w:name="_Toc391018115"/>
      <w:bookmarkStart w:id="2725" w:name="_Toc391019227"/>
      <w:bookmarkStart w:id="2726" w:name="_Toc391014903"/>
      <w:bookmarkStart w:id="2727" w:name="_Toc391016054"/>
      <w:bookmarkStart w:id="2728" w:name="_Toc391017003"/>
      <w:bookmarkStart w:id="2729" w:name="_Toc391018116"/>
      <w:bookmarkStart w:id="2730" w:name="_Toc391019228"/>
      <w:bookmarkStart w:id="2731" w:name="_Toc392151033"/>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r w:rsidRPr="004314F4">
        <w:t>Plánované využití finančních nástrojů</w:t>
      </w:r>
      <w:bookmarkEnd w:id="2731"/>
    </w:p>
    <w:p w:rsidR="00EE6E5D" w:rsidRPr="00EE6E5D" w:rsidRDefault="00EE6E5D" w:rsidP="00B66FDE">
      <w:r>
        <w:t>V současné chvíli se využití finančních nástrojů v rámci tohoto specifického cíle neuvažuje.</w:t>
      </w:r>
    </w:p>
    <w:p w:rsidR="007714F3" w:rsidRDefault="0030075C" w:rsidP="00165854">
      <w:pPr>
        <w:pStyle w:val="Nadpis5"/>
      </w:pPr>
      <w:bookmarkStart w:id="2732" w:name="_Toc392151034"/>
      <w:r>
        <w:t>Plánované využití</w:t>
      </w:r>
      <w:r w:rsidRPr="004314F4">
        <w:t xml:space="preserve"> </w:t>
      </w:r>
      <w:r w:rsidR="007714F3" w:rsidRPr="004314F4">
        <w:t>velkých projektů</w:t>
      </w:r>
      <w:bookmarkEnd w:id="2732"/>
      <w:r w:rsidR="007714F3" w:rsidRPr="004314F4">
        <w:t xml:space="preserve"> </w:t>
      </w:r>
    </w:p>
    <w:p w:rsidR="001A7CDE" w:rsidRPr="007A7720" w:rsidRDefault="007A7720" w:rsidP="00B66FDE">
      <w:r w:rsidRPr="004314F4">
        <w:t>V</w:t>
      </w:r>
      <w:r>
        <w:t> rámci specifického cíle 3.</w:t>
      </w:r>
      <w:r w:rsidR="00834875">
        <w:t xml:space="preserve">5 </w:t>
      </w:r>
      <w:r w:rsidRPr="004314F4">
        <w:t>se nepředpokládá financování žádného velkého projektu.</w:t>
      </w:r>
    </w:p>
    <w:p w:rsidR="001B0121" w:rsidRPr="004314F4" w:rsidRDefault="0030075C" w:rsidP="00165854">
      <w:pPr>
        <w:pStyle w:val="Nadpis5"/>
      </w:pPr>
      <w:bookmarkStart w:id="2733" w:name="_Toc392151035"/>
      <w:r>
        <w:t>Ukazatele výstupů podle investiční priority</w:t>
      </w:r>
      <w:r w:rsidR="000D311F">
        <w:t xml:space="preserve"> </w:t>
      </w:r>
      <w:r>
        <w:t>a případně podle kategorie regionů</w:t>
      </w:r>
      <w:bookmarkEnd w:id="2733"/>
    </w:p>
    <w:p w:rsidR="001B0121" w:rsidRPr="004314F4" w:rsidRDefault="00181852" w:rsidP="00165854">
      <w:pPr>
        <w:pStyle w:val="Titulek"/>
      </w:pPr>
      <w:bookmarkStart w:id="2734" w:name="_Toc384907440"/>
      <w:r w:rsidRPr="004314F4">
        <w:t xml:space="preserve">Společné a specifické </w:t>
      </w:r>
      <w:r w:rsidR="00334B43">
        <w:t xml:space="preserve">programové </w:t>
      </w:r>
      <w:r w:rsidR="0030075C">
        <w:t>ukazatele</w:t>
      </w:r>
      <w:r w:rsidR="0030075C" w:rsidRPr="004314F4">
        <w:t xml:space="preserve"> </w:t>
      </w:r>
      <w:r w:rsidRPr="004314F4">
        <w:t>výstup</w:t>
      </w:r>
      <w:r w:rsidR="0030075C">
        <w:t>ů</w:t>
      </w:r>
      <w:r w:rsidRPr="004314F4">
        <w:t xml:space="preserve"> SC 3.</w:t>
      </w:r>
      <w:r w:rsidR="00834875">
        <w:t>5</w:t>
      </w:r>
      <w:bookmarkEnd w:id="2734"/>
    </w:p>
    <w:tbl>
      <w:tblPr>
        <w:tblStyle w:val="Mkatabulky"/>
        <w:tblW w:w="9180" w:type="dxa"/>
        <w:tblLayout w:type="fixed"/>
        <w:tblLook w:val="04A0" w:firstRow="1" w:lastRow="0" w:firstColumn="1" w:lastColumn="0" w:noHBand="0" w:noVBand="1"/>
      </w:tblPr>
      <w:tblGrid>
        <w:gridCol w:w="675"/>
        <w:gridCol w:w="1511"/>
        <w:gridCol w:w="1424"/>
        <w:gridCol w:w="751"/>
        <w:gridCol w:w="1134"/>
        <w:gridCol w:w="1417"/>
        <w:gridCol w:w="851"/>
        <w:gridCol w:w="1417"/>
      </w:tblGrid>
      <w:tr w:rsidR="00334B43" w:rsidRPr="009D7658" w:rsidTr="00B271F1">
        <w:tc>
          <w:tcPr>
            <w:tcW w:w="675" w:type="dxa"/>
            <w:tcBorders>
              <w:bottom w:val="single" w:sz="12" w:space="0" w:color="auto"/>
            </w:tcBorders>
            <w:shd w:val="clear" w:color="auto" w:fill="BFBFBF" w:themeFill="background1" w:themeFillShade="BF"/>
          </w:tcPr>
          <w:p w:rsidR="00334B43" w:rsidRPr="003A2CB2" w:rsidRDefault="00334B43" w:rsidP="00B66FDE">
            <w:pPr>
              <w:rPr>
                <w:b/>
                <w:sz w:val="20"/>
                <w:szCs w:val="20"/>
              </w:rPr>
            </w:pPr>
            <w:r w:rsidRPr="003A2CB2">
              <w:rPr>
                <w:b/>
                <w:sz w:val="20"/>
                <w:szCs w:val="20"/>
              </w:rPr>
              <w:t xml:space="preserve">ID </w:t>
            </w:r>
          </w:p>
        </w:tc>
        <w:tc>
          <w:tcPr>
            <w:tcW w:w="1511" w:type="dxa"/>
            <w:tcBorders>
              <w:bottom w:val="single" w:sz="12" w:space="0" w:color="auto"/>
            </w:tcBorders>
            <w:shd w:val="clear" w:color="auto" w:fill="BFBFBF" w:themeFill="background1" w:themeFillShade="BF"/>
          </w:tcPr>
          <w:p w:rsidR="00334B43" w:rsidRPr="003A2CB2" w:rsidRDefault="0033290F" w:rsidP="00B66FDE">
            <w:pPr>
              <w:spacing w:line="276" w:lineRule="auto"/>
              <w:rPr>
                <w:b/>
                <w:sz w:val="20"/>
                <w:szCs w:val="20"/>
              </w:rPr>
            </w:pPr>
            <w:r w:rsidRPr="0033290F">
              <w:rPr>
                <w:b/>
                <w:sz w:val="20"/>
                <w:szCs w:val="20"/>
              </w:rPr>
              <w:t>Ukazatel</w:t>
            </w:r>
          </w:p>
        </w:tc>
        <w:tc>
          <w:tcPr>
            <w:tcW w:w="1424" w:type="dxa"/>
            <w:tcBorders>
              <w:bottom w:val="single" w:sz="12" w:space="0" w:color="auto"/>
            </w:tcBorders>
            <w:shd w:val="clear" w:color="auto" w:fill="BFBFBF" w:themeFill="background1" w:themeFillShade="BF"/>
          </w:tcPr>
          <w:p w:rsidR="00334B43" w:rsidRPr="003A2CB2" w:rsidRDefault="0033290F" w:rsidP="00B66FDE">
            <w:pPr>
              <w:spacing w:line="276" w:lineRule="auto"/>
              <w:rPr>
                <w:b/>
                <w:sz w:val="20"/>
                <w:szCs w:val="20"/>
              </w:rPr>
            </w:pPr>
            <w:r w:rsidRPr="0033290F">
              <w:rPr>
                <w:b/>
                <w:sz w:val="20"/>
                <w:szCs w:val="20"/>
              </w:rPr>
              <w:t>Měrná jednotka</w:t>
            </w:r>
          </w:p>
        </w:tc>
        <w:tc>
          <w:tcPr>
            <w:tcW w:w="751" w:type="dxa"/>
            <w:tcBorders>
              <w:bottom w:val="single" w:sz="12" w:space="0" w:color="auto"/>
            </w:tcBorders>
            <w:shd w:val="clear" w:color="auto" w:fill="BFBFBF" w:themeFill="background1" w:themeFillShade="BF"/>
          </w:tcPr>
          <w:p w:rsidR="00334B43" w:rsidRPr="003A2CB2" w:rsidRDefault="0033290F" w:rsidP="00B66FDE">
            <w:pPr>
              <w:spacing w:line="276" w:lineRule="auto"/>
              <w:rPr>
                <w:b/>
                <w:sz w:val="20"/>
                <w:szCs w:val="20"/>
              </w:rPr>
            </w:pPr>
            <w:r w:rsidRPr="0033290F">
              <w:rPr>
                <w:b/>
                <w:sz w:val="20"/>
                <w:szCs w:val="20"/>
              </w:rPr>
              <w:t>Fond</w:t>
            </w:r>
          </w:p>
        </w:tc>
        <w:tc>
          <w:tcPr>
            <w:tcW w:w="1134" w:type="dxa"/>
            <w:tcBorders>
              <w:bottom w:val="single" w:sz="12" w:space="0" w:color="auto"/>
            </w:tcBorders>
            <w:shd w:val="clear" w:color="auto" w:fill="BFBFBF" w:themeFill="background1" w:themeFillShade="BF"/>
          </w:tcPr>
          <w:p w:rsidR="00334B43" w:rsidRPr="003A2CB2" w:rsidRDefault="0033290F" w:rsidP="00B66FDE">
            <w:pPr>
              <w:spacing w:line="276" w:lineRule="auto"/>
              <w:rPr>
                <w:b/>
                <w:sz w:val="20"/>
                <w:szCs w:val="20"/>
              </w:rPr>
            </w:pPr>
            <w:r w:rsidRPr="0033290F">
              <w:rPr>
                <w:b/>
                <w:sz w:val="20"/>
                <w:szCs w:val="20"/>
              </w:rPr>
              <w:t>Kategorie regionů</w:t>
            </w:r>
          </w:p>
        </w:tc>
        <w:tc>
          <w:tcPr>
            <w:tcW w:w="1417" w:type="dxa"/>
            <w:tcBorders>
              <w:bottom w:val="single" w:sz="12" w:space="0" w:color="auto"/>
            </w:tcBorders>
            <w:shd w:val="clear" w:color="auto" w:fill="BFBFBF" w:themeFill="background1" w:themeFillShade="BF"/>
          </w:tcPr>
          <w:p w:rsidR="00334B43" w:rsidRPr="003A2CB2" w:rsidRDefault="0033290F" w:rsidP="00B66FDE">
            <w:pPr>
              <w:spacing w:line="276" w:lineRule="auto"/>
              <w:rPr>
                <w:b/>
                <w:sz w:val="20"/>
                <w:szCs w:val="20"/>
              </w:rPr>
            </w:pPr>
            <w:r w:rsidRPr="0033290F">
              <w:rPr>
                <w:b/>
                <w:sz w:val="20"/>
                <w:szCs w:val="20"/>
              </w:rPr>
              <w:t>Cílová hodnota (2023)</w:t>
            </w:r>
          </w:p>
        </w:tc>
        <w:tc>
          <w:tcPr>
            <w:tcW w:w="851" w:type="dxa"/>
            <w:tcBorders>
              <w:bottom w:val="single" w:sz="12" w:space="0" w:color="auto"/>
            </w:tcBorders>
            <w:shd w:val="clear" w:color="auto" w:fill="BFBFBF" w:themeFill="background1" w:themeFillShade="BF"/>
          </w:tcPr>
          <w:p w:rsidR="00334B43" w:rsidRPr="003A2CB2" w:rsidRDefault="0033290F" w:rsidP="00B66FDE">
            <w:pPr>
              <w:spacing w:line="276" w:lineRule="auto"/>
              <w:rPr>
                <w:b/>
                <w:sz w:val="20"/>
                <w:szCs w:val="20"/>
              </w:rPr>
            </w:pPr>
            <w:r w:rsidRPr="0033290F">
              <w:rPr>
                <w:b/>
                <w:sz w:val="20"/>
                <w:szCs w:val="20"/>
              </w:rPr>
              <w:t>Zdroj údajů</w:t>
            </w:r>
          </w:p>
        </w:tc>
        <w:tc>
          <w:tcPr>
            <w:tcW w:w="1417" w:type="dxa"/>
            <w:tcBorders>
              <w:bottom w:val="single" w:sz="12" w:space="0" w:color="auto"/>
            </w:tcBorders>
            <w:shd w:val="clear" w:color="auto" w:fill="BFBFBF" w:themeFill="background1" w:themeFillShade="BF"/>
          </w:tcPr>
          <w:p w:rsidR="00334B43" w:rsidRPr="003A2CB2" w:rsidRDefault="0033290F" w:rsidP="00B66FDE">
            <w:pPr>
              <w:spacing w:line="276" w:lineRule="auto"/>
              <w:rPr>
                <w:b/>
                <w:sz w:val="20"/>
                <w:szCs w:val="20"/>
              </w:rPr>
            </w:pPr>
            <w:r w:rsidRPr="0033290F">
              <w:rPr>
                <w:b/>
                <w:sz w:val="20"/>
                <w:szCs w:val="20"/>
              </w:rPr>
              <w:t>Četnost podávání zpráv</w:t>
            </w:r>
          </w:p>
        </w:tc>
      </w:tr>
      <w:tr w:rsidR="00334B43" w:rsidRPr="009D7658" w:rsidTr="00B271F1">
        <w:tc>
          <w:tcPr>
            <w:tcW w:w="675" w:type="dxa"/>
            <w:tcBorders>
              <w:top w:val="single" w:sz="12" w:space="0" w:color="auto"/>
            </w:tcBorders>
          </w:tcPr>
          <w:p w:rsidR="00334B43" w:rsidRPr="003A2CB2" w:rsidRDefault="00195455" w:rsidP="00B66FDE">
            <w:pPr>
              <w:rPr>
                <w:sz w:val="20"/>
                <w:szCs w:val="20"/>
              </w:rPr>
            </w:pPr>
            <w:r>
              <w:rPr>
                <w:sz w:val="20"/>
                <w:szCs w:val="20"/>
              </w:rPr>
              <w:t>409</w:t>
            </w:r>
            <w:r w:rsidRPr="00195455">
              <w:rPr>
                <w:sz w:val="20"/>
                <w:szCs w:val="20"/>
              </w:rPr>
              <w:t>02</w:t>
            </w:r>
          </w:p>
        </w:tc>
        <w:tc>
          <w:tcPr>
            <w:tcW w:w="1511" w:type="dxa"/>
            <w:tcBorders>
              <w:top w:val="single" w:sz="12" w:space="0" w:color="auto"/>
            </w:tcBorders>
          </w:tcPr>
          <w:p w:rsidR="00334B43" w:rsidRPr="003A2CB2" w:rsidRDefault="0033290F" w:rsidP="001264A3">
            <w:pPr>
              <w:spacing w:line="276" w:lineRule="auto"/>
              <w:rPr>
                <w:rFonts w:asciiTheme="majorHAnsi" w:hAnsiTheme="majorHAnsi"/>
                <w:sz w:val="20"/>
                <w:szCs w:val="20"/>
              </w:rPr>
            </w:pPr>
            <w:r w:rsidRPr="0033290F">
              <w:rPr>
                <w:rFonts w:asciiTheme="majorHAnsi" w:hAnsiTheme="majorHAnsi" w:cstheme="minorHAnsi"/>
                <w:sz w:val="20"/>
                <w:szCs w:val="20"/>
              </w:rPr>
              <w:t>Vybudovaná nebo rekonstruovaná zařízení</w:t>
            </w:r>
          </w:p>
        </w:tc>
        <w:tc>
          <w:tcPr>
            <w:tcW w:w="1424" w:type="dxa"/>
            <w:tcBorders>
              <w:top w:val="single" w:sz="12" w:space="0" w:color="auto"/>
            </w:tcBorders>
            <w:vAlign w:val="center"/>
          </w:tcPr>
          <w:p w:rsidR="00334B43" w:rsidRPr="003A2CB2" w:rsidRDefault="0033290F" w:rsidP="001264A3">
            <w:pPr>
              <w:spacing w:line="276" w:lineRule="auto"/>
              <w:rPr>
                <w:sz w:val="20"/>
                <w:szCs w:val="20"/>
              </w:rPr>
            </w:pPr>
            <w:r w:rsidRPr="0033290F">
              <w:rPr>
                <w:sz w:val="20"/>
                <w:szCs w:val="20"/>
              </w:rPr>
              <w:t>zařízení</w:t>
            </w:r>
          </w:p>
        </w:tc>
        <w:tc>
          <w:tcPr>
            <w:tcW w:w="751" w:type="dxa"/>
            <w:tcBorders>
              <w:top w:val="single" w:sz="12" w:space="0" w:color="auto"/>
            </w:tcBorders>
            <w:vAlign w:val="center"/>
          </w:tcPr>
          <w:p w:rsidR="00334B43" w:rsidRPr="003A2CB2" w:rsidRDefault="0033290F" w:rsidP="00B66FDE">
            <w:pPr>
              <w:spacing w:line="276" w:lineRule="auto"/>
              <w:rPr>
                <w:sz w:val="20"/>
                <w:szCs w:val="20"/>
              </w:rPr>
            </w:pPr>
            <w:r w:rsidRPr="0033290F">
              <w:rPr>
                <w:sz w:val="20"/>
                <w:szCs w:val="20"/>
              </w:rPr>
              <w:t>EFRR</w:t>
            </w:r>
          </w:p>
        </w:tc>
        <w:tc>
          <w:tcPr>
            <w:tcW w:w="1134" w:type="dxa"/>
            <w:tcBorders>
              <w:top w:val="single" w:sz="12" w:space="0" w:color="auto"/>
            </w:tcBorders>
            <w:vAlign w:val="center"/>
          </w:tcPr>
          <w:p w:rsidR="00334B43" w:rsidRPr="003A2CB2" w:rsidRDefault="0033290F" w:rsidP="00C5373F">
            <w:pPr>
              <w:spacing w:line="276" w:lineRule="auto"/>
              <w:rPr>
                <w:sz w:val="20"/>
                <w:szCs w:val="20"/>
              </w:rPr>
            </w:pPr>
            <w:r w:rsidRPr="0033290F">
              <w:rPr>
                <w:sz w:val="20"/>
                <w:szCs w:val="20"/>
              </w:rPr>
              <w:t>Méně rozvinuté regiony</w:t>
            </w:r>
          </w:p>
        </w:tc>
        <w:tc>
          <w:tcPr>
            <w:tcW w:w="1417" w:type="dxa"/>
            <w:tcBorders>
              <w:top w:val="single" w:sz="12" w:space="0" w:color="auto"/>
            </w:tcBorders>
            <w:vAlign w:val="center"/>
          </w:tcPr>
          <w:p w:rsidR="00334B43" w:rsidRPr="003A2CB2" w:rsidRDefault="0033290F" w:rsidP="00B66FDE">
            <w:pPr>
              <w:spacing w:line="276" w:lineRule="auto"/>
              <w:rPr>
                <w:sz w:val="20"/>
                <w:szCs w:val="20"/>
              </w:rPr>
            </w:pPr>
            <w:r w:rsidRPr="0033290F">
              <w:rPr>
                <w:sz w:val="20"/>
                <w:szCs w:val="20"/>
              </w:rPr>
              <w:t>50</w:t>
            </w:r>
          </w:p>
        </w:tc>
        <w:tc>
          <w:tcPr>
            <w:tcW w:w="851" w:type="dxa"/>
            <w:tcBorders>
              <w:top w:val="single" w:sz="12" w:space="0" w:color="auto"/>
            </w:tcBorders>
            <w:vAlign w:val="center"/>
          </w:tcPr>
          <w:p w:rsidR="00334B43" w:rsidRPr="003A2CB2" w:rsidRDefault="0033290F" w:rsidP="00B66FDE">
            <w:pPr>
              <w:spacing w:line="276" w:lineRule="auto"/>
              <w:rPr>
                <w:sz w:val="20"/>
                <w:szCs w:val="20"/>
              </w:rPr>
            </w:pPr>
            <w:r w:rsidRPr="0033290F">
              <w:rPr>
                <w:sz w:val="20"/>
                <w:szCs w:val="20"/>
              </w:rPr>
              <w:t>žadatel/příjemce</w:t>
            </w:r>
          </w:p>
        </w:tc>
        <w:tc>
          <w:tcPr>
            <w:tcW w:w="1417" w:type="dxa"/>
            <w:tcBorders>
              <w:top w:val="single" w:sz="12" w:space="0" w:color="auto"/>
            </w:tcBorders>
            <w:vAlign w:val="center"/>
          </w:tcPr>
          <w:p w:rsidR="00334B43" w:rsidRPr="003A2CB2" w:rsidRDefault="0033290F" w:rsidP="00B66FDE">
            <w:pPr>
              <w:spacing w:line="276" w:lineRule="auto"/>
              <w:rPr>
                <w:sz w:val="20"/>
                <w:szCs w:val="20"/>
              </w:rPr>
            </w:pPr>
            <w:r w:rsidRPr="0033290F">
              <w:rPr>
                <w:sz w:val="20"/>
                <w:szCs w:val="20"/>
              </w:rPr>
              <w:t>Průběžně</w:t>
            </w:r>
          </w:p>
        </w:tc>
      </w:tr>
      <w:tr w:rsidR="00334B43" w:rsidRPr="009D7658" w:rsidTr="00B271F1">
        <w:tc>
          <w:tcPr>
            <w:tcW w:w="675" w:type="dxa"/>
          </w:tcPr>
          <w:p w:rsidR="00334B43" w:rsidRPr="003A2CB2" w:rsidRDefault="00195455" w:rsidP="00B66FDE">
            <w:pPr>
              <w:rPr>
                <w:sz w:val="20"/>
                <w:szCs w:val="20"/>
              </w:rPr>
            </w:pPr>
            <w:r>
              <w:rPr>
                <w:sz w:val="20"/>
                <w:szCs w:val="20"/>
              </w:rPr>
              <w:t>305</w:t>
            </w:r>
            <w:r w:rsidRPr="00195455">
              <w:rPr>
                <w:sz w:val="20"/>
                <w:szCs w:val="20"/>
              </w:rPr>
              <w:t>00</w:t>
            </w:r>
          </w:p>
        </w:tc>
        <w:tc>
          <w:tcPr>
            <w:tcW w:w="1511" w:type="dxa"/>
          </w:tcPr>
          <w:p w:rsidR="00334B43" w:rsidRPr="003A2CB2" w:rsidRDefault="0033290F" w:rsidP="00B66FDE">
            <w:pPr>
              <w:spacing w:line="276" w:lineRule="auto"/>
              <w:rPr>
                <w:sz w:val="20"/>
                <w:szCs w:val="20"/>
              </w:rPr>
            </w:pPr>
            <w:r w:rsidRPr="0033290F">
              <w:rPr>
                <w:rFonts w:asciiTheme="majorHAnsi" w:hAnsiTheme="majorHAnsi" w:cs="Arial"/>
                <w:sz w:val="20"/>
                <w:szCs w:val="20"/>
              </w:rPr>
              <w:t>Počet pořízených informačních systémů</w:t>
            </w:r>
          </w:p>
        </w:tc>
        <w:tc>
          <w:tcPr>
            <w:tcW w:w="1424" w:type="dxa"/>
            <w:vAlign w:val="center"/>
          </w:tcPr>
          <w:p w:rsidR="00334B43" w:rsidRPr="003A2CB2" w:rsidRDefault="00857768" w:rsidP="00857768">
            <w:pPr>
              <w:spacing w:line="276" w:lineRule="auto"/>
              <w:rPr>
                <w:sz w:val="20"/>
                <w:szCs w:val="20"/>
              </w:rPr>
            </w:pPr>
            <w:r w:rsidRPr="00C90449">
              <w:rPr>
                <w:sz w:val="20"/>
                <w:szCs w:val="20"/>
              </w:rPr>
              <w:t>P</w:t>
            </w:r>
            <w:r w:rsidR="0033290F" w:rsidRPr="0033290F">
              <w:rPr>
                <w:sz w:val="20"/>
                <w:szCs w:val="20"/>
              </w:rPr>
              <w:t>očet</w:t>
            </w:r>
            <w:r>
              <w:rPr>
                <w:sz w:val="20"/>
                <w:szCs w:val="20"/>
              </w:rPr>
              <w:t xml:space="preserve"> IS</w:t>
            </w:r>
          </w:p>
        </w:tc>
        <w:tc>
          <w:tcPr>
            <w:tcW w:w="751" w:type="dxa"/>
            <w:vAlign w:val="center"/>
          </w:tcPr>
          <w:p w:rsidR="00334B43" w:rsidRPr="003A2CB2" w:rsidRDefault="0033290F" w:rsidP="00B66FDE">
            <w:pPr>
              <w:spacing w:line="276" w:lineRule="auto"/>
              <w:rPr>
                <w:sz w:val="20"/>
                <w:szCs w:val="20"/>
              </w:rPr>
            </w:pPr>
            <w:r w:rsidRPr="0033290F">
              <w:rPr>
                <w:sz w:val="20"/>
                <w:szCs w:val="20"/>
              </w:rPr>
              <w:t>EFRR</w:t>
            </w:r>
          </w:p>
        </w:tc>
        <w:tc>
          <w:tcPr>
            <w:tcW w:w="1134" w:type="dxa"/>
            <w:vAlign w:val="center"/>
          </w:tcPr>
          <w:p w:rsidR="00334B43" w:rsidRPr="003A2CB2" w:rsidRDefault="0033290F" w:rsidP="00C5373F">
            <w:pPr>
              <w:spacing w:line="276" w:lineRule="auto"/>
              <w:rPr>
                <w:sz w:val="20"/>
                <w:szCs w:val="20"/>
              </w:rPr>
            </w:pPr>
            <w:r w:rsidRPr="0033290F">
              <w:rPr>
                <w:sz w:val="20"/>
                <w:szCs w:val="20"/>
              </w:rPr>
              <w:t>Méně rozvinuté regiony</w:t>
            </w:r>
          </w:p>
        </w:tc>
        <w:tc>
          <w:tcPr>
            <w:tcW w:w="1417" w:type="dxa"/>
            <w:vAlign w:val="center"/>
          </w:tcPr>
          <w:p w:rsidR="00334B43" w:rsidRPr="003A2CB2" w:rsidRDefault="0033290F" w:rsidP="00B66FDE">
            <w:pPr>
              <w:spacing w:line="276" w:lineRule="auto"/>
              <w:rPr>
                <w:sz w:val="20"/>
                <w:szCs w:val="20"/>
              </w:rPr>
            </w:pPr>
            <w:r w:rsidRPr="0033290F">
              <w:rPr>
                <w:sz w:val="20"/>
                <w:szCs w:val="20"/>
              </w:rPr>
              <w:t>20</w:t>
            </w:r>
          </w:p>
        </w:tc>
        <w:tc>
          <w:tcPr>
            <w:tcW w:w="851" w:type="dxa"/>
            <w:vAlign w:val="center"/>
          </w:tcPr>
          <w:p w:rsidR="00334B43" w:rsidRPr="003A2CB2" w:rsidRDefault="0033290F" w:rsidP="00B66FDE">
            <w:pPr>
              <w:spacing w:line="276" w:lineRule="auto"/>
              <w:rPr>
                <w:sz w:val="20"/>
                <w:szCs w:val="20"/>
              </w:rPr>
            </w:pPr>
            <w:r w:rsidRPr="0033290F">
              <w:rPr>
                <w:sz w:val="20"/>
                <w:szCs w:val="20"/>
              </w:rPr>
              <w:t>žadatel/příjemce</w:t>
            </w:r>
          </w:p>
        </w:tc>
        <w:tc>
          <w:tcPr>
            <w:tcW w:w="1417" w:type="dxa"/>
            <w:vAlign w:val="center"/>
          </w:tcPr>
          <w:p w:rsidR="00334B43" w:rsidRPr="003A2CB2" w:rsidRDefault="0033290F" w:rsidP="00B66FDE">
            <w:pPr>
              <w:spacing w:line="276" w:lineRule="auto"/>
              <w:rPr>
                <w:sz w:val="20"/>
                <w:szCs w:val="20"/>
              </w:rPr>
            </w:pPr>
            <w:r w:rsidRPr="0033290F">
              <w:rPr>
                <w:sz w:val="20"/>
                <w:szCs w:val="20"/>
              </w:rPr>
              <w:t>Průběžně</w:t>
            </w:r>
          </w:p>
        </w:tc>
      </w:tr>
      <w:tr w:rsidR="00334B43" w:rsidRPr="009D7658" w:rsidTr="00B271F1">
        <w:tc>
          <w:tcPr>
            <w:tcW w:w="675" w:type="dxa"/>
          </w:tcPr>
          <w:p w:rsidR="00334B43" w:rsidRPr="003A2CB2" w:rsidRDefault="00195455" w:rsidP="00B66FDE">
            <w:pPr>
              <w:spacing w:line="276" w:lineRule="auto"/>
              <w:rPr>
                <w:sz w:val="20"/>
                <w:szCs w:val="20"/>
              </w:rPr>
            </w:pPr>
            <w:r>
              <w:rPr>
                <w:sz w:val="20"/>
                <w:szCs w:val="20"/>
              </w:rPr>
              <w:lastRenderedPageBreak/>
              <w:t>410</w:t>
            </w:r>
            <w:r w:rsidRPr="00195455">
              <w:rPr>
                <w:sz w:val="20"/>
                <w:szCs w:val="20"/>
              </w:rPr>
              <w:t>01</w:t>
            </w:r>
          </w:p>
        </w:tc>
        <w:tc>
          <w:tcPr>
            <w:tcW w:w="1511" w:type="dxa"/>
          </w:tcPr>
          <w:p w:rsidR="00334B43" w:rsidRPr="003A2CB2" w:rsidRDefault="0033290F" w:rsidP="00B66FDE">
            <w:pPr>
              <w:spacing w:line="276" w:lineRule="auto"/>
              <w:rPr>
                <w:rFonts w:asciiTheme="majorHAnsi" w:hAnsiTheme="majorHAnsi"/>
                <w:sz w:val="20"/>
                <w:szCs w:val="20"/>
              </w:rPr>
            </w:pPr>
            <w:r w:rsidRPr="0033290F">
              <w:rPr>
                <w:rFonts w:asciiTheme="majorHAnsi" w:hAnsiTheme="majorHAnsi" w:cs="Arial"/>
                <w:sz w:val="20"/>
                <w:szCs w:val="20"/>
              </w:rPr>
              <w:t>Poradenská činnost centra k rizikům chemických látek</w:t>
            </w:r>
          </w:p>
        </w:tc>
        <w:tc>
          <w:tcPr>
            <w:tcW w:w="1424" w:type="dxa"/>
            <w:vAlign w:val="center"/>
          </w:tcPr>
          <w:p w:rsidR="00334B43" w:rsidRPr="003A2CB2" w:rsidRDefault="00857768" w:rsidP="00B66FDE">
            <w:pPr>
              <w:spacing w:line="276" w:lineRule="auto"/>
              <w:rPr>
                <w:sz w:val="20"/>
                <w:szCs w:val="20"/>
              </w:rPr>
            </w:pPr>
            <w:r>
              <w:rPr>
                <w:sz w:val="20"/>
                <w:szCs w:val="20"/>
              </w:rPr>
              <w:t>ks</w:t>
            </w:r>
          </w:p>
        </w:tc>
        <w:tc>
          <w:tcPr>
            <w:tcW w:w="751" w:type="dxa"/>
            <w:vAlign w:val="center"/>
          </w:tcPr>
          <w:p w:rsidR="00334B43" w:rsidRPr="003A2CB2" w:rsidRDefault="0033290F" w:rsidP="00B66FDE">
            <w:pPr>
              <w:spacing w:line="276" w:lineRule="auto"/>
              <w:rPr>
                <w:sz w:val="20"/>
                <w:szCs w:val="20"/>
              </w:rPr>
            </w:pPr>
            <w:r w:rsidRPr="0033290F">
              <w:rPr>
                <w:sz w:val="20"/>
                <w:szCs w:val="20"/>
              </w:rPr>
              <w:t>EFRR</w:t>
            </w:r>
          </w:p>
        </w:tc>
        <w:tc>
          <w:tcPr>
            <w:tcW w:w="1134" w:type="dxa"/>
            <w:vAlign w:val="center"/>
          </w:tcPr>
          <w:p w:rsidR="00334B43" w:rsidRPr="003A2CB2" w:rsidRDefault="0033290F" w:rsidP="00C5373F">
            <w:pPr>
              <w:spacing w:line="276" w:lineRule="auto"/>
              <w:rPr>
                <w:sz w:val="20"/>
                <w:szCs w:val="20"/>
              </w:rPr>
            </w:pPr>
            <w:r w:rsidRPr="0033290F">
              <w:rPr>
                <w:sz w:val="20"/>
                <w:szCs w:val="20"/>
              </w:rPr>
              <w:t xml:space="preserve">Méně </w:t>
            </w:r>
            <w:proofErr w:type="spellStart"/>
            <w:r w:rsidRPr="0033290F">
              <w:rPr>
                <w:sz w:val="20"/>
                <w:szCs w:val="20"/>
              </w:rPr>
              <w:t>rozvinutéregiony</w:t>
            </w:r>
            <w:proofErr w:type="spellEnd"/>
          </w:p>
        </w:tc>
        <w:tc>
          <w:tcPr>
            <w:tcW w:w="1417" w:type="dxa"/>
            <w:vAlign w:val="center"/>
          </w:tcPr>
          <w:p w:rsidR="00334B43" w:rsidRPr="003A2CB2" w:rsidRDefault="0033290F" w:rsidP="00B66FDE">
            <w:pPr>
              <w:spacing w:line="276" w:lineRule="auto"/>
              <w:rPr>
                <w:sz w:val="20"/>
                <w:szCs w:val="20"/>
              </w:rPr>
            </w:pPr>
            <w:r w:rsidRPr="0033290F">
              <w:rPr>
                <w:sz w:val="20"/>
                <w:szCs w:val="20"/>
              </w:rPr>
              <w:t>50</w:t>
            </w:r>
          </w:p>
        </w:tc>
        <w:tc>
          <w:tcPr>
            <w:tcW w:w="851" w:type="dxa"/>
            <w:vAlign w:val="center"/>
          </w:tcPr>
          <w:p w:rsidR="00334B43" w:rsidRPr="003A2CB2" w:rsidRDefault="0033290F" w:rsidP="00B66FDE">
            <w:pPr>
              <w:spacing w:line="276" w:lineRule="auto"/>
              <w:rPr>
                <w:sz w:val="20"/>
                <w:szCs w:val="20"/>
              </w:rPr>
            </w:pPr>
            <w:r w:rsidRPr="0033290F">
              <w:rPr>
                <w:sz w:val="20"/>
                <w:szCs w:val="20"/>
              </w:rPr>
              <w:t>žadatel/příjemce</w:t>
            </w:r>
          </w:p>
        </w:tc>
        <w:tc>
          <w:tcPr>
            <w:tcW w:w="1417" w:type="dxa"/>
            <w:vAlign w:val="center"/>
          </w:tcPr>
          <w:p w:rsidR="00334B43" w:rsidRPr="003A2CB2" w:rsidRDefault="0033290F" w:rsidP="00B66FDE">
            <w:pPr>
              <w:spacing w:line="276" w:lineRule="auto"/>
              <w:rPr>
                <w:sz w:val="20"/>
                <w:szCs w:val="20"/>
              </w:rPr>
            </w:pPr>
            <w:r w:rsidRPr="0033290F">
              <w:rPr>
                <w:sz w:val="20"/>
                <w:szCs w:val="20"/>
              </w:rPr>
              <w:t>Průběžně</w:t>
            </w:r>
          </w:p>
        </w:tc>
      </w:tr>
    </w:tbl>
    <w:p w:rsidR="00597584" w:rsidRPr="004314F4" w:rsidRDefault="00597584" w:rsidP="00B66FDE"/>
    <w:p w:rsidR="00E10E6D" w:rsidRDefault="001B0121" w:rsidP="00165854">
      <w:pPr>
        <w:pStyle w:val="Nadpis3"/>
      </w:pPr>
      <w:bookmarkStart w:id="2735" w:name="_Toc392151036"/>
      <w:r w:rsidRPr="004314F4">
        <w:t>Výkon</w:t>
      </w:r>
      <w:r w:rsidR="004E23C2" w:rsidRPr="004314F4">
        <w:t>n</w:t>
      </w:r>
      <w:r w:rsidRPr="004314F4">
        <w:t>ostní rámec</w:t>
      </w:r>
      <w:bookmarkEnd w:id="2735"/>
    </w:p>
    <w:p w:rsidR="00E10E6D" w:rsidRPr="004314F4" w:rsidRDefault="00E10E6D" w:rsidP="00165854">
      <w:pPr>
        <w:pStyle w:val="Titulek"/>
      </w:pPr>
      <w:bookmarkStart w:id="2736" w:name="_Toc384907442"/>
      <w:r w:rsidRPr="004314F4">
        <w:t>Výkon</w:t>
      </w:r>
      <w:r w:rsidR="00B31EAF" w:rsidRPr="004314F4">
        <w:t>n</w:t>
      </w:r>
      <w:r w:rsidRPr="004314F4">
        <w:t xml:space="preserve">ostní </w:t>
      </w:r>
      <w:proofErr w:type="gramStart"/>
      <w:r w:rsidRPr="004314F4">
        <w:t>rámec  PO</w:t>
      </w:r>
      <w:proofErr w:type="gramEnd"/>
      <w:r w:rsidR="0053376D">
        <w:t xml:space="preserve"> </w:t>
      </w:r>
      <w:r w:rsidRPr="004314F4">
        <w:t>3</w:t>
      </w:r>
      <w:bookmarkEnd w:id="2736"/>
    </w:p>
    <w:tbl>
      <w:tblPr>
        <w:tblStyle w:val="Mkatabulky"/>
        <w:tblW w:w="9180" w:type="dxa"/>
        <w:tblLayout w:type="fixed"/>
        <w:tblLook w:val="04A0" w:firstRow="1" w:lastRow="0" w:firstColumn="1" w:lastColumn="0" w:noHBand="0" w:noVBand="1"/>
      </w:tblPr>
      <w:tblGrid>
        <w:gridCol w:w="959"/>
        <w:gridCol w:w="992"/>
        <w:gridCol w:w="567"/>
        <w:gridCol w:w="851"/>
        <w:gridCol w:w="708"/>
        <w:gridCol w:w="567"/>
        <w:gridCol w:w="851"/>
        <w:gridCol w:w="709"/>
        <w:gridCol w:w="1134"/>
        <w:gridCol w:w="850"/>
        <w:gridCol w:w="992"/>
      </w:tblGrid>
      <w:tr w:rsidR="00177B95" w:rsidRPr="004314F4" w:rsidTr="00F625C4">
        <w:tc>
          <w:tcPr>
            <w:tcW w:w="959" w:type="dxa"/>
            <w:tcBorders>
              <w:bottom w:val="single" w:sz="12" w:space="0" w:color="auto"/>
            </w:tcBorders>
            <w:shd w:val="clear" w:color="auto" w:fill="BFBFBF" w:themeFill="background1" w:themeFillShade="BF"/>
          </w:tcPr>
          <w:p w:rsidR="0053376D" w:rsidRPr="003A2CB2" w:rsidRDefault="0053376D" w:rsidP="00B66FDE">
            <w:pPr>
              <w:rPr>
                <w:b/>
                <w:sz w:val="20"/>
                <w:szCs w:val="20"/>
              </w:rPr>
            </w:pPr>
            <w:r w:rsidRPr="003A2CB2">
              <w:rPr>
                <w:b/>
                <w:sz w:val="20"/>
                <w:szCs w:val="20"/>
              </w:rPr>
              <w:t>Prioritní osa</w:t>
            </w:r>
          </w:p>
        </w:tc>
        <w:tc>
          <w:tcPr>
            <w:tcW w:w="992" w:type="dxa"/>
            <w:tcBorders>
              <w:bottom w:val="single" w:sz="12" w:space="0" w:color="auto"/>
            </w:tcBorders>
            <w:shd w:val="clear" w:color="auto" w:fill="BFBFBF" w:themeFill="background1" w:themeFillShade="BF"/>
          </w:tcPr>
          <w:p w:rsidR="0053376D" w:rsidRPr="003A2CB2" w:rsidRDefault="0033290F" w:rsidP="0053376D">
            <w:pPr>
              <w:spacing w:line="276" w:lineRule="auto"/>
              <w:rPr>
                <w:b/>
                <w:sz w:val="20"/>
                <w:szCs w:val="20"/>
              </w:rPr>
            </w:pPr>
            <w:r w:rsidRPr="0033290F">
              <w:rPr>
                <w:b/>
                <w:sz w:val="20"/>
                <w:szCs w:val="20"/>
              </w:rPr>
              <w:t>Typ ukazatele (klíčový krok provádění, finanční výstup nebo popřípadě ukazatel výsledků)</w:t>
            </w:r>
          </w:p>
        </w:tc>
        <w:tc>
          <w:tcPr>
            <w:tcW w:w="567" w:type="dxa"/>
            <w:tcBorders>
              <w:bottom w:val="single" w:sz="12" w:space="0" w:color="auto"/>
            </w:tcBorders>
            <w:shd w:val="clear" w:color="auto" w:fill="BFBFBF" w:themeFill="background1" w:themeFillShade="BF"/>
          </w:tcPr>
          <w:p w:rsidR="0053376D" w:rsidRPr="003A2CB2" w:rsidRDefault="0033290F" w:rsidP="00B66FDE">
            <w:pPr>
              <w:spacing w:line="276" w:lineRule="auto"/>
              <w:rPr>
                <w:b/>
                <w:sz w:val="20"/>
                <w:szCs w:val="20"/>
              </w:rPr>
            </w:pPr>
            <w:r w:rsidRPr="0033290F">
              <w:rPr>
                <w:b/>
                <w:sz w:val="20"/>
                <w:szCs w:val="20"/>
              </w:rPr>
              <w:t>ID</w:t>
            </w:r>
          </w:p>
        </w:tc>
        <w:tc>
          <w:tcPr>
            <w:tcW w:w="851" w:type="dxa"/>
            <w:tcBorders>
              <w:bottom w:val="single" w:sz="12" w:space="0" w:color="auto"/>
            </w:tcBorders>
            <w:shd w:val="clear" w:color="auto" w:fill="BFBFBF" w:themeFill="background1" w:themeFillShade="BF"/>
          </w:tcPr>
          <w:p w:rsidR="0053376D" w:rsidRPr="003A2CB2" w:rsidRDefault="0033290F" w:rsidP="00B66FDE">
            <w:pPr>
              <w:spacing w:line="276" w:lineRule="auto"/>
              <w:rPr>
                <w:b/>
                <w:sz w:val="20"/>
                <w:szCs w:val="20"/>
              </w:rPr>
            </w:pPr>
            <w:r w:rsidRPr="0033290F">
              <w:rPr>
                <w:b/>
                <w:sz w:val="20"/>
                <w:szCs w:val="20"/>
              </w:rPr>
              <w:t>Ukazatel nebo klíčový krok provádění</w:t>
            </w:r>
          </w:p>
        </w:tc>
        <w:tc>
          <w:tcPr>
            <w:tcW w:w="708" w:type="dxa"/>
            <w:tcBorders>
              <w:bottom w:val="single" w:sz="12" w:space="0" w:color="auto"/>
            </w:tcBorders>
            <w:shd w:val="clear" w:color="auto" w:fill="BFBFBF" w:themeFill="background1" w:themeFillShade="BF"/>
          </w:tcPr>
          <w:p w:rsidR="0053376D" w:rsidRPr="003A2CB2" w:rsidRDefault="0033290F" w:rsidP="00B66FDE">
            <w:pPr>
              <w:spacing w:line="276" w:lineRule="auto"/>
              <w:rPr>
                <w:b/>
                <w:sz w:val="20"/>
                <w:szCs w:val="20"/>
              </w:rPr>
            </w:pPr>
            <w:r w:rsidRPr="0033290F">
              <w:rPr>
                <w:b/>
                <w:sz w:val="20"/>
                <w:szCs w:val="20"/>
              </w:rPr>
              <w:t>Měrná jednotka</w:t>
            </w:r>
          </w:p>
        </w:tc>
        <w:tc>
          <w:tcPr>
            <w:tcW w:w="567" w:type="dxa"/>
            <w:tcBorders>
              <w:bottom w:val="single" w:sz="12" w:space="0" w:color="auto"/>
            </w:tcBorders>
            <w:shd w:val="clear" w:color="auto" w:fill="BFBFBF" w:themeFill="background1" w:themeFillShade="BF"/>
          </w:tcPr>
          <w:p w:rsidR="0053376D" w:rsidRPr="003A2CB2" w:rsidRDefault="0033290F" w:rsidP="00B66FDE">
            <w:pPr>
              <w:spacing w:line="276" w:lineRule="auto"/>
              <w:rPr>
                <w:b/>
                <w:sz w:val="20"/>
                <w:szCs w:val="20"/>
              </w:rPr>
            </w:pPr>
            <w:r w:rsidRPr="0033290F">
              <w:rPr>
                <w:b/>
                <w:sz w:val="20"/>
                <w:szCs w:val="20"/>
              </w:rPr>
              <w:t>Fond</w:t>
            </w:r>
          </w:p>
        </w:tc>
        <w:tc>
          <w:tcPr>
            <w:tcW w:w="851" w:type="dxa"/>
            <w:tcBorders>
              <w:bottom w:val="single" w:sz="12" w:space="0" w:color="auto"/>
            </w:tcBorders>
            <w:shd w:val="clear" w:color="auto" w:fill="BFBFBF" w:themeFill="background1" w:themeFillShade="BF"/>
          </w:tcPr>
          <w:p w:rsidR="0053376D" w:rsidRPr="003A2CB2" w:rsidRDefault="0033290F" w:rsidP="00B66FDE">
            <w:pPr>
              <w:spacing w:line="276" w:lineRule="auto"/>
              <w:rPr>
                <w:b/>
                <w:sz w:val="20"/>
                <w:szCs w:val="20"/>
              </w:rPr>
            </w:pPr>
            <w:r w:rsidRPr="0033290F">
              <w:rPr>
                <w:b/>
                <w:sz w:val="20"/>
                <w:szCs w:val="20"/>
              </w:rPr>
              <w:t>Kategorie regionů</w:t>
            </w:r>
          </w:p>
        </w:tc>
        <w:tc>
          <w:tcPr>
            <w:tcW w:w="709" w:type="dxa"/>
            <w:tcBorders>
              <w:bottom w:val="single" w:sz="12" w:space="0" w:color="auto"/>
            </w:tcBorders>
            <w:shd w:val="clear" w:color="auto" w:fill="BFBFBF" w:themeFill="background1" w:themeFillShade="BF"/>
          </w:tcPr>
          <w:p w:rsidR="0053376D" w:rsidRPr="003A2CB2" w:rsidRDefault="0033290F" w:rsidP="00B66FDE">
            <w:pPr>
              <w:spacing w:line="276" w:lineRule="auto"/>
              <w:rPr>
                <w:b/>
                <w:sz w:val="20"/>
                <w:szCs w:val="20"/>
              </w:rPr>
            </w:pPr>
            <w:r w:rsidRPr="0033290F">
              <w:rPr>
                <w:b/>
                <w:sz w:val="20"/>
                <w:szCs w:val="20"/>
              </w:rPr>
              <w:t>Milník pro rok 2018</w:t>
            </w:r>
          </w:p>
        </w:tc>
        <w:tc>
          <w:tcPr>
            <w:tcW w:w="1134" w:type="dxa"/>
            <w:tcBorders>
              <w:bottom w:val="single" w:sz="12" w:space="0" w:color="auto"/>
            </w:tcBorders>
            <w:shd w:val="clear" w:color="auto" w:fill="BFBFBF" w:themeFill="background1" w:themeFillShade="BF"/>
          </w:tcPr>
          <w:p w:rsidR="0053376D" w:rsidRPr="003A2CB2" w:rsidRDefault="0033290F" w:rsidP="00B66FDE">
            <w:pPr>
              <w:spacing w:line="276" w:lineRule="auto"/>
              <w:rPr>
                <w:b/>
                <w:sz w:val="20"/>
                <w:szCs w:val="20"/>
              </w:rPr>
            </w:pPr>
            <w:r w:rsidRPr="0033290F">
              <w:rPr>
                <w:b/>
                <w:sz w:val="20"/>
                <w:szCs w:val="20"/>
              </w:rPr>
              <w:t>Konečný cíl (2023)</w:t>
            </w:r>
          </w:p>
        </w:tc>
        <w:tc>
          <w:tcPr>
            <w:tcW w:w="850" w:type="dxa"/>
            <w:tcBorders>
              <w:bottom w:val="single" w:sz="12" w:space="0" w:color="auto"/>
            </w:tcBorders>
            <w:shd w:val="clear" w:color="auto" w:fill="BFBFBF" w:themeFill="background1" w:themeFillShade="BF"/>
          </w:tcPr>
          <w:p w:rsidR="0053376D" w:rsidRPr="003A2CB2" w:rsidRDefault="0033290F" w:rsidP="00B66FDE">
            <w:pPr>
              <w:spacing w:line="276" w:lineRule="auto"/>
              <w:rPr>
                <w:b/>
                <w:sz w:val="20"/>
                <w:szCs w:val="20"/>
              </w:rPr>
            </w:pPr>
            <w:r w:rsidRPr="0033290F">
              <w:rPr>
                <w:b/>
                <w:sz w:val="20"/>
                <w:szCs w:val="20"/>
              </w:rPr>
              <w:t>Zdroj údajů</w:t>
            </w:r>
          </w:p>
        </w:tc>
        <w:tc>
          <w:tcPr>
            <w:tcW w:w="992" w:type="dxa"/>
            <w:tcBorders>
              <w:bottom w:val="single" w:sz="12" w:space="0" w:color="auto"/>
            </w:tcBorders>
            <w:shd w:val="clear" w:color="auto" w:fill="BFBFBF" w:themeFill="background1" w:themeFillShade="BF"/>
          </w:tcPr>
          <w:p w:rsidR="0053376D" w:rsidRPr="003A2CB2" w:rsidRDefault="0033290F" w:rsidP="00B66FDE">
            <w:pPr>
              <w:spacing w:line="276" w:lineRule="auto"/>
              <w:rPr>
                <w:b/>
                <w:sz w:val="20"/>
                <w:szCs w:val="20"/>
              </w:rPr>
            </w:pPr>
            <w:r w:rsidRPr="0033290F">
              <w:rPr>
                <w:b/>
                <w:sz w:val="20"/>
                <w:szCs w:val="20"/>
              </w:rPr>
              <w:t>popřípadě vysvětlení relevantnosti ukazatele</w:t>
            </w:r>
          </w:p>
        </w:tc>
      </w:tr>
      <w:tr w:rsidR="008D4D66" w:rsidRPr="00AC2742" w:rsidTr="00F625C4">
        <w:tc>
          <w:tcPr>
            <w:tcW w:w="959" w:type="dxa"/>
            <w:tcBorders>
              <w:top w:val="single" w:sz="12" w:space="0" w:color="auto"/>
            </w:tcBorders>
          </w:tcPr>
          <w:p w:rsidR="00674BC9" w:rsidRDefault="008D4D66">
            <w:pPr>
              <w:jc w:val="left"/>
              <w:rPr>
                <w:sz w:val="20"/>
                <w:szCs w:val="20"/>
              </w:rPr>
            </w:pPr>
            <w:r>
              <w:rPr>
                <w:sz w:val="20"/>
                <w:szCs w:val="20"/>
              </w:rPr>
              <w:t>PO 3</w:t>
            </w:r>
          </w:p>
        </w:tc>
        <w:tc>
          <w:tcPr>
            <w:tcW w:w="992" w:type="dxa"/>
            <w:tcBorders>
              <w:top w:val="single" w:sz="12" w:space="0" w:color="auto"/>
            </w:tcBorders>
          </w:tcPr>
          <w:p w:rsidR="00674BC9" w:rsidRDefault="008D4D66">
            <w:pPr>
              <w:jc w:val="left"/>
              <w:rPr>
                <w:sz w:val="20"/>
                <w:szCs w:val="20"/>
              </w:rPr>
            </w:pPr>
            <w:r>
              <w:rPr>
                <w:sz w:val="20"/>
                <w:szCs w:val="20"/>
              </w:rPr>
              <w:t>finanční ukazatel</w:t>
            </w:r>
          </w:p>
        </w:tc>
        <w:tc>
          <w:tcPr>
            <w:tcW w:w="567" w:type="dxa"/>
            <w:tcBorders>
              <w:top w:val="single" w:sz="12" w:space="0" w:color="auto"/>
            </w:tcBorders>
          </w:tcPr>
          <w:p w:rsidR="00674BC9" w:rsidRDefault="008D4D66">
            <w:pPr>
              <w:jc w:val="left"/>
              <w:rPr>
                <w:sz w:val="20"/>
                <w:szCs w:val="20"/>
              </w:rPr>
            </w:pPr>
            <w:r>
              <w:rPr>
                <w:sz w:val="20"/>
                <w:szCs w:val="20"/>
              </w:rPr>
              <w:t>-</w:t>
            </w:r>
          </w:p>
        </w:tc>
        <w:tc>
          <w:tcPr>
            <w:tcW w:w="851" w:type="dxa"/>
            <w:tcBorders>
              <w:top w:val="single" w:sz="12" w:space="0" w:color="auto"/>
            </w:tcBorders>
          </w:tcPr>
          <w:p w:rsidR="00674BC9" w:rsidRDefault="008D4D66">
            <w:pPr>
              <w:jc w:val="left"/>
              <w:rPr>
                <w:sz w:val="20"/>
                <w:szCs w:val="20"/>
              </w:rPr>
            </w:pPr>
            <w:r>
              <w:rPr>
                <w:sz w:val="20"/>
                <w:szCs w:val="20"/>
              </w:rPr>
              <w:t>Celkové certifikované způsobilé výdaje</w:t>
            </w:r>
          </w:p>
        </w:tc>
        <w:tc>
          <w:tcPr>
            <w:tcW w:w="708" w:type="dxa"/>
            <w:tcBorders>
              <w:top w:val="single" w:sz="12" w:space="0" w:color="auto"/>
            </w:tcBorders>
          </w:tcPr>
          <w:p w:rsidR="00674BC9" w:rsidRDefault="008D4D66">
            <w:pPr>
              <w:jc w:val="left"/>
              <w:rPr>
                <w:sz w:val="20"/>
                <w:szCs w:val="20"/>
              </w:rPr>
            </w:pPr>
            <w:r>
              <w:rPr>
                <w:sz w:val="20"/>
                <w:szCs w:val="20"/>
              </w:rPr>
              <w:t>EUR</w:t>
            </w:r>
          </w:p>
        </w:tc>
        <w:tc>
          <w:tcPr>
            <w:tcW w:w="567" w:type="dxa"/>
            <w:tcBorders>
              <w:top w:val="single" w:sz="12" w:space="0" w:color="auto"/>
            </w:tcBorders>
          </w:tcPr>
          <w:p w:rsidR="00674BC9" w:rsidRDefault="00B55CE9">
            <w:pPr>
              <w:jc w:val="left"/>
              <w:rPr>
                <w:sz w:val="20"/>
                <w:szCs w:val="20"/>
              </w:rPr>
            </w:pPr>
            <w:r>
              <w:rPr>
                <w:sz w:val="20"/>
                <w:szCs w:val="20"/>
              </w:rPr>
              <w:t>FS</w:t>
            </w:r>
          </w:p>
        </w:tc>
        <w:tc>
          <w:tcPr>
            <w:tcW w:w="851" w:type="dxa"/>
            <w:tcBorders>
              <w:top w:val="single" w:sz="12" w:space="0" w:color="auto"/>
            </w:tcBorders>
          </w:tcPr>
          <w:p w:rsidR="00674BC9" w:rsidRDefault="00B55CE9">
            <w:pPr>
              <w:jc w:val="left"/>
              <w:rPr>
                <w:sz w:val="20"/>
                <w:szCs w:val="20"/>
              </w:rPr>
            </w:pPr>
            <w:r>
              <w:rPr>
                <w:sz w:val="20"/>
                <w:szCs w:val="20"/>
              </w:rPr>
              <w:t>Není relevantní</w:t>
            </w:r>
          </w:p>
        </w:tc>
        <w:tc>
          <w:tcPr>
            <w:tcW w:w="709" w:type="dxa"/>
            <w:tcBorders>
              <w:top w:val="single" w:sz="12" w:space="0" w:color="auto"/>
            </w:tcBorders>
          </w:tcPr>
          <w:p w:rsidR="00674BC9" w:rsidRDefault="0033290F">
            <w:pPr>
              <w:jc w:val="left"/>
              <w:rPr>
                <w:rFonts w:asciiTheme="majorHAnsi" w:hAnsiTheme="majorHAnsi"/>
                <w:color w:val="000000"/>
                <w:sz w:val="20"/>
                <w:szCs w:val="20"/>
              </w:rPr>
            </w:pPr>
            <w:r w:rsidRPr="0033290F">
              <w:rPr>
                <w:rFonts w:asciiTheme="majorHAnsi" w:hAnsiTheme="majorHAnsi"/>
                <w:color w:val="000000"/>
                <w:sz w:val="20"/>
                <w:szCs w:val="20"/>
              </w:rPr>
              <w:t>110707857</w:t>
            </w:r>
          </w:p>
          <w:p w:rsidR="00674BC9" w:rsidRDefault="00674BC9">
            <w:pPr>
              <w:jc w:val="left"/>
              <w:rPr>
                <w:sz w:val="20"/>
                <w:szCs w:val="20"/>
              </w:rPr>
            </w:pPr>
          </w:p>
        </w:tc>
        <w:tc>
          <w:tcPr>
            <w:tcW w:w="1134" w:type="dxa"/>
            <w:tcBorders>
              <w:top w:val="single" w:sz="12" w:space="0" w:color="auto"/>
            </w:tcBorders>
          </w:tcPr>
          <w:p w:rsidR="00674BC9" w:rsidRDefault="00B55CE9">
            <w:pPr>
              <w:jc w:val="left"/>
              <w:rPr>
                <w:sz w:val="20"/>
                <w:szCs w:val="20"/>
              </w:rPr>
            </w:pPr>
            <w:r w:rsidRPr="00B55CE9">
              <w:rPr>
                <w:sz w:val="20"/>
                <w:szCs w:val="20"/>
              </w:rPr>
              <w:t>435731044</w:t>
            </w:r>
          </w:p>
          <w:p w:rsidR="00674BC9" w:rsidRDefault="00674BC9">
            <w:pPr>
              <w:jc w:val="left"/>
              <w:rPr>
                <w:sz w:val="20"/>
                <w:szCs w:val="20"/>
              </w:rPr>
            </w:pPr>
          </w:p>
        </w:tc>
        <w:tc>
          <w:tcPr>
            <w:tcW w:w="850" w:type="dxa"/>
            <w:tcBorders>
              <w:top w:val="single" w:sz="12" w:space="0" w:color="auto"/>
            </w:tcBorders>
          </w:tcPr>
          <w:p w:rsidR="00674BC9" w:rsidRDefault="00B55CE9">
            <w:pPr>
              <w:jc w:val="left"/>
              <w:rPr>
                <w:sz w:val="20"/>
                <w:szCs w:val="20"/>
              </w:rPr>
            </w:pPr>
            <w:r>
              <w:rPr>
                <w:sz w:val="20"/>
                <w:szCs w:val="20"/>
              </w:rPr>
              <w:t>ŘO</w:t>
            </w:r>
          </w:p>
        </w:tc>
        <w:tc>
          <w:tcPr>
            <w:tcW w:w="992" w:type="dxa"/>
            <w:tcBorders>
              <w:top w:val="single" w:sz="12" w:space="0" w:color="auto"/>
            </w:tcBorders>
          </w:tcPr>
          <w:p w:rsidR="00674BC9" w:rsidRDefault="00B55CE9">
            <w:pPr>
              <w:jc w:val="left"/>
              <w:rPr>
                <w:sz w:val="20"/>
                <w:szCs w:val="20"/>
              </w:rPr>
            </w:pPr>
            <w:r>
              <w:rPr>
                <w:sz w:val="20"/>
                <w:szCs w:val="20"/>
              </w:rPr>
              <w:t>-</w:t>
            </w:r>
          </w:p>
        </w:tc>
      </w:tr>
      <w:tr w:rsidR="008D4D66" w:rsidRPr="00AC2742" w:rsidTr="00F625C4">
        <w:tc>
          <w:tcPr>
            <w:tcW w:w="959" w:type="dxa"/>
            <w:tcBorders>
              <w:top w:val="single" w:sz="12" w:space="0" w:color="auto"/>
            </w:tcBorders>
          </w:tcPr>
          <w:p w:rsidR="00674BC9" w:rsidRDefault="008D4D66">
            <w:pPr>
              <w:jc w:val="left"/>
              <w:rPr>
                <w:sz w:val="20"/>
                <w:szCs w:val="20"/>
              </w:rPr>
            </w:pPr>
            <w:r>
              <w:rPr>
                <w:sz w:val="20"/>
                <w:szCs w:val="20"/>
              </w:rPr>
              <w:t>PO 3</w:t>
            </w:r>
          </w:p>
        </w:tc>
        <w:tc>
          <w:tcPr>
            <w:tcW w:w="992" w:type="dxa"/>
            <w:tcBorders>
              <w:top w:val="single" w:sz="12" w:space="0" w:color="auto"/>
            </w:tcBorders>
          </w:tcPr>
          <w:p w:rsidR="00674BC9" w:rsidRDefault="008D4D66">
            <w:pPr>
              <w:jc w:val="left"/>
              <w:rPr>
                <w:sz w:val="20"/>
                <w:szCs w:val="20"/>
              </w:rPr>
            </w:pPr>
            <w:r>
              <w:rPr>
                <w:sz w:val="20"/>
                <w:szCs w:val="20"/>
              </w:rPr>
              <w:t>finanční ukazatel</w:t>
            </w:r>
          </w:p>
        </w:tc>
        <w:tc>
          <w:tcPr>
            <w:tcW w:w="567" w:type="dxa"/>
            <w:tcBorders>
              <w:top w:val="single" w:sz="12" w:space="0" w:color="auto"/>
            </w:tcBorders>
          </w:tcPr>
          <w:p w:rsidR="00674BC9" w:rsidRDefault="008D4D66">
            <w:pPr>
              <w:jc w:val="left"/>
              <w:rPr>
                <w:sz w:val="20"/>
                <w:szCs w:val="20"/>
              </w:rPr>
            </w:pPr>
            <w:r>
              <w:rPr>
                <w:sz w:val="20"/>
                <w:szCs w:val="20"/>
              </w:rPr>
              <w:t>-</w:t>
            </w:r>
          </w:p>
        </w:tc>
        <w:tc>
          <w:tcPr>
            <w:tcW w:w="851" w:type="dxa"/>
            <w:tcBorders>
              <w:top w:val="single" w:sz="12" w:space="0" w:color="auto"/>
            </w:tcBorders>
          </w:tcPr>
          <w:p w:rsidR="00674BC9" w:rsidRDefault="008D4D66">
            <w:pPr>
              <w:jc w:val="left"/>
              <w:rPr>
                <w:sz w:val="20"/>
                <w:szCs w:val="20"/>
              </w:rPr>
            </w:pPr>
            <w:r>
              <w:rPr>
                <w:sz w:val="20"/>
                <w:szCs w:val="20"/>
              </w:rPr>
              <w:t>Celkové certifikované způsobilé výdaje</w:t>
            </w:r>
          </w:p>
        </w:tc>
        <w:tc>
          <w:tcPr>
            <w:tcW w:w="708" w:type="dxa"/>
            <w:tcBorders>
              <w:top w:val="single" w:sz="12" w:space="0" w:color="auto"/>
            </w:tcBorders>
          </w:tcPr>
          <w:p w:rsidR="00674BC9" w:rsidRDefault="008D4D66">
            <w:pPr>
              <w:jc w:val="left"/>
              <w:rPr>
                <w:sz w:val="20"/>
                <w:szCs w:val="20"/>
              </w:rPr>
            </w:pPr>
            <w:r>
              <w:rPr>
                <w:sz w:val="20"/>
                <w:szCs w:val="20"/>
              </w:rPr>
              <w:t>EUR</w:t>
            </w:r>
          </w:p>
        </w:tc>
        <w:tc>
          <w:tcPr>
            <w:tcW w:w="567" w:type="dxa"/>
            <w:tcBorders>
              <w:top w:val="single" w:sz="12" w:space="0" w:color="auto"/>
            </w:tcBorders>
          </w:tcPr>
          <w:p w:rsidR="00674BC9" w:rsidRDefault="00B55CE9">
            <w:pPr>
              <w:jc w:val="left"/>
              <w:rPr>
                <w:sz w:val="20"/>
                <w:szCs w:val="20"/>
              </w:rPr>
            </w:pPr>
            <w:r>
              <w:rPr>
                <w:sz w:val="20"/>
                <w:szCs w:val="20"/>
              </w:rPr>
              <w:t>EFRR</w:t>
            </w:r>
          </w:p>
        </w:tc>
        <w:tc>
          <w:tcPr>
            <w:tcW w:w="851" w:type="dxa"/>
            <w:tcBorders>
              <w:top w:val="single" w:sz="12" w:space="0" w:color="auto"/>
            </w:tcBorders>
          </w:tcPr>
          <w:p w:rsidR="00674BC9" w:rsidRDefault="00B55CE9">
            <w:pPr>
              <w:jc w:val="left"/>
              <w:rPr>
                <w:sz w:val="20"/>
                <w:szCs w:val="20"/>
              </w:rPr>
            </w:pPr>
            <w:r w:rsidRPr="00CF41E1">
              <w:rPr>
                <w:sz w:val="20"/>
                <w:szCs w:val="20"/>
              </w:rPr>
              <w:t xml:space="preserve">Méně </w:t>
            </w:r>
            <w:r>
              <w:rPr>
                <w:sz w:val="20"/>
                <w:szCs w:val="20"/>
              </w:rPr>
              <w:t xml:space="preserve">rozvinuté </w:t>
            </w:r>
            <w:r w:rsidRPr="00CF41E1">
              <w:rPr>
                <w:sz w:val="20"/>
                <w:szCs w:val="20"/>
              </w:rPr>
              <w:t>regiony</w:t>
            </w:r>
          </w:p>
        </w:tc>
        <w:tc>
          <w:tcPr>
            <w:tcW w:w="709" w:type="dxa"/>
            <w:tcBorders>
              <w:top w:val="single" w:sz="12" w:space="0" w:color="auto"/>
            </w:tcBorders>
          </w:tcPr>
          <w:p w:rsidR="00B55CE9" w:rsidRPr="00B55CE9" w:rsidRDefault="00B55CE9" w:rsidP="00B55CE9">
            <w:pPr>
              <w:jc w:val="left"/>
              <w:rPr>
                <w:sz w:val="20"/>
                <w:szCs w:val="20"/>
              </w:rPr>
            </w:pPr>
            <w:r w:rsidRPr="00B55CE9">
              <w:rPr>
                <w:sz w:val="20"/>
                <w:szCs w:val="20"/>
              </w:rPr>
              <w:t>5896956</w:t>
            </w:r>
          </w:p>
          <w:p w:rsidR="00674BC9" w:rsidRDefault="00674BC9">
            <w:pPr>
              <w:jc w:val="left"/>
              <w:rPr>
                <w:sz w:val="20"/>
                <w:szCs w:val="20"/>
              </w:rPr>
            </w:pPr>
          </w:p>
        </w:tc>
        <w:tc>
          <w:tcPr>
            <w:tcW w:w="1134" w:type="dxa"/>
            <w:tcBorders>
              <w:top w:val="single" w:sz="12" w:space="0" w:color="auto"/>
            </w:tcBorders>
          </w:tcPr>
          <w:p w:rsidR="00B55CE9" w:rsidRPr="00B55CE9" w:rsidRDefault="00B55CE9" w:rsidP="00B55CE9">
            <w:pPr>
              <w:jc w:val="left"/>
              <w:rPr>
                <w:sz w:val="20"/>
                <w:szCs w:val="20"/>
              </w:rPr>
            </w:pPr>
            <w:r w:rsidRPr="00B55CE9">
              <w:rPr>
                <w:sz w:val="20"/>
                <w:szCs w:val="20"/>
              </w:rPr>
              <w:t>23088950,99</w:t>
            </w:r>
          </w:p>
          <w:p w:rsidR="00674BC9" w:rsidRDefault="00674BC9">
            <w:pPr>
              <w:jc w:val="left"/>
              <w:rPr>
                <w:sz w:val="20"/>
                <w:szCs w:val="20"/>
              </w:rPr>
            </w:pPr>
          </w:p>
        </w:tc>
        <w:tc>
          <w:tcPr>
            <w:tcW w:w="850" w:type="dxa"/>
            <w:tcBorders>
              <w:top w:val="single" w:sz="12" w:space="0" w:color="auto"/>
            </w:tcBorders>
          </w:tcPr>
          <w:p w:rsidR="00674BC9" w:rsidRDefault="00B55CE9">
            <w:pPr>
              <w:jc w:val="left"/>
              <w:rPr>
                <w:sz w:val="20"/>
                <w:szCs w:val="20"/>
              </w:rPr>
            </w:pPr>
            <w:r>
              <w:rPr>
                <w:sz w:val="20"/>
                <w:szCs w:val="20"/>
              </w:rPr>
              <w:t>ŘO</w:t>
            </w:r>
          </w:p>
        </w:tc>
        <w:tc>
          <w:tcPr>
            <w:tcW w:w="992" w:type="dxa"/>
            <w:tcBorders>
              <w:top w:val="single" w:sz="12" w:space="0" w:color="auto"/>
            </w:tcBorders>
          </w:tcPr>
          <w:p w:rsidR="00674BC9" w:rsidRDefault="00B55CE9">
            <w:pPr>
              <w:jc w:val="left"/>
              <w:rPr>
                <w:sz w:val="20"/>
                <w:szCs w:val="20"/>
              </w:rPr>
            </w:pPr>
            <w:r>
              <w:rPr>
                <w:sz w:val="20"/>
                <w:szCs w:val="20"/>
              </w:rPr>
              <w:t>-</w:t>
            </w:r>
          </w:p>
        </w:tc>
      </w:tr>
      <w:tr w:rsidR="008D4D66" w:rsidRPr="00AC2742" w:rsidTr="00F625C4">
        <w:tc>
          <w:tcPr>
            <w:tcW w:w="959" w:type="dxa"/>
            <w:tcBorders>
              <w:top w:val="single" w:sz="12" w:space="0" w:color="auto"/>
            </w:tcBorders>
          </w:tcPr>
          <w:p w:rsidR="00674BC9" w:rsidRDefault="008D4D66">
            <w:pPr>
              <w:jc w:val="left"/>
              <w:rPr>
                <w:sz w:val="20"/>
                <w:szCs w:val="20"/>
              </w:rPr>
            </w:pPr>
            <w:r w:rsidRPr="003A2CB2">
              <w:rPr>
                <w:sz w:val="20"/>
                <w:szCs w:val="20"/>
              </w:rPr>
              <w:t>PO 3</w:t>
            </w:r>
          </w:p>
        </w:tc>
        <w:tc>
          <w:tcPr>
            <w:tcW w:w="992" w:type="dxa"/>
            <w:tcBorders>
              <w:top w:val="single" w:sz="12" w:space="0" w:color="auto"/>
            </w:tcBorders>
          </w:tcPr>
          <w:p w:rsidR="00674BC9" w:rsidRDefault="008D4D66">
            <w:pPr>
              <w:jc w:val="left"/>
              <w:rPr>
                <w:sz w:val="20"/>
                <w:szCs w:val="20"/>
              </w:rPr>
            </w:pPr>
            <w:r>
              <w:rPr>
                <w:sz w:val="20"/>
                <w:szCs w:val="20"/>
              </w:rPr>
              <w:t>výstupový</w:t>
            </w:r>
          </w:p>
        </w:tc>
        <w:tc>
          <w:tcPr>
            <w:tcW w:w="567" w:type="dxa"/>
            <w:tcBorders>
              <w:top w:val="single" w:sz="12" w:space="0" w:color="auto"/>
            </w:tcBorders>
          </w:tcPr>
          <w:p w:rsidR="00674BC9" w:rsidRDefault="008D4D66">
            <w:pPr>
              <w:spacing w:line="276" w:lineRule="auto"/>
              <w:jc w:val="left"/>
              <w:rPr>
                <w:sz w:val="20"/>
                <w:szCs w:val="20"/>
              </w:rPr>
            </w:pPr>
            <w:r>
              <w:rPr>
                <w:sz w:val="20"/>
                <w:szCs w:val="20"/>
              </w:rPr>
              <w:t>401</w:t>
            </w:r>
            <w:r w:rsidRPr="00195455">
              <w:rPr>
                <w:sz w:val="20"/>
                <w:szCs w:val="20"/>
              </w:rPr>
              <w:t>02</w:t>
            </w:r>
          </w:p>
        </w:tc>
        <w:tc>
          <w:tcPr>
            <w:tcW w:w="851" w:type="dxa"/>
            <w:tcBorders>
              <w:top w:val="single" w:sz="12" w:space="0" w:color="auto"/>
            </w:tcBorders>
          </w:tcPr>
          <w:p w:rsidR="00674BC9" w:rsidRDefault="0033290F">
            <w:pPr>
              <w:spacing w:line="276" w:lineRule="auto"/>
              <w:jc w:val="left"/>
              <w:rPr>
                <w:sz w:val="20"/>
                <w:szCs w:val="20"/>
              </w:rPr>
            </w:pPr>
            <w:r w:rsidRPr="0033290F">
              <w:rPr>
                <w:sz w:val="20"/>
                <w:szCs w:val="20"/>
              </w:rPr>
              <w:t xml:space="preserve">Kapacita podpořených zařízení pro materiálové využití </w:t>
            </w:r>
            <w:r w:rsidRPr="0033290F">
              <w:rPr>
                <w:sz w:val="20"/>
                <w:szCs w:val="20"/>
              </w:rPr>
              <w:lastRenderedPageBreak/>
              <w:t xml:space="preserve">ostatních odpadů </w:t>
            </w:r>
          </w:p>
        </w:tc>
        <w:tc>
          <w:tcPr>
            <w:tcW w:w="708" w:type="dxa"/>
            <w:tcBorders>
              <w:top w:val="single" w:sz="12" w:space="0" w:color="auto"/>
            </w:tcBorders>
          </w:tcPr>
          <w:p w:rsidR="00674BC9" w:rsidRDefault="0033290F">
            <w:pPr>
              <w:spacing w:line="276" w:lineRule="auto"/>
              <w:jc w:val="left"/>
              <w:rPr>
                <w:sz w:val="20"/>
                <w:szCs w:val="20"/>
              </w:rPr>
            </w:pPr>
            <w:r w:rsidRPr="0033290F">
              <w:rPr>
                <w:sz w:val="20"/>
                <w:szCs w:val="20"/>
              </w:rPr>
              <w:lastRenderedPageBreak/>
              <w:t>t/rok</w:t>
            </w:r>
          </w:p>
        </w:tc>
        <w:tc>
          <w:tcPr>
            <w:tcW w:w="567" w:type="dxa"/>
            <w:tcBorders>
              <w:top w:val="single" w:sz="12" w:space="0" w:color="auto"/>
            </w:tcBorders>
          </w:tcPr>
          <w:p w:rsidR="00674BC9" w:rsidRDefault="0033290F">
            <w:pPr>
              <w:spacing w:line="276" w:lineRule="auto"/>
              <w:jc w:val="left"/>
              <w:rPr>
                <w:sz w:val="20"/>
                <w:szCs w:val="20"/>
              </w:rPr>
            </w:pPr>
            <w:r w:rsidRPr="0033290F">
              <w:rPr>
                <w:sz w:val="20"/>
                <w:szCs w:val="20"/>
              </w:rPr>
              <w:t>FS</w:t>
            </w:r>
          </w:p>
        </w:tc>
        <w:tc>
          <w:tcPr>
            <w:tcW w:w="851" w:type="dxa"/>
            <w:tcBorders>
              <w:top w:val="single" w:sz="12" w:space="0" w:color="auto"/>
            </w:tcBorders>
          </w:tcPr>
          <w:p w:rsidR="00674BC9" w:rsidRDefault="0033290F">
            <w:pPr>
              <w:spacing w:line="276" w:lineRule="auto"/>
              <w:jc w:val="left"/>
              <w:rPr>
                <w:sz w:val="20"/>
                <w:szCs w:val="20"/>
              </w:rPr>
            </w:pPr>
            <w:r w:rsidRPr="0033290F">
              <w:rPr>
                <w:sz w:val="20"/>
                <w:szCs w:val="20"/>
              </w:rPr>
              <w:t>Není relevantní</w:t>
            </w:r>
          </w:p>
        </w:tc>
        <w:tc>
          <w:tcPr>
            <w:tcW w:w="709" w:type="dxa"/>
            <w:tcBorders>
              <w:top w:val="single" w:sz="12" w:space="0" w:color="auto"/>
            </w:tcBorders>
          </w:tcPr>
          <w:p w:rsidR="00674BC9" w:rsidRDefault="0033290F">
            <w:pPr>
              <w:spacing w:line="276" w:lineRule="auto"/>
              <w:jc w:val="left"/>
              <w:rPr>
                <w:sz w:val="20"/>
                <w:szCs w:val="20"/>
              </w:rPr>
            </w:pPr>
            <w:r w:rsidRPr="0033290F">
              <w:rPr>
                <w:sz w:val="20"/>
                <w:szCs w:val="20"/>
              </w:rPr>
              <w:t>300 000</w:t>
            </w:r>
          </w:p>
        </w:tc>
        <w:tc>
          <w:tcPr>
            <w:tcW w:w="1134" w:type="dxa"/>
            <w:tcBorders>
              <w:top w:val="single" w:sz="12" w:space="0" w:color="auto"/>
            </w:tcBorders>
          </w:tcPr>
          <w:p w:rsidR="00674BC9" w:rsidRDefault="0033290F">
            <w:pPr>
              <w:spacing w:line="276" w:lineRule="auto"/>
              <w:jc w:val="left"/>
              <w:rPr>
                <w:sz w:val="20"/>
                <w:szCs w:val="20"/>
              </w:rPr>
            </w:pPr>
            <w:r w:rsidRPr="0033290F">
              <w:rPr>
                <w:sz w:val="20"/>
                <w:szCs w:val="20"/>
              </w:rPr>
              <w:t>2 000 000</w:t>
            </w:r>
          </w:p>
        </w:tc>
        <w:tc>
          <w:tcPr>
            <w:tcW w:w="850" w:type="dxa"/>
            <w:tcBorders>
              <w:top w:val="single" w:sz="12" w:space="0" w:color="auto"/>
            </w:tcBorders>
          </w:tcPr>
          <w:p w:rsidR="00674BC9" w:rsidRDefault="0033290F">
            <w:pPr>
              <w:spacing w:line="276" w:lineRule="auto"/>
              <w:jc w:val="left"/>
              <w:rPr>
                <w:sz w:val="20"/>
                <w:szCs w:val="20"/>
              </w:rPr>
            </w:pPr>
            <w:r w:rsidRPr="0033290F">
              <w:rPr>
                <w:sz w:val="20"/>
                <w:szCs w:val="20"/>
              </w:rPr>
              <w:t>Žadatel/příjemce</w:t>
            </w:r>
          </w:p>
        </w:tc>
        <w:tc>
          <w:tcPr>
            <w:tcW w:w="992" w:type="dxa"/>
            <w:tcBorders>
              <w:top w:val="single" w:sz="12" w:space="0" w:color="auto"/>
            </w:tcBorders>
          </w:tcPr>
          <w:p w:rsidR="00674BC9" w:rsidRDefault="0033290F">
            <w:pPr>
              <w:spacing w:line="276" w:lineRule="auto"/>
              <w:jc w:val="left"/>
              <w:rPr>
                <w:sz w:val="20"/>
                <w:szCs w:val="20"/>
              </w:rPr>
            </w:pPr>
            <w:r w:rsidRPr="0033290F">
              <w:rPr>
                <w:sz w:val="20"/>
                <w:szCs w:val="20"/>
              </w:rPr>
              <w:t>Kapacita nově vybudovaných zařízení na materiálové využití ostatníc</w:t>
            </w:r>
            <w:r w:rsidRPr="0033290F">
              <w:rPr>
                <w:sz w:val="20"/>
                <w:szCs w:val="20"/>
              </w:rPr>
              <w:lastRenderedPageBreak/>
              <w:t>h odpadů /navýšení kapacity modernizovaných stávajících zařízení na materiálové využití ostatních odpadů v daném roce.</w:t>
            </w:r>
          </w:p>
          <w:p w:rsidR="00674BC9" w:rsidRDefault="0033290F">
            <w:pPr>
              <w:spacing w:line="276" w:lineRule="auto"/>
              <w:jc w:val="left"/>
              <w:rPr>
                <w:sz w:val="20"/>
                <w:szCs w:val="20"/>
              </w:rPr>
            </w:pPr>
            <w:r w:rsidRPr="0033290F">
              <w:rPr>
                <w:sz w:val="20"/>
                <w:szCs w:val="20"/>
              </w:rPr>
              <w:t>(Zařízení na recyklaci odpadů, kompostárny, zařízení na úpravu elektroodpadu, autovrak</w:t>
            </w:r>
            <w:r w:rsidR="008D4D66" w:rsidRPr="003A2CB2">
              <w:rPr>
                <w:sz w:val="20"/>
                <w:szCs w:val="20"/>
              </w:rPr>
              <w:t>ů, atd.).</w:t>
            </w:r>
          </w:p>
        </w:tc>
      </w:tr>
      <w:tr w:rsidR="008D4D66" w:rsidRPr="00AC2742" w:rsidTr="00F625C4">
        <w:tc>
          <w:tcPr>
            <w:tcW w:w="959" w:type="dxa"/>
          </w:tcPr>
          <w:p w:rsidR="00674BC9" w:rsidRDefault="008D4D66">
            <w:pPr>
              <w:jc w:val="left"/>
              <w:rPr>
                <w:sz w:val="20"/>
                <w:szCs w:val="20"/>
              </w:rPr>
            </w:pPr>
            <w:r w:rsidRPr="003A2CB2">
              <w:rPr>
                <w:sz w:val="20"/>
                <w:szCs w:val="20"/>
              </w:rPr>
              <w:lastRenderedPageBreak/>
              <w:t>PO 3</w:t>
            </w:r>
          </w:p>
        </w:tc>
        <w:tc>
          <w:tcPr>
            <w:tcW w:w="992" w:type="dxa"/>
          </w:tcPr>
          <w:p w:rsidR="00674BC9" w:rsidRDefault="008D4D66">
            <w:pPr>
              <w:spacing w:line="276" w:lineRule="auto"/>
              <w:jc w:val="left"/>
              <w:rPr>
                <w:sz w:val="20"/>
                <w:szCs w:val="20"/>
              </w:rPr>
            </w:pPr>
            <w:r>
              <w:rPr>
                <w:rFonts w:cs="Arial"/>
                <w:sz w:val="20"/>
                <w:szCs w:val="20"/>
              </w:rPr>
              <w:t>výsledkový</w:t>
            </w:r>
          </w:p>
        </w:tc>
        <w:tc>
          <w:tcPr>
            <w:tcW w:w="567" w:type="dxa"/>
          </w:tcPr>
          <w:p w:rsidR="00674BC9" w:rsidRDefault="008D4D66">
            <w:pPr>
              <w:spacing w:line="276" w:lineRule="auto"/>
              <w:jc w:val="left"/>
              <w:rPr>
                <w:sz w:val="20"/>
                <w:szCs w:val="20"/>
              </w:rPr>
            </w:pPr>
            <w:r>
              <w:rPr>
                <w:sz w:val="20"/>
                <w:szCs w:val="20"/>
              </w:rPr>
              <w:t>4</w:t>
            </w:r>
            <w:r w:rsidRPr="00195455">
              <w:rPr>
                <w:sz w:val="20"/>
                <w:szCs w:val="20"/>
              </w:rPr>
              <w:t>1011</w:t>
            </w:r>
          </w:p>
        </w:tc>
        <w:tc>
          <w:tcPr>
            <w:tcW w:w="851" w:type="dxa"/>
          </w:tcPr>
          <w:p w:rsidR="00674BC9" w:rsidRDefault="0033290F">
            <w:pPr>
              <w:spacing w:line="276" w:lineRule="auto"/>
              <w:jc w:val="left"/>
              <w:rPr>
                <w:sz w:val="20"/>
                <w:szCs w:val="20"/>
              </w:rPr>
            </w:pPr>
            <w:r w:rsidRPr="0033290F">
              <w:rPr>
                <w:sz w:val="20"/>
                <w:szCs w:val="20"/>
              </w:rPr>
              <w:t xml:space="preserve">Snížení rizika </w:t>
            </w:r>
            <w:r w:rsidRPr="0033290F">
              <w:rPr>
                <w:rFonts w:cs="Arial"/>
                <w:sz w:val="20"/>
                <w:szCs w:val="20"/>
              </w:rPr>
              <w:t>při nakládání s nebezpečnými látkami</w:t>
            </w:r>
          </w:p>
        </w:tc>
        <w:tc>
          <w:tcPr>
            <w:tcW w:w="708" w:type="dxa"/>
          </w:tcPr>
          <w:p w:rsidR="00674BC9" w:rsidRDefault="0033290F">
            <w:pPr>
              <w:spacing w:line="276" w:lineRule="auto"/>
              <w:jc w:val="left"/>
              <w:rPr>
                <w:sz w:val="20"/>
                <w:szCs w:val="20"/>
              </w:rPr>
            </w:pPr>
            <w:r w:rsidRPr="0033290F">
              <w:rPr>
                <w:sz w:val="20"/>
                <w:szCs w:val="20"/>
              </w:rPr>
              <w:t>Relativní míra rizika</w:t>
            </w:r>
          </w:p>
        </w:tc>
        <w:tc>
          <w:tcPr>
            <w:tcW w:w="567" w:type="dxa"/>
          </w:tcPr>
          <w:p w:rsidR="00674BC9" w:rsidRDefault="0033290F">
            <w:pPr>
              <w:spacing w:line="276" w:lineRule="auto"/>
              <w:jc w:val="left"/>
              <w:rPr>
                <w:sz w:val="20"/>
                <w:szCs w:val="20"/>
              </w:rPr>
            </w:pPr>
            <w:r w:rsidRPr="0033290F">
              <w:rPr>
                <w:sz w:val="20"/>
                <w:szCs w:val="20"/>
              </w:rPr>
              <w:t>EFRR</w:t>
            </w:r>
          </w:p>
        </w:tc>
        <w:tc>
          <w:tcPr>
            <w:tcW w:w="851" w:type="dxa"/>
          </w:tcPr>
          <w:p w:rsidR="00674BC9" w:rsidRDefault="0033290F">
            <w:pPr>
              <w:spacing w:line="276" w:lineRule="auto"/>
              <w:jc w:val="left"/>
              <w:rPr>
                <w:sz w:val="20"/>
                <w:szCs w:val="20"/>
              </w:rPr>
            </w:pPr>
            <w:r w:rsidRPr="0033290F">
              <w:rPr>
                <w:sz w:val="20"/>
                <w:szCs w:val="20"/>
              </w:rPr>
              <w:t>Méně vyspělé regiony</w:t>
            </w:r>
          </w:p>
        </w:tc>
        <w:tc>
          <w:tcPr>
            <w:tcW w:w="709" w:type="dxa"/>
          </w:tcPr>
          <w:p w:rsidR="00674BC9" w:rsidRDefault="0033290F">
            <w:pPr>
              <w:spacing w:line="276" w:lineRule="auto"/>
              <w:jc w:val="left"/>
              <w:rPr>
                <w:sz w:val="20"/>
                <w:szCs w:val="20"/>
              </w:rPr>
            </w:pPr>
            <w:r w:rsidRPr="0033290F">
              <w:rPr>
                <w:sz w:val="20"/>
                <w:szCs w:val="20"/>
              </w:rPr>
              <w:t>0,9</w:t>
            </w:r>
          </w:p>
        </w:tc>
        <w:tc>
          <w:tcPr>
            <w:tcW w:w="1134" w:type="dxa"/>
          </w:tcPr>
          <w:p w:rsidR="00674BC9" w:rsidRDefault="0033290F">
            <w:pPr>
              <w:spacing w:line="276" w:lineRule="auto"/>
              <w:jc w:val="left"/>
              <w:rPr>
                <w:sz w:val="20"/>
                <w:szCs w:val="20"/>
              </w:rPr>
            </w:pPr>
            <w:r w:rsidRPr="0033290F">
              <w:rPr>
                <w:sz w:val="20"/>
                <w:szCs w:val="20"/>
              </w:rPr>
              <w:t>0,8</w:t>
            </w:r>
          </w:p>
        </w:tc>
        <w:tc>
          <w:tcPr>
            <w:tcW w:w="850" w:type="dxa"/>
          </w:tcPr>
          <w:p w:rsidR="00674BC9" w:rsidRDefault="0033290F">
            <w:pPr>
              <w:spacing w:line="276" w:lineRule="auto"/>
              <w:jc w:val="left"/>
              <w:rPr>
                <w:sz w:val="20"/>
                <w:szCs w:val="20"/>
              </w:rPr>
            </w:pPr>
            <w:r w:rsidRPr="0033290F">
              <w:rPr>
                <w:sz w:val="20"/>
                <w:szCs w:val="20"/>
              </w:rPr>
              <w:t>Žadatel/příjemce</w:t>
            </w:r>
          </w:p>
        </w:tc>
        <w:tc>
          <w:tcPr>
            <w:tcW w:w="992" w:type="dxa"/>
          </w:tcPr>
          <w:p w:rsidR="00674BC9" w:rsidRDefault="005F0C81">
            <w:pPr>
              <w:spacing w:line="276" w:lineRule="auto"/>
              <w:jc w:val="left"/>
              <w:rPr>
                <w:sz w:val="20"/>
                <w:szCs w:val="20"/>
              </w:rPr>
            </w:pPr>
            <w:r>
              <w:rPr>
                <w:sz w:val="20"/>
                <w:szCs w:val="20"/>
              </w:rPr>
              <w:t>-</w:t>
            </w:r>
          </w:p>
        </w:tc>
      </w:tr>
    </w:tbl>
    <w:p w:rsidR="00674BC9" w:rsidRDefault="00674BC9">
      <w:bookmarkStart w:id="2737" w:name="_Toc384907443"/>
    </w:p>
    <w:p w:rsidR="001B0121" w:rsidRPr="004314F4" w:rsidRDefault="001B0121" w:rsidP="00C47308">
      <w:pPr>
        <w:pStyle w:val="Nadpis3"/>
      </w:pPr>
      <w:bookmarkStart w:id="2738" w:name="_Toc392151037"/>
      <w:r w:rsidRPr="004314F4">
        <w:lastRenderedPageBreak/>
        <w:t xml:space="preserve">Kategorie </w:t>
      </w:r>
      <w:bookmarkEnd w:id="2737"/>
      <w:r w:rsidR="0053376D">
        <w:t>zásahů</w:t>
      </w:r>
      <w:bookmarkEnd w:id="2738"/>
    </w:p>
    <w:p w:rsidR="003C6D96" w:rsidRDefault="00C514A7" w:rsidP="00B66FDE">
      <w:pPr>
        <w:pStyle w:val="Titulek"/>
      </w:pPr>
      <w:bookmarkStart w:id="2739" w:name="_Toc384907444"/>
      <w:r>
        <w:t>Dimenze 1 – Oblast zásahu</w:t>
      </w:r>
      <w:bookmarkEnd w:id="2739"/>
    </w:p>
    <w:tbl>
      <w:tblPr>
        <w:tblStyle w:val="Mkatabulky"/>
        <w:tblW w:w="0" w:type="auto"/>
        <w:tblLook w:val="04A0" w:firstRow="1" w:lastRow="0" w:firstColumn="1" w:lastColumn="0" w:noHBand="0" w:noVBand="1"/>
      </w:tblPr>
      <w:tblGrid>
        <w:gridCol w:w="3070"/>
        <w:gridCol w:w="3070"/>
        <w:gridCol w:w="2899"/>
      </w:tblGrid>
      <w:tr w:rsidR="00C514A7" w:rsidTr="00177B95">
        <w:tc>
          <w:tcPr>
            <w:tcW w:w="3070" w:type="dxa"/>
          </w:tcPr>
          <w:p w:rsidR="00C514A7" w:rsidRPr="002355B5" w:rsidRDefault="00C514A7" w:rsidP="00867818">
            <w:r w:rsidRPr="002355B5">
              <w:t>Fond</w:t>
            </w:r>
          </w:p>
        </w:tc>
        <w:tc>
          <w:tcPr>
            <w:tcW w:w="5969" w:type="dxa"/>
            <w:gridSpan w:val="2"/>
          </w:tcPr>
          <w:p w:rsidR="00C514A7" w:rsidRPr="002355B5" w:rsidRDefault="00C514A7" w:rsidP="00867818">
            <w:r w:rsidRPr="002355B5">
              <w:t>Fond soudržnosti</w:t>
            </w:r>
          </w:p>
        </w:tc>
      </w:tr>
      <w:tr w:rsidR="00C514A7" w:rsidTr="00177B95">
        <w:tc>
          <w:tcPr>
            <w:tcW w:w="3070" w:type="dxa"/>
          </w:tcPr>
          <w:p w:rsidR="00C514A7" w:rsidRPr="002355B5" w:rsidRDefault="00C514A7" w:rsidP="00867818">
            <w:r w:rsidRPr="002355B5">
              <w:t>Kategorie regionů</w:t>
            </w:r>
          </w:p>
        </w:tc>
        <w:tc>
          <w:tcPr>
            <w:tcW w:w="5969" w:type="dxa"/>
            <w:gridSpan w:val="2"/>
          </w:tcPr>
          <w:p w:rsidR="00C514A7" w:rsidRPr="002355B5" w:rsidRDefault="00C514A7" w:rsidP="00C514A7">
            <w:r w:rsidRPr="002355B5">
              <w:t>Není relevantní pro SC 1, SC 2, SC 3, SC 4</w:t>
            </w:r>
          </w:p>
        </w:tc>
      </w:tr>
      <w:tr w:rsidR="00C514A7" w:rsidTr="00177B95">
        <w:tc>
          <w:tcPr>
            <w:tcW w:w="3070" w:type="dxa"/>
          </w:tcPr>
          <w:p w:rsidR="00C514A7" w:rsidRPr="002355B5" w:rsidRDefault="00C514A7" w:rsidP="00867818">
            <w:r w:rsidRPr="002355B5">
              <w:t>Prioritní osa</w:t>
            </w:r>
          </w:p>
        </w:tc>
        <w:tc>
          <w:tcPr>
            <w:tcW w:w="3070" w:type="dxa"/>
          </w:tcPr>
          <w:p w:rsidR="00C514A7" w:rsidRPr="002355B5" w:rsidRDefault="00C514A7" w:rsidP="00867818">
            <w:r w:rsidRPr="002355B5">
              <w:t xml:space="preserve">Kód </w:t>
            </w:r>
          </w:p>
        </w:tc>
        <w:tc>
          <w:tcPr>
            <w:tcW w:w="2899" w:type="dxa"/>
          </w:tcPr>
          <w:p w:rsidR="00C514A7" w:rsidRPr="002355B5" w:rsidRDefault="0033290F" w:rsidP="00867818">
            <w:pPr>
              <w:spacing w:line="276" w:lineRule="auto"/>
            </w:pPr>
            <w:r w:rsidRPr="0033290F">
              <w:t xml:space="preserve">Částka (v </w:t>
            </w:r>
            <w:proofErr w:type="gramStart"/>
            <w:r w:rsidRPr="0033290F">
              <w:t>EUR</w:t>
            </w:r>
            <w:proofErr w:type="gramEnd"/>
            <w:r w:rsidRPr="0033290F">
              <w:t>)</w:t>
            </w:r>
          </w:p>
        </w:tc>
      </w:tr>
      <w:tr w:rsidR="0070301C" w:rsidTr="00262C0E">
        <w:tc>
          <w:tcPr>
            <w:tcW w:w="3070" w:type="dxa"/>
          </w:tcPr>
          <w:p w:rsidR="0070301C" w:rsidRPr="002355B5" w:rsidRDefault="0070301C" w:rsidP="00C514A7">
            <w:r w:rsidRPr="002355B5">
              <w:t>Prioritní osa 3</w:t>
            </w:r>
          </w:p>
        </w:tc>
        <w:tc>
          <w:tcPr>
            <w:tcW w:w="3070" w:type="dxa"/>
          </w:tcPr>
          <w:p w:rsidR="0070301C" w:rsidRPr="002355B5" w:rsidRDefault="0070301C" w:rsidP="00867818">
            <w:pPr>
              <w:spacing w:line="276" w:lineRule="auto"/>
            </w:pPr>
            <w:r>
              <w:rPr>
                <w:rFonts w:eastAsia="Times New Roman" w:cs="Times New Roman"/>
                <w:color w:val="000000"/>
              </w:rPr>
              <w:t>017</w:t>
            </w:r>
          </w:p>
        </w:tc>
        <w:tc>
          <w:tcPr>
            <w:tcW w:w="2899" w:type="dxa"/>
          </w:tcPr>
          <w:p w:rsidR="0070301C" w:rsidRPr="00743868" w:rsidRDefault="0070301C" w:rsidP="00867818">
            <w:pPr>
              <w:spacing w:line="276" w:lineRule="auto"/>
            </w:pPr>
            <w:r>
              <w:rPr>
                <w:rFonts w:eastAsia="Times New Roman" w:cs="Times New Roman"/>
                <w:color w:val="000000"/>
              </w:rPr>
              <w:t>66 231 118</w:t>
            </w:r>
          </w:p>
        </w:tc>
      </w:tr>
      <w:tr w:rsidR="0070301C" w:rsidTr="00262C0E">
        <w:tc>
          <w:tcPr>
            <w:tcW w:w="3070" w:type="dxa"/>
          </w:tcPr>
          <w:p w:rsidR="0070301C" w:rsidRPr="002355B5" w:rsidRDefault="0070301C" w:rsidP="00C514A7">
            <w:r w:rsidRPr="002355B5">
              <w:t>Prioritní osa 3</w:t>
            </w:r>
          </w:p>
        </w:tc>
        <w:tc>
          <w:tcPr>
            <w:tcW w:w="3070" w:type="dxa"/>
          </w:tcPr>
          <w:p w:rsidR="0070301C" w:rsidRPr="002355B5" w:rsidRDefault="0070301C" w:rsidP="00867818">
            <w:pPr>
              <w:rPr>
                <w:color w:val="000000"/>
              </w:rPr>
            </w:pPr>
            <w:r>
              <w:rPr>
                <w:rFonts w:eastAsia="Times New Roman" w:cs="Times New Roman"/>
                <w:color w:val="000000"/>
              </w:rPr>
              <w:t>018</w:t>
            </w:r>
          </w:p>
        </w:tc>
        <w:tc>
          <w:tcPr>
            <w:tcW w:w="2899" w:type="dxa"/>
          </w:tcPr>
          <w:p w:rsidR="0070301C" w:rsidRPr="00743868" w:rsidRDefault="0070301C" w:rsidP="00867818">
            <w:pPr>
              <w:spacing w:line="276" w:lineRule="auto"/>
              <w:rPr>
                <w:color w:val="000000"/>
              </w:rPr>
            </w:pPr>
            <w:r>
              <w:rPr>
                <w:rFonts w:eastAsia="Times New Roman" w:cs="Times New Roman"/>
                <w:color w:val="000000"/>
              </w:rPr>
              <w:t>175 054 947</w:t>
            </w:r>
          </w:p>
        </w:tc>
      </w:tr>
      <w:tr w:rsidR="0070301C" w:rsidTr="00262C0E">
        <w:tc>
          <w:tcPr>
            <w:tcW w:w="3070" w:type="dxa"/>
          </w:tcPr>
          <w:p w:rsidR="0070301C" w:rsidRPr="002355B5" w:rsidRDefault="0070301C" w:rsidP="00C514A7">
            <w:r w:rsidRPr="002355B5">
              <w:t>Prioritní osa 3</w:t>
            </w:r>
          </w:p>
        </w:tc>
        <w:tc>
          <w:tcPr>
            <w:tcW w:w="3070" w:type="dxa"/>
          </w:tcPr>
          <w:p w:rsidR="0070301C" w:rsidRPr="002355B5" w:rsidRDefault="0070301C" w:rsidP="00867818">
            <w:pPr>
              <w:rPr>
                <w:color w:val="000000"/>
              </w:rPr>
            </w:pPr>
            <w:r>
              <w:rPr>
                <w:rFonts w:eastAsia="Times New Roman" w:cs="Times New Roman"/>
                <w:color w:val="000000"/>
              </w:rPr>
              <w:t>019</w:t>
            </w:r>
          </w:p>
        </w:tc>
        <w:tc>
          <w:tcPr>
            <w:tcW w:w="2899" w:type="dxa"/>
          </w:tcPr>
          <w:p w:rsidR="0070301C" w:rsidRPr="00743868" w:rsidRDefault="0070301C" w:rsidP="00867818">
            <w:pPr>
              <w:spacing w:line="276" w:lineRule="auto"/>
              <w:rPr>
                <w:color w:val="000000"/>
              </w:rPr>
            </w:pPr>
            <w:r>
              <w:rPr>
                <w:rFonts w:eastAsia="Times New Roman" w:cs="Times New Roman"/>
                <w:color w:val="000000"/>
              </w:rPr>
              <w:t>78 976 252</w:t>
            </w:r>
          </w:p>
        </w:tc>
      </w:tr>
      <w:tr w:rsidR="009B3801" w:rsidTr="00177B95">
        <w:tc>
          <w:tcPr>
            <w:tcW w:w="3070" w:type="dxa"/>
          </w:tcPr>
          <w:p w:rsidR="009B3801" w:rsidRPr="002355B5" w:rsidRDefault="009B3801" w:rsidP="001E4A8D">
            <w:r w:rsidRPr="002355B5">
              <w:t xml:space="preserve">Prioritní osa 3 </w:t>
            </w:r>
          </w:p>
        </w:tc>
        <w:tc>
          <w:tcPr>
            <w:tcW w:w="3070" w:type="dxa"/>
          </w:tcPr>
          <w:p w:rsidR="009B3801" w:rsidRPr="002355B5" w:rsidRDefault="009B3801" w:rsidP="00867818">
            <w:pPr>
              <w:rPr>
                <w:color w:val="000000"/>
              </w:rPr>
            </w:pPr>
            <w:r w:rsidRPr="002355B5">
              <w:rPr>
                <w:color w:val="000000"/>
              </w:rPr>
              <w:t>089</w:t>
            </w:r>
          </w:p>
        </w:tc>
        <w:tc>
          <w:tcPr>
            <w:tcW w:w="2899" w:type="dxa"/>
          </w:tcPr>
          <w:p w:rsidR="009B3801" w:rsidRPr="00743868" w:rsidRDefault="00814F15" w:rsidP="00867818">
            <w:pPr>
              <w:spacing w:line="276" w:lineRule="auto"/>
              <w:rPr>
                <w:color w:val="000000"/>
              </w:rPr>
            </w:pPr>
            <w:r w:rsidRPr="00743868">
              <w:rPr>
                <w:color w:val="000000"/>
              </w:rPr>
              <w:t>115 468 727</w:t>
            </w:r>
          </w:p>
        </w:tc>
      </w:tr>
    </w:tbl>
    <w:p w:rsidR="00674BC9" w:rsidRDefault="00674BC9">
      <w:pPr>
        <w:pStyle w:val="Titulek"/>
        <w:numPr>
          <w:ilvl w:val="0"/>
          <w:numId w:val="0"/>
        </w:numPr>
      </w:pPr>
    </w:p>
    <w:p w:rsidR="00674BC9" w:rsidRDefault="00C514A7">
      <w:pPr>
        <w:pStyle w:val="Titulek"/>
      </w:pPr>
      <w:r>
        <w:t>Dimenze 2 – Forma financování</w:t>
      </w:r>
    </w:p>
    <w:tbl>
      <w:tblPr>
        <w:tblStyle w:val="Mkatabulky"/>
        <w:tblW w:w="0" w:type="auto"/>
        <w:tblLook w:val="04A0" w:firstRow="1" w:lastRow="0" w:firstColumn="1" w:lastColumn="0" w:noHBand="0" w:noVBand="1"/>
      </w:tblPr>
      <w:tblGrid>
        <w:gridCol w:w="3070"/>
        <w:gridCol w:w="3070"/>
        <w:gridCol w:w="2899"/>
      </w:tblGrid>
      <w:tr w:rsidR="00C514A7" w:rsidTr="00177B95">
        <w:tc>
          <w:tcPr>
            <w:tcW w:w="3070" w:type="dxa"/>
          </w:tcPr>
          <w:p w:rsidR="00C514A7" w:rsidRPr="002355B5" w:rsidRDefault="00C514A7" w:rsidP="00867818">
            <w:r w:rsidRPr="002355B5">
              <w:t>Fond</w:t>
            </w:r>
          </w:p>
        </w:tc>
        <w:tc>
          <w:tcPr>
            <w:tcW w:w="5969" w:type="dxa"/>
            <w:gridSpan w:val="2"/>
          </w:tcPr>
          <w:p w:rsidR="00C514A7" w:rsidRPr="002355B5" w:rsidRDefault="00C514A7" w:rsidP="00867818">
            <w:r w:rsidRPr="002355B5">
              <w:t>Fond soudržnosti</w:t>
            </w:r>
          </w:p>
        </w:tc>
      </w:tr>
      <w:tr w:rsidR="00C514A7" w:rsidTr="00177B95">
        <w:tc>
          <w:tcPr>
            <w:tcW w:w="3070" w:type="dxa"/>
          </w:tcPr>
          <w:p w:rsidR="00C514A7" w:rsidRPr="002355B5" w:rsidRDefault="00C514A7" w:rsidP="00867818">
            <w:r w:rsidRPr="002355B5">
              <w:t>Kategorie regionů</w:t>
            </w:r>
          </w:p>
        </w:tc>
        <w:tc>
          <w:tcPr>
            <w:tcW w:w="5969" w:type="dxa"/>
            <w:gridSpan w:val="2"/>
          </w:tcPr>
          <w:p w:rsidR="00C514A7" w:rsidRPr="002355B5" w:rsidRDefault="00C514A7" w:rsidP="00867818">
            <w:r w:rsidRPr="002355B5">
              <w:t>Není relevantní pro SC 1, SC 2, SC 3, SC 4</w:t>
            </w:r>
          </w:p>
        </w:tc>
      </w:tr>
      <w:tr w:rsidR="00C514A7" w:rsidTr="00177B95">
        <w:tc>
          <w:tcPr>
            <w:tcW w:w="3070" w:type="dxa"/>
          </w:tcPr>
          <w:p w:rsidR="00C514A7" w:rsidRPr="002355B5" w:rsidRDefault="00C514A7" w:rsidP="00867818">
            <w:r w:rsidRPr="002355B5">
              <w:t>Prioritní osa</w:t>
            </w:r>
          </w:p>
        </w:tc>
        <w:tc>
          <w:tcPr>
            <w:tcW w:w="3070" w:type="dxa"/>
          </w:tcPr>
          <w:p w:rsidR="00C514A7" w:rsidRPr="002355B5" w:rsidRDefault="00C514A7" w:rsidP="00867818">
            <w:r w:rsidRPr="002355B5">
              <w:t xml:space="preserve">Kód </w:t>
            </w:r>
          </w:p>
        </w:tc>
        <w:tc>
          <w:tcPr>
            <w:tcW w:w="2899" w:type="dxa"/>
          </w:tcPr>
          <w:p w:rsidR="00C514A7" w:rsidRPr="00743868" w:rsidRDefault="0033290F" w:rsidP="00867818">
            <w:pPr>
              <w:spacing w:line="276" w:lineRule="auto"/>
            </w:pPr>
            <w:r w:rsidRPr="0033290F">
              <w:t xml:space="preserve">Částka (v </w:t>
            </w:r>
            <w:proofErr w:type="gramStart"/>
            <w:r w:rsidRPr="0033290F">
              <w:t>EUR</w:t>
            </w:r>
            <w:proofErr w:type="gramEnd"/>
            <w:r w:rsidRPr="0033290F">
              <w:t>)</w:t>
            </w:r>
          </w:p>
        </w:tc>
      </w:tr>
      <w:tr w:rsidR="00C514A7" w:rsidTr="00177B95">
        <w:tc>
          <w:tcPr>
            <w:tcW w:w="3070" w:type="dxa"/>
          </w:tcPr>
          <w:p w:rsidR="00C514A7" w:rsidRPr="002355B5" w:rsidRDefault="00C514A7" w:rsidP="00867818">
            <w:r w:rsidRPr="002355B5">
              <w:t>Prioritní osa 3</w:t>
            </w:r>
          </w:p>
        </w:tc>
        <w:tc>
          <w:tcPr>
            <w:tcW w:w="3070" w:type="dxa"/>
          </w:tcPr>
          <w:p w:rsidR="00C514A7" w:rsidRPr="002355B5" w:rsidRDefault="00C514A7" w:rsidP="00867818">
            <w:pPr>
              <w:spacing w:line="276" w:lineRule="auto"/>
            </w:pPr>
            <w:r w:rsidRPr="002355B5">
              <w:rPr>
                <w:color w:val="000000"/>
              </w:rPr>
              <w:t>01</w:t>
            </w:r>
          </w:p>
        </w:tc>
        <w:tc>
          <w:tcPr>
            <w:tcW w:w="2899" w:type="dxa"/>
          </w:tcPr>
          <w:p w:rsidR="00C514A7" w:rsidRPr="00743868" w:rsidRDefault="006F37C4" w:rsidP="00133163">
            <w:pPr>
              <w:spacing w:line="276" w:lineRule="auto"/>
              <w:rPr>
                <w:color w:val="000000"/>
              </w:rPr>
            </w:pPr>
            <w:r w:rsidRPr="006F37C4">
              <w:rPr>
                <w:color w:val="000000"/>
              </w:rPr>
              <w:t>435731044</w:t>
            </w:r>
          </w:p>
        </w:tc>
      </w:tr>
    </w:tbl>
    <w:p w:rsidR="00C514A7" w:rsidRDefault="00C514A7" w:rsidP="00C514A7"/>
    <w:p w:rsidR="00674BC9" w:rsidRDefault="00C514A7">
      <w:pPr>
        <w:pStyle w:val="Titulek"/>
      </w:pPr>
      <w:r>
        <w:t>Dimenze 3 – Typ území</w:t>
      </w:r>
    </w:p>
    <w:tbl>
      <w:tblPr>
        <w:tblStyle w:val="Mkatabulky"/>
        <w:tblW w:w="0" w:type="auto"/>
        <w:tblLook w:val="04A0" w:firstRow="1" w:lastRow="0" w:firstColumn="1" w:lastColumn="0" w:noHBand="0" w:noVBand="1"/>
      </w:tblPr>
      <w:tblGrid>
        <w:gridCol w:w="3070"/>
        <w:gridCol w:w="3070"/>
        <w:gridCol w:w="2899"/>
      </w:tblGrid>
      <w:tr w:rsidR="00C514A7" w:rsidTr="00177B95">
        <w:tc>
          <w:tcPr>
            <w:tcW w:w="3070" w:type="dxa"/>
          </w:tcPr>
          <w:p w:rsidR="00C514A7" w:rsidRDefault="00C514A7" w:rsidP="00867818">
            <w:r>
              <w:t>Fond</w:t>
            </w:r>
          </w:p>
        </w:tc>
        <w:tc>
          <w:tcPr>
            <w:tcW w:w="5969" w:type="dxa"/>
            <w:gridSpan w:val="2"/>
          </w:tcPr>
          <w:p w:rsidR="00C514A7" w:rsidRDefault="00C514A7" w:rsidP="00867818">
            <w:r>
              <w:t>Fond soudržnosti</w:t>
            </w:r>
          </w:p>
        </w:tc>
      </w:tr>
      <w:tr w:rsidR="00C514A7" w:rsidTr="00177B95">
        <w:tc>
          <w:tcPr>
            <w:tcW w:w="3070" w:type="dxa"/>
          </w:tcPr>
          <w:p w:rsidR="00C514A7" w:rsidRDefault="00C514A7" w:rsidP="00867818">
            <w:r>
              <w:t>Kategorie regionů</w:t>
            </w:r>
          </w:p>
        </w:tc>
        <w:tc>
          <w:tcPr>
            <w:tcW w:w="5969" w:type="dxa"/>
            <w:gridSpan w:val="2"/>
          </w:tcPr>
          <w:p w:rsidR="00C514A7" w:rsidRDefault="00C514A7" w:rsidP="00867818">
            <w:r>
              <w:t>Není relevantní pro SC 1, SC 2, SC 3, SC 4</w:t>
            </w:r>
          </w:p>
        </w:tc>
      </w:tr>
      <w:tr w:rsidR="00C514A7" w:rsidTr="00177B95">
        <w:tc>
          <w:tcPr>
            <w:tcW w:w="3070" w:type="dxa"/>
          </w:tcPr>
          <w:p w:rsidR="00C514A7" w:rsidRDefault="00C514A7" w:rsidP="00867818">
            <w:r>
              <w:t>Prioritní osa</w:t>
            </w:r>
          </w:p>
        </w:tc>
        <w:tc>
          <w:tcPr>
            <w:tcW w:w="3070" w:type="dxa"/>
          </w:tcPr>
          <w:p w:rsidR="00C514A7" w:rsidRDefault="00C514A7" w:rsidP="00867818">
            <w:r>
              <w:t xml:space="preserve">Kód </w:t>
            </w:r>
          </w:p>
        </w:tc>
        <w:tc>
          <w:tcPr>
            <w:tcW w:w="2899" w:type="dxa"/>
          </w:tcPr>
          <w:p w:rsidR="00C514A7" w:rsidRDefault="00C514A7" w:rsidP="00867818">
            <w:r>
              <w:t xml:space="preserve">Částka (v </w:t>
            </w:r>
            <w:proofErr w:type="gramStart"/>
            <w:r>
              <w:t>EUR</w:t>
            </w:r>
            <w:proofErr w:type="gramEnd"/>
            <w:r>
              <w:t>)</w:t>
            </w:r>
          </w:p>
        </w:tc>
      </w:tr>
      <w:tr w:rsidR="001E4A8D" w:rsidTr="0097231A">
        <w:tc>
          <w:tcPr>
            <w:tcW w:w="3070" w:type="dxa"/>
          </w:tcPr>
          <w:p w:rsidR="001E4A8D" w:rsidRDefault="001E4A8D" w:rsidP="00867818">
            <w:r>
              <w:t>Prioritní osa 3</w:t>
            </w:r>
          </w:p>
        </w:tc>
        <w:tc>
          <w:tcPr>
            <w:tcW w:w="3070" w:type="dxa"/>
          </w:tcPr>
          <w:p w:rsidR="001E4A8D" w:rsidRDefault="001E4A8D" w:rsidP="00867818">
            <w:r>
              <w:t>01</w:t>
            </w:r>
          </w:p>
        </w:tc>
        <w:tc>
          <w:tcPr>
            <w:tcW w:w="2899" w:type="dxa"/>
            <w:vAlign w:val="bottom"/>
          </w:tcPr>
          <w:p w:rsidR="001E4A8D" w:rsidRPr="00D13224" w:rsidRDefault="0033290F" w:rsidP="00867818">
            <w:r w:rsidRPr="0033290F">
              <w:rPr>
                <w:color w:val="000000"/>
              </w:rPr>
              <w:t>102 157 143</w:t>
            </w:r>
          </w:p>
        </w:tc>
      </w:tr>
      <w:tr w:rsidR="001E4A8D" w:rsidTr="0097231A">
        <w:tc>
          <w:tcPr>
            <w:tcW w:w="3070" w:type="dxa"/>
          </w:tcPr>
          <w:p w:rsidR="001E4A8D" w:rsidRDefault="001E4A8D" w:rsidP="00867818">
            <w:r>
              <w:t>Prioritní osa 3</w:t>
            </w:r>
          </w:p>
        </w:tc>
        <w:tc>
          <w:tcPr>
            <w:tcW w:w="3070" w:type="dxa"/>
          </w:tcPr>
          <w:p w:rsidR="001E4A8D" w:rsidRDefault="001E4A8D" w:rsidP="00867818">
            <w:pPr>
              <w:rPr>
                <w:color w:val="000000"/>
              </w:rPr>
            </w:pPr>
            <w:r>
              <w:rPr>
                <w:color w:val="000000"/>
              </w:rPr>
              <w:t>02</w:t>
            </w:r>
          </w:p>
        </w:tc>
        <w:tc>
          <w:tcPr>
            <w:tcW w:w="2899" w:type="dxa"/>
            <w:vAlign w:val="bottom"/>
          </w:tcPr>
          <w:p w:rsidR="001E4A8D" w:rsidRPr="00D13224" w:rsidRDefault="0033290F" w:rsidP="00867818">
            <w:pPr>
              <w:rPr>
                <w:color w:val="000000"/>
              </w:rPr>
            </w:pPr>
            <w:r w:rsidRPr="0033290F">
              <w:rPr>
                <w:color w:val="000000"/>
              </w:rPr>
              <w:t>135 338 062</w:t>
            </w:r>
          </w:p>
        </w:tc>
      </w:tr>
      <w:tr w:rsidR="001E4A8D" w:rsidTr="0097231A">
        <w:tc>
          <w:tcPr>
            <w:tcW w:w="3070" w:type="dxa"/>
          </w:tcPr>
          <w:p w:rsidR="001E4A8D" w:rsidRDefault="001E4A8D" w:rsidP="00867818">
            <w:r>
              <w:t>Prioritní osa 3</w:t>
            </w:r>
          </w:p>
        </w:tc>
        <w:tc>
          <w:tcPr>
            <w:tcW w:w="3070" w:type="dxa"/>
          </w:tcPr>
          <w:p w:rsidR="001E4A8D" w:rsidRDefault="001E4A8D" w:rsidP="00867818">
            <w:pPr>
              <w:rPr>
                <w:color w:val="000000"/>
              </w:rPr>
            </w:pPr>
            <w:r>
              <w:rPr>
                <w:color w:val="000000"/>
              </w:rPr>
              <w:t>03</w:t>
            </w:r>
          </w:p>
        </w:tc>
        <w:tc>
          <w:tcPr>
            <w:tcW w:w="2899" w:type="dxa"/>
            <w:vAlign w:val="bottom"/>
          </w:tcPr>
          <w:p w:rsidR="001E4A8D" w:rsidRPr="00D13224" w:rsidRDefault="0033290F" w:rsidP="00867818">
            <w:pPr>
              <w:rPr>
                <w:color w:val="000000"/>
              </w:rPr>
            </w:pPr>
            <w:r w:rsidRPr="0033290F">
              <w:rPr>
                <w:color w:val="000000"/>
              </w:rPr>
              <w:t>198 235 839</w:t>
            </w:r>
          </w:p>
        </w:tc>
      </w:tr>
    </w:tbl>
    <w:p w:rsidR="00C514A7" w:rsidRDefault="00C514A7" w:rsidP="00C514A7"/>
    <w:p w:rsidR="00674BC9" w:rsidRDefault="00C514A7">
      <w:pPr>
        <w:pStyle w:val="Titulek"/>
      </w:pPr>
      <w:r>
        <w:t>Dimenze 4 – Mechanismus územního plnění</w:t>
      </w:r>
    </w:p>
    <w:tbl>
      <w:tblPr>
        <w:tblStyle w:val="Mkatabulky"/>
        <w:tblW w:w="0" w:type="auto"/>
        <w:tblLook w:val="04A0" w:firstRow="1" w:lastRow="0" w:firstColumn="1" w:lastColumn="0" w:noHBand="0" w:noVBand="1"/>
      </w:tblPr>
      <w:tblGrid>
        <w:gridCol w:w="3070"/>
        <w:gridCol w:w="3070"/>
        <w:gridCol w:w="2899"/>
      </w:tblGrid>
      <w:tr w:rsidR="00C514A7" w:rsidTr="00177B95">
        <w:tc>
          <w:tcPr>
            <w:tcW w:w="3070" w:type="dxa"/>
          </w:tcPr>
          <w:p w:rsidR="00C514A7" w:rsidRDefault="00C514A7" w:rsidP="00867818">
            <w:r>
              <w:t>Fond</w:t>
            </w:r>
          </w:p>
        </w:tc>
        <w:tc>
          <w:tcPr>
            <w:tcW w:w="5969" w:type="dxa"/>
            <w:gridSpan w:val="2"/>
          </w:tcPr>
          <w:p w:rsidR="00C514A7" w:rsidRDefault="00C514A7" w:rsidP="00867818">
            <w:r>
              <w:t>Fond soudržnosti</w:t>
            </w:r>
          </w:p>
        </w:tc>
      </w:tr>
      <w:tr w:rsidR="00C514A7" w:rsidTr="00177B95">
        <w:tc>
          <w:tcPr>
            <w:tcW w:w="3070" w:type="dxa"/>
          </w:tcPr>
          <w:p w:rsidR="00C514A7" w:rsidRDefault="00C514A7" w:rsidP="00867818">
            <w:r>
              <w:t>Kategorie regionů</w:t>
            </w:r>
          </w:p>
        </w:tc>
        <w:tc>
          <w:tcPr>
            <w:tcW w:w="5969" w:type="dxa"/>
            <w:gridSpan w:val="2"/>
          </w:tcPr>
          <w:p w:rsidR="00C514A7" w:rsidRDefault="00C514A7" w:rsidP="00867818">
            <w:r>
              <w:t>Není relevantní pro SC 1, SC 2, SC 3, SC 4</w:t>
            </w:r>
          </w:p>
        </w:tc>
      </w:tr>
      <w:tr w:rsidR="00C514A7" w:rsidTr="00177B95">
        <w:tc>
          <w:tcPr>
            <w:tcW w:w="3070" w:type="dxa"/>
          </w:tcPr>
          <w:p w:rsidR="00C514A7" w:rsidRDefault="00C514A7" w:rsidP="00867818">
            <w:r>
              <w:t>Prioritní osa</w:t>
            </w:r>
          </w:p>
        </w:tc>
        <w:tc>
          <w:tcPr>
            <w:tcW w:w="3070" w:type="dxa"/>
          </w:tcPr>
          <w:p w:rsidR="00C514A7" w:rsidRDefault="00C514A7" w:rsidP="00867818">
            <w:r>
              <w:t xml:space="preserve">Kód </w:t>
            </w:r>
          </w:p>
        </w:tc>
        <w:tc>
          <w:tcPr>
            <w:tcW w:w="2899" w:type="dxa"/>
          </w:tcPr>
          <w:p w:rsidR="00C514A7" w:rsidRDefault="00C514A7" w:rsidP="00867818">
            <w:r>
              <w:t xml:space="preserve">Částka (v </w:t>
            </w:r>
            <w:proofErr w:type="gramStart"/>
            <w:r>
              <w:t>EUR</w:t>
            </w:r>
            <w:proofErr w:type="gramEnd"/>
            <w:r>
              <w:t>)</w:t>
            </w:r>
          </w:p>
        </w:tc>
      </w:tr>
      <w:tr w:rsidR="00C514A7" w:rsidTr="00177B95">
        <w:tc>
          <w:tcPr>
            <w:tcW w:w="3070" w:type="dxa"/>
          </w:tcPr>
          <w:p w:rsidR="00C514A7" w:rsidRDefault="00C514A7" w:rsidP="00867818">
            <w:r>
              <w:t>Prioritní osa 3</w:t>
            </w:r>
          </w:p>
        </w:tc>
        <w:tc>
          <w:tcPr>
            <w:tcW w:w="3070" w:type="dxa"/>
          </w:tcPr>
          <w:p w:rsidR="00C514A7" w:rsidRDefault="00C514A7" w:rsidP="00867818">
            <w:r>
              <w:rPr>
                <w:color w:val="000000"/>
              </w:rPr>
              <w:t>07</w:t>
            </w:r>
          </w:p>
        </w:tc>
        <w:tc>
          <w:tcPr>
            <w:tcW w:w="2899" w:type="dxa"/>
          </w:tcPr>
          <w:p w:rsidR="00C514A7" w:rsidRPr="00743868" w:rsidRDefault="006F37C4" w:rsidP="00A9370C">
            <w:pPr>
              <w:spacing w:line="276" w:lineRule="auto"/>
              <w:rPr>
                <w:color w:val="000000"/>
              </w:rPr>
            </w:pPr>
            <w:r w:rsidRPr="006F37C4">
              <w:rPr>
                <w:color w:val="000000"/>
              </w:rPr>
              <w:t>435</w:t>
            </w:r>
            <w:r w:rsidR="00D13224">
              <w:rPr>
                <w:color w:val="000000"/>
              </w:rPr>
              <w:t xml:space="preserve"> </w:t>
            </w:r>
            <w:r w:rsidRPr="006F37C4">
              <w:rPr>
                <w:color w:val="000000"/>
              </w:rPr>
              <w:t>731</w:t>
            </w:r>
            <w:r w:rsidR="00D13224">
              <w:rPr>
                <w:color w:val="000000"/>
              </w:rPr>
              <w:t xml:space="preserve"> </w:t>
            </w:r>
            <w:r w:rsidRPr="006F37C4">
              <w:rPr>
                <w:color w:val="000000"/>
              </w:rPr>
              <w:t>044</w:t>
            </w:r>
          </w:p>
        </w:tc>
      </w:tr>
    </w:tbl>
    <w:p w:rsidR="00F625C4" w:rsidRDefault="00F625C4" w:rsidP="00C514A7"/>
    <w:p w:rsidR="00674BC9" w:rsidRDefault="00C514A7">
      <w:pPr>
        <w:pStyle w:val="Titulek"/>
      </w:pPr>
      <w:r>
        <w:t>Dimenze 5 – Tematický cíl</w:t>
      </w:r>
    </w:p>
    <w:tbl>
      <w:tblPr>
        <w:tblStyle w:val="Mkatabulky"/>
        <w:tblW w:w="0" w:type="auto"/>
        <w:tblLook w:val="04A0" w:firstRow="1" w:lastRow="0" w:firstColumn="1" w:lastColumn="0" w:noHBand="0" w:noVBand="1"/>
      </w:tblPr>
      <w:tblGrid>
        <w:gridCol w:w="3070"/>
        <w:gridCol w:w="3070"/>
        <w:gridCol w:w="2899"/>
      </w:tblGrid>
      <w:tr w:rsidR="00C514A7" w:rsidTr="00177B95">
        <w:tc>
          <w:tcPr>
            <w:tcW w:w="3070" w:type="dxa"/>
          </w:tcPr>
          <w:p w:rsidR="00C514A7" w:rsidRDefault="00C514A7" w:rsidP="00867818">
            <w:r>
              <w:t>Fond</w:t>
            </w:r>
          </w:p>
        </w:tc>
        <w:tc>
          <w:tcPr>
            <w:tcW w:w="5969" w:type="dxa"/>
            <w:gridSpan w:val="2"/>
          </w:tcPr>
          <w:p w:rsidR="00C514A7" w:rsidRDefault="00C514A7" w:rsidP="00867818">
            <w:r>
              <w:t>Fond soudržnosti</w:t>
            </w:r>
          </w:p>
        </w:tc>
      </w:tr>
      <w:tr w:rsidR="00C514A7" w:rsidTr="00177B95">
        <w:tc>
          <w:tcPr>
            <w:tcW w:w="3070" w:type="dxa"/>
          </w:tcPr>
          <w:p w:rsidR="00C514A7" w:rsidRDefault="00C514A7" w:rsidP="00867818">
            <w:r>
              <w:t>Kategorie regionů</w:t>
            </w:r>
          </w:p>
        </w:tc>
        <w:tc>
          <w:tcPr>
            <w:tcW w:w="5969" w:type="dxa"/>
            <w:gridSpan w:val="2"/>
          </w:tcPr>
          <w:p w:rsidR="00C514A7" w:rsidRDefault="00C514A7" w:rsidP="00867818">
            <w:r>
              <w:t>Není relevantní pro SC 1, SC 2, SC 3, SC 4</w:t>
            </w:r>
          </w:p>
        </w:tc>
      </w:tr>
      <w:tr w:rsidR="00C514A7" w:rsidTr="00177B95">
        <w:tc>
          <w:tcPr>
            <w:tcW w:w="3070" w:type="dxa"/>
          </w:tcPr>
          <w:p w:rsidR="00C514A7" w:rsidRDefault="00C514A7" w:rsidP="00867818">
            <w:r>
              <w:t>Prioritní osa</w:t>
            </w:r>
          </w:p>
        </w:tc>
        <w:tc>
          <w:tcPr>
            <w:tcW w:w="3070" w:type="dxa"/>
          </w:tcPr>
          <w:p w:rsidR="00C514A7" w:rsidRDefault="00C514A7" w:rsidP="00867818">
            <w:r>
              <w:t xml:space="preserve">Kód </w:t>
            </w:r>
          </w:p>
        </w:tc>
        <w:tc>
          <w:tcPr>
            <w:tcW w:w="2899" w:type="dxa"/>
          </w:tcPr>
          <w:p w:rsidR="00C514A7" w:rsidRDefault="00C514A7" w:rsidP="00867818">
            <w:r>
              <w:t xml:space="preserve">Částka (v </w:t>
            </w:r>
            <w:proofErr w:type="gramStart"/>
            <w:r>
              <w:t>EUR</w:t>
            </w:r>
            <w:proofErr w:type="gramEnd"/>
            <w:r>
              <w:t>)</w:t>
            </w:r>
          </w:p>
        </w:tc>
      </w:tr>
      <w:tr w:rsidR="00C514A7" w:rsidTr="00177B95">
        <w:tc>
          <w:tcPr>
            <w:tcW w:w="3070" w:type="dxa"/>
          </w:tcPr>
          <w:p w:rsidR="00C514A7" w:rsidRDefault="00C514A7" w:rsidP="00867818">
            <w:r>
              <w:t>Prioritní osa 3</w:t>
            </w:r>
          </w:p>
        </w:tc>
        <w:tc>
          <w:tcPr>
            <w:tcW w:w="3070" w:type="dxa"/>
          </w:tcPr>
          <w:p w:rsidR="00C514A7" w:rsidRDefault="00C514A7" w:rsidP="00867818">
            <w:r>
              <w:rPr>
                <w:color w:val="000000"/>
              </w:rPr>
              <w:t>06</w:t>
            </w:r>
          </w:p>
        </w:tc>
        <w:tc>
          <w:tcPr>
            <w:tcW w:w="2899" w:type="dxa"/>
          </w:tcPr>
          <w:p w:rsidR="00C514A7" w:rsidRPr="00743868" w:rsidRDefault="00A9370C" w:rsidP="00867818">
            <w:r w:rsidRPr="00743868">
              <w:rPr>
                <w:color w:val="000000"/>
              </w:rPr>
              <w:t xml:space="preserve">  </w:t>
            </w:r>
            <w:r w:rsidR="0033290F" w:rsidRPr="0033290F">
              <w:rPr>
                <w:color w:val="000000"/>
              </w:rPr>
              <w:t>320 262 317</w:t>
            </w:r>
          </w:p>
        </w:tc>
      </w:tr>
      <w:tr w:rsidR="009B3801" w:rsidTr="00177B95">
        <w:tc>
          <w:tcPr>
            <w:tcW w:w="3070" w:type="dxa"/>
          </w:tcPr>
          <w:p w:rsidR="009B3801" w:rsidRDefault="009B3801" w:rsidP="00F26D5A">
            <w:r>
              <w:t xml:space="preserve">Prioritní osa 3 </w:t>
            </w:r>
          </w:p>
        </w:tc>
        <w:tc>
          <w:tcPr>
            <w:tcW w:w="3070" w:type="dxa"/>
          </w:tcPr>
          <w:p w:rsidR="009B3801" w:rsidRDefault="009B3801" w:rsidP="00867818">
            <w:pPr>
              <w:rPr>
                <w:color w:val="000000"/>
              </w:rPr>
            </w:pPr>
            <w:r>
              <w:rPr>
                <w:color w:val="000000"/>
              </w:rPr>
              <w:t>05</w:t>
            </w:r>
          </w:p>
        </w:tc>
        <w:tc>
          <w:tcPr>
            <w:tcW w:w="2899" w:type="dxa"/>
          </w:tcPr>
          <w:p w:rsidR="009B3801" w:rsidRPr="00743868" w:rsidRDefault="00814F15" w:rsidP="00867818">
            <w:pPr>
              <w:rPr>
                <w:color w:val="000000"/>
              </w:rPr>
            </w:pPr>
            <w:r w:rsidRPr="00743868">
              <w:rPr>
                <w:color w:val="000000"/>
              </w:rPr>
              <w:t>115 468 727</w:t>
            </w:r>
          </w:p>
        </w:tc>
      </w:tr>
    </w:tbl>
    <w:p w:rsidR="00C514A7" w:rsidRPr="00C514A7" w:rsidRDefault="00C514A7" w:rsidP="00C514A7"/>
    <w:p w:rsidR="003C6D96" w:rsidRDefault="00437AD7" w:rsidP="00B66FDE">
      <w:pPr>
        <w:pStyle w:val="Titulek"/>
      </w:pPr>
      <w:bookmarkStart w:id="2740" w:name="_Toc384907445"/>
      <w:r>
        <w:t xml:space="preserve">Dimenze 1 – Oblast zásahu </w:t>
      </w:r>
      <w:r w:rsidR="0053376D">
        <w:t>zásahů</w:t>
      </w:r>
      <w:r w:rsidR="0029775C">
        <w:t xml:space="preserve"> </w:t>
      </w:r>
      <w:bookmarkEnd w:id="2740"/>
    </w:p>
    <w:tbl>
      <w:tblPr>
        <w:tblStyle w:val="Mkatabulky"/>
        <w:tblW w:w="0" w:type="auto"/>
        <w:tblLook w:val="04A0" w:firstRow="1" w:lastRow="0" w:firstColumn="1" w:lastColumn="0" w:noHBand="0" w:noVBand="1"/>
      </w:tblPr>
      <w:tblGrid>
        <w:gridCol w:w="3070"/>
        <w:gridCol w:w="3070"/>
        <w:gridCol w:w="2899"/>
      </w:tblGrid>
      <w:tr w:rsidR="00437AD7" w:rsidTr="00177B95">
        <w:tc>
          <w:tcPr>
            <w:tcW w:w="3070" w:type="dxa"/>
          </w:tcPr>
          <w:p w:rsidR="00437AD7" w:rsidRDefault="00437AD7" w:rsidP="00867818">
            <w:r>
              <w:t>Fond</w:t>
            </w:r>
          </w:p>
        </w:tc>
        <w:tc>
          <w:tcPr>
            <w:tcW w:w="5969" w:type="dxa"/>
            <w:gridSpan w:val="2"/>
          </w:tcPr>
          <w:p w:rsidR="00437AD7" w:rsidRDefault="00437AD7" w:rsidP="00867818">
            <w:r>
              <w:t>Evropský fond pro regionální rozvoj</w:t>
            </w:r>
          </w:p>
        </w:tc>
      </w:tr>
      <w:tr w:rsidR="00437AD7" w:rsidTr="00177B95">
        <w:tc>
          <w:tcPr>
            <w:tcW w:w="3070" w:type="dxa"/>
          </w:tcPr>
          <w:p w:rsidR="00437AD7" w:rsidRDefault="00437AD7" w:rsidP="00867818">
            <w:r>
              <w:t>Kategorie regionů</w:t>
            </w:r>
          </w:p>
        </w:tc>
        <w:tc>
          <w:tcPr>
            <w:tcW w:w="5969" w:type="dxa"/>
            <w:gridSpan w:val="2"/>
          </w:tcPr>
          <w:p w:rsidR="00437AD7" w:rsidRDefault="00437AD7" w:rsidP="00867818">
            <w:r>
              <w:t>Méně rozvinuté regiony</w:t>
            </w:r>
          </w:p>
        </w:tc>
      </w:tr>
      <w:tr w:rsidR="00437AD7" w:rsidTr="00177B95">
        <w:tc>
          <w:tcPr>
            <w:tcW w:w="3070" w:type="dxa"/>
          </w:tcPr>
          <w:p w:rsidR="00437AD7" w:rsidRDefault="00437AD7" w:rsidP="00867818">
            <w:r>
              <w:t>Prioritní osa</w:t>
            </w:r>
          </w:p>
        </w:tc>
        <w:tc>
          <w:tcPr>
            <w:tcW w:w="3070" w:type="dxa"/>
          </w:tcPr>
          <w:p w:rsidR="00437AD7" w:rsidRDefault="00437AD7" w:rsidP="00867818">
            <w:r>
              <w:t xml:space="preserve">Kód </w:t>
            </w:r>
          </w:p>
        </w:tc>
        <w:tc>
          <w:tcPr>
            <w:tcW w:w="2899" w:type="dxa"/>
          </w:tcPr>
          <w:p w:rsidR="00437AD7" w:rsidRDefault="00437AD7" w:rsidP="00867818">
            <w:r>
              <w:t xml:space="preserve">Částka (v </w:t>
            </w:r>
            <w:proofErr w:type="gramStart"/>
            <w:r>
              <w:t>EUR</w:t>
            </w:r>
            <w:proofErr w:type="gramEnd"/>
            <w:r>
              <w:t>)</w:t>
            </w:r>
          </w:p>
        </w:tc>
      </w:tr>
      <w:tr w:rsidR="00437AD7" w:rsidTr="00177B95">
        <w:tc>
          <w:tcPr>
            <w:tcW w:w="3070" w:type="dxa"/>
          </w:tcPr>
          <w:p w:rsidR="00437AD7" w:rsidRDefault="00437AD7" w:rsidP="000E530E">
            <w:r>
              <w:t xml:space="preserve">Prioritní osa 3 </w:t>
            </w:r>
          </w:p>
        </w:tc>
        <w:tc>
          <w:tcPr>
            <w:tcW w:w="3070" w:type="dxa"/>
          </w:tcPr>
          <w:p w:rsidR="00437AD7" w:rsidRDefault="00437AD7" w:rsidP="00867818">
            <w:r>
              <w:rPr>
                <w:color w:val="000000"/>
              </w:rPr>
              <w:t>088</w:t>
            </w:r>
          </w:p>
        </w:tc>
        <w:tc>
          <w:tcPr>
            <w:tcW w:w="2899" w:type="dxa"/>
          </w:tcPr>
          <w:p w:rsidR="00437AD7" w:rsidRDefault="00437AD7" w:rsidP="00867818">
            <w:r>
              <w:rPr>
                <w:color w:val="000000"/>
              </w:rPr>
              <w:t>23 088 951</w:t>
            </w:r>
          </w:p>
        </w:tc>
      </w:tr>
    </w:tbl>
    <w:p w:rsidR="00437AD7" w:rsidRDefault="00437AD7" w:rsidP="00B66FDE"/>
    <w:p w:rsidR="00674BC9" w:rsidRDefault="00437AD7">
      <w:pPr>
        <w:pStyle w:val="Titulek"/>
      </w:pPr>
      <w:r>
        <w:lastRenderedPageBreak/>
        <w:t>Dimenze 2 – Forma financování</w:t>
      </w:r>
    </w:p>
    <w:tbl>
      <w:tblPr>
        <w:tblStyle w:val="Mkatabulky"/>
        <w:tblW w:w="0" w:type="auto"/>
        <w:tblLook w:val="04A0" w:firstRow="1" w:lastRow="0" w:firstColumn="1" w:lastColumn="0" w:noHBand="0" w:noVBand="1"/>
      </w:tblPr>
      <w:tblGrid>
        <w:gridCol w:w="3070"/>
        <w:gridCol w:w="3070"/>
        <w:gridCol w:w="2899"/>
      </w:tblGrid>
      <w:tr w:rsidR="00437AD7" w:rsidTr="00177B95">
        <w:tc>
          <w:tcPr>
            <w:tcW w:w="3070" w:type="dxa"/>
          </w:tcPr>
          <w:p w:rsidR="00437AD7" w:rsidRDefault="00437AD7" w:rsidP="00867818">
            <w:r>
              <w:t>Fond</w:t>
            </w:r>
          </w:p>
        </w:tc>
        <w:tc>
          <w:tcPr>
            <w:tcW w:w="5969" w:type="dxa"/>
            <w:gridSpan w:val="2"/>
          </w:tcPr>
          <w:p w:rsidR="00437AD7" w:rsidRDefault="00437AD7" w:rsidP="00867818">
            <w:r>
              <w:t>Evropský fond pro regionální rozvoj</w:t>
            </w:r>
          </w:p>
        </w:tc>
      </w:tr>
      <w:tr w:rsidR="00437AD7" w:rsidTr="00177B95">
        <w:tc>
          <w:tcPr>
            <w:tcW w:w="3070" w:type="dxa"/>
          </w:tcPr>
          <w:p w:rsidR="00437AD7" w:rsidRDefault="00437AD7" w:rsidP="00867818">
            <w:r>
              <w:t>Kategorie regionů</w:t>
            </w:r>
          </w:p>
        </w:tc>
        <w:tc>
          <w:tcPr>
            <w:tcW w:w="5969" w:type="dxa"/>
            <w:gridSpan w:val="2"/>
          </w:tcPr>
          <w:p w:rsidR="00437AD7" w:rsidRDefault="00437AD7" w:rsidP="00867818">
            <w:r>
              <w:t>Méně rozvinuté regiony</w:t>
            </w:r>
          </w:p>
        </w:tc>
      </w:tr>
      <w:tr w:rsidR="00437AD7" w:rsidTr="00177B95">
        <w:tc>
          <w:tcPr>
            <w:tcW w:w="3070" w:type="dxa"/>
          </w:tcPr>
          <w:p w:rsidR="00437AD7" w:rsidRDefault="00437AD7" w:rsidP="00867818">
            <w:r>
              <w:t>Prioritní osa</w:t>
            </w:r>
          </w:p>
        </w:tc>
        <w:tc>
          <w:tcPr>
            <w:tcW w:w="3070" w:type="dxa"/>
          </w:tcPr>
          <w:p w:rsidR="00437AD7" w:rsidRDefault="00437AD7" w:rsidP="00867818">
            <w:r>
              <w:t xml:space="preserve">Kód </w:t>
            </w:r>
          </w:p>
        </w:tc>
        <w:tc>
          <w:tcPr>
            <w:tcW w:w="2899" w:type="dxa"/>
          </w:tcPr>
          <w:p w:rsidR="00437AD7" w:rsidRDefault="00437AD7" w:rsidP="00867818">
            <w:r>
              <w:t xml:space="preserve">Částka (v </w:t>
            </w:r>
            <w:proofErr w:type="gramStart"/>
            <w:r>
              <w:t>EUR</w:t>
            </w:r>
            <w:proofErr w:type="gramEnd"/>
            <w:r>
              <w:t>)</w:t>
            </w:r>
          </w:p>
        </w:tc>
      </w:tr>
      <w:tr w:rsidR="00437AD7" w:rsidTr="00177B95">
        <w:tc>
          <w:tcPr>
            <w:tcW w:w="3070" w:type="dxa"/>
          </w:tcPr>
          <w:p w:rsidR="00437AD7" w:rsidRDefault="00437AD7" w:rsidP="000E530E">
            <w:r>
              <w:t xml:space="preserve">Prioritní osa 3 </w:t>
            </w:r>
          </w:p>
        </w:tc>
        <w:tc>
          <w:tcPr>
            <w:tcW w:w="3070" w:type="dxa"/>
          </w:tcPr>
          <w:p w:rsidR="00437AD7" w:rsidRDefault="00437AD7" w:rsidP="00867818">
            <w:r>
              <w:rPr>
                <w:color w:val="000000"/>
              </w:rPr>
              <w:t>07</w:t>
            </w:r>
          </w:p>
        </w:tc>
        <w:tc>
          <w:tcPr>
            <w:tcW w:w="2899" w:type="dxa"/>
          </w:tcPr>
          <w:p w:rsidR="00437AD7" w:rsidRDefault="00437AD7" w:rsidP="00867818">
            <w:r>
              <w:rPr>
                <w:color w:val="000000"/>
              </w:rPr>
              <w:t>23 088 951</w:t>
            </w:r>
          </w:p>
        </w:tc>
      </w:tr>
    </w:tbl>
    <w:p w:rsidR="00437AD7" w:rsidRDefault="00437AD7" w:rsidP="00437AD7"/>
    <w:p w:rsidR="00674BC9" w:rsidRDefault="00437AD7">
      <w:pPr>
        <w:pStyle w:val="Titulek"/>
      </w:pPr>
      <w:r>
        <w:t>Dimenze 3 – Typ území</w:t>
      </w:r>
    </w:p>
    <w:tbl>
      <w:tblPr>
        <w:tblStyle w:val="Mkatabulky"/>
        <w:tblW w:w="0" w:type="auto"/>
        <w:tblLook w:val="04A0" w:firstRow="1" w:lastRow="0" w:firstColumn="1" w:lastColumn="0" w:noHBand="0" w:noVBand="1"/>
      </w:tblPr>
      <w:tblGrid>
        <w:gridCol w:w="3070"/>
        <w:gridCol w:w="3070"/>
        <w:gridCol w:w="2899"/>
      </w:tblGrid>
      <w:tr w:rsidR="00437AD7" w:rsidTr="00177B95">
        <w:tc>
          <w:tcPr>
            <w:tcW w:w="3070" w:type="dxa"/>
          </w:tcPr>
          <w:p w:rsidR="00437AD7" w:rsidRDefault="00437AD7" w:rsidP="00867818">
            <w:r>
              <w:t>Fond</w:t>
            </w:r>
          </w:p>
        </w:tc>
        <w:tc>
          <w:tcPr>
            <w:tcW w:w="5969" w:type="dxa"/>
            <w:gridSpan w:val="2"/>
          </w:tcPr>
          <w:p w:rsidR="00437AD7" w:rsidRDefault="00437AD7" w:rsidP="00867818">
            <w:r>
              <w:t>Evropský fond pro regionální rozvoj</w:t>
            </w:r>
          </w:p>
        </w:tc>
      </w:tr>
      <w:tr w:rsidR="00437AD7" w:rsidTr="00177B95">
        <w:tc>
          <w:tcPr>
            <w:tcW w:w="3070" w:type="dxa"/>
          </w:tcPr>
          <w:p w:rsidR="00437AD7" w:rsidRDefault="00437AD7" w:rsidP="00867818">
            <w:r>
              <w:t>Kategorie regionů</w:t>
            </w:r>
          </w:p>
        </w:tc>
        <w:tc>
          <w:tcPr>
            <w:tcW w:w="5969" w:type="dxa"/>
            <w:gridSpan w:val="2"/>
          </w:tcPr>
          <w:p w:rsidR="00437AD7" w:rsidRDefault="00437AD7" w:rsidP="00867818">
            <w:r>
              <w:t>Méně rozvinuté regiony</w:t>
            </w:r>
          </w:p>
        </w:tc>
      </w:tr>
      <w:tr w:rsidR="00437AD7" w:rsidTr="00177B95">
        <w:tc>
          <w:tcPr>
            <w:tcW w:w="3070" w:type="dxa"/>
          </w:tcPr>
          <w:p w:rsidR="00437AD7" w:rsidRDefault="00437AD7" w:rsidP="00867818">
            <w:r>
              <w:t>Prioritní osa</w:t>
            </w:r>
          </w:p>
        </w:tc>
        <w:tc>
          <w:tcPr>
            <w:tcW w:w="3070" w:type="dxa"/>
          </w:tcPr>
          <w:p w:rsidR="00437AD7" w:rsidRDefault="00437AD7" w:rsidP="00867818">
            <w:r>
              <w:t xml:space="preserve">Kód </w:t>
            </w:r>
          </w:p>
        </w:tc>
        <w:tc>
          <w:tcPr>
            <w:tcW w:w="2899" w:type="dxa"/>
          </w:tcPr>
          <w:p w:rsidR="00437AD7" w:rsidRDefault="00437AD7" w:rsidP="00867818">
            <w:r>
              <w:t xml:space="preserve">Částka (v </w:t>
            </w:r>
            <w:proofErr w:type="gramStart"/>
            <w:r>
              <w:t>EUR</w:t>
            </w:r>
            <w:proofErr w:type="gramEnd"/>
            <w:r>
              <w:t>)</w:t>
            </w:r>
          </w:p>
        </w:tc>
      </w:tr>
      <w:tr w:rsidR="00D13224" w:rsidTr="0097231A">
        <w:tc>
          <w:tcPr>
            <w:tcW w:w="3070" w:type="dxa"/>
          </w:tcPr>
          <w:p w:rsidR="00D13224" w:rsidRDefault="00D13224" w:rsidP="000E530E">
            <w:r>
              <w:t xml:space="preserve">Prioritní osa 3 </w:t>
            </w:r>
          </w:p>
        </w:tc>
        <w:tc>
          <w:tcPr>
            <w:tcW w:w="3070" w:type="dxa"/>
          </w:tcPr>
          <w:p w:rsidR="00D13224" w:rsidRDefault="00D13224" w:rsidP="00867818">
            <w:r>
              <w:rPr>
                <w:color w:val="000000"/>
              </w:rPr>
              <w:t>01</w:t>
            </w:r>
          </w:p>
        </w:tc>
        <w:tc>
          <w:tcPr>
            <w:tcW w:w="2899" w:type="dxa"/>
            <w:vAlign w:val="bottom"/>
          </w:tcPr>
          <w:p w:rsidR="00D13224" w:rsidRPr="00D13224" w:rsidRDefault="0033290F" w:rsidP="00867818">
            <w:pPr>
              <w:spacing w:line="276" w:lineRule="auto"/>
            </w:pPr>
            <w:r w:rsidRPr="0033290F">
              <w:rPr>
                <w:color w:val="000000"/>
              </w:rPr>
              <w:t>11 544 475</w:t>
            </w:r>
          </w:p>
        </w:tc>
      </w:tr>
      <w:tr w:rsidR="00D13224" w:rsidTr="0097231A">
        <w:tc>
          <w:tcPr>
            <w:tcW w:w="3070" w:type="dxa"/>
          </w:tcPr>
          <w:p w:rsidR="00D13224" w:rsidRDefault="00D13224" w:rsidP="000E530E">
            <w:r>
              <w:t xml:space="preserve">Prioritní osa 3 </w:t>
            </w:r>
          </w:p>
        </w:tc>
        <w:tc>
          <w:tcPr>
            <w:tcW w:w="3070" w:type="dxa"/>
          </w:tcPr>
          <w:p w:rsidR="00D13224" w:rsidRDefault="00D13224" w:rsidP="00867818">
            <w:pPr>
              <w:rPr>
                <w:color w:val="000000"/>
              </w:rPr>
            </w:pPr>
            <w:r>
              <w:rPr>
                <w:color w:val="000000"/>
              </w:rPr>
              <w:t>02</w:t>
            </w:r>
          </w:p>
        </w:tc>
        <w:tc>
          <w:tcPr>
            <w:tcW w:w="2899" w:type="dxa"/>
            <w:vAlign w:val="bottom"/>
          </w:tcPr>
          <w:p w:rsidR="00D13224" w:rsidRPr="00D13224" w:rsidRDefault="0033290F" w:rsidP="00867818">
            <w:pPr>
              <w:rPr>
                <w:color w:val="000000"/>
              </w:rPr>
            </w:pPr>
            <w:r w:rsidRPr="0033290F">
              <w:rPr>
                <w:color w:val="000000"/>
              </w:rPr>
              <w:t>5 772 238</w:t>
            </w:r>
          </w:p>
        </w:tc>
      </w:tr>
      <w:tr w:rsidR="00D13224" w:rsidTr="0097231A">
        <w:tc>
          <w:tcPr>
            <w:tcW w:w="3070" w:type="dxa"/>
          </w:tcPr>
          <w:p w:rsidR="00D13224" w:rsidRDefault="00D13224" w:rsidP="000E530E">
            <w:r>
              <w:t xml:space="preserve">Prioritní osa 3 </w:t>
            </w:r>
          </w:p>
        </w:tc>
        <w:tc>
          <w:tcPr>
            <w:tcW w:w="3070" w:type="dxa"/>
          </w:tcPr>
          <w:p w:rsidR="00D13224" w:rsidRDefault="00D13224" w:rsidP="00867818">
            <w:pPr>
              <w:rPr>
                <w:color w:val="000000"/>
              </w:rPr>
            </w:pPr>
            <w:r>
              <w:rPr>
                <w:color w:val="000000"/>
              </w:rPr>
              <w:t>03</w:t>
            </w:r>
          </w:p>
        </w:tc>
        <w:tc>
          <w:tcPr>
            <w:tcW w:w="2899" w:type="dxa"/>
            <w:vAlign w:val="bottom"/>
          </w:tcPr>
          <w:p w:rsidR="00D13224" w:rsidRPr="00D13224" w:rsidRDefault="0033290F" w:rsidP="00867818">
            <w:pPr>
              <w:rPr>
                <w:color w:val="000000"/>
              </w:rPr>
            </w:pPr>
            <w:r w:rsidRPr="0033290F">
              <w:rPr>
                <w:color w:val="000000"/>
              </w:rPr>
              <w:t>5 772 238</w:t>
            </w:r>
          </w:p>
        </w:tc>
      </w:tr>
    </w:tbl>
    <w:p w:rsidR="00437AD7" w:rsidRDefault="00437AD7" w:rsidP="00437AD7"/>
    <w:p w:rsidR="00674BC9" w:rsidRDefault="00437AD7">
      <w:pPr>
        <w:pStyle w:val="Titulek"/>
      </w:pPr>
      <w:r>
        <w:t>Dimenze 4 – Mechanismus území</w:t>
      </w:r>
    </w:p>
    <w:tbl>
      <w:tblPr>
        <w:tblStyle w:val="Mkatabulky"/>
        <w:tblW w:w="0" w:type="auto"/>
        <w:tblLook w:val="04A0" w:firstRow="1" w:lastRow="0" w:firstColumn="1" w:lastColumn="0" w:noHBand="0" w:noVBand="1"/>
      </w:tblPr>
      <w:tblGrid>
        <w:gridCol w:w="3070"/>
        <w:gridCol w:w="3070"/>
        <w:gridCol w:w="2899"/>
      </w:tblGrid>
      <w:tr w:rsidR="00437AD7" w:rsidTr="00177B95">
        <w:tc>
          <w:tcPr>
            <w:tcW w:w="3070" w:type="dxa"/>
          </w:tcPr>
          <w:p w:rsidR="00437AD7" w:rsidRDefault="00437AD7" w:rsidP="00867818">
            <w:r>
              <w:t>Fond</w:t>
            </w:r>
          </w:p>
        </w:tc>
        <w:tc>
          <w:tcPr>
            <w:tcW w:w="5969" w:type="dxa"/>
            <w:gridSpan w:val="2"/>
          </w:tcPr>
          <w:p w:rsidR="00437AD7" w:rsidRDefault="00437AD7" w:rsidP="00867818">
            <w:r>
              <w:t>Evropský fond pro regionální rozvoj</w:t>
            </w:r>
          </w:p>
        </w:tc>
      </w:tr>
      <w:tr w:rsidR="00437AD7" w:rsidTr="00177B95">
        <w:tc>
          <w:tcPr>
            <w:tcW w:w="3070" w:type="dxa"/>
          </w:tcPr>
          <w:p w:rsidR="00437AD7" w:rsidRDefault="00437AD7" w:rsidP="00867818">
            <w:r>
              <w:t>Kategorie regionů</w:t>
            </w:r>
          </w:p>
        </w:tc>
        <w:tc>
          <w:tcPr>
            <w:tcW w:w="5969" w:type="dxa"/>
            <w:gridSpan w:val="2"/>
          </w:tcPr>
          <w:p w:rsidR="00437AD7" w:rsidRDefault="00437AD7" w:rsidP="00867818">
            <w:r>
              <w:t>Méně rozvinuté regiony</w:t>
            </w:r>
          </w:p>
        </w:tc>
      </w:tr>
      <w:tr w:rsidR="00437AD7" w:rsidTr="00177B95">
        <w:tc>
          <w:tcPr>
            <w:tcW w:w="3070" w:type="dxa"/>
          </w:tcPr>
          <w:p w:rsidR="00437AD7" w:rsidRDefault="00437AD7" w:rsidP="00867818">
            <w:r>
              <w:t>Prioritní osa</w:t>
            </w:r>
          </w:p>
        </w:tc>
        <w:tc>
          <w:tcPr>
            <w:tcW w:w="3070" w:type="dxa"/>
          </w:tcPr>
          <w:p w:rsidR="00437AD7" w:rsidRDefault="00437AD7" w:rsidP="00867818">
            <w:r>
              <w:t xml:space="preserve">Kód </w:t>
            </w:r>
          </w:p>
        </w:tc>
        <w:tc>
          <w:tcPr>
            <w:tcW w:w="2899" w:type="dxa"/>
          </w:tcPr>
          <w:p w:rsidR="00437AD7" w:rsidRDefault="00437AD7" w:rsidP="00867818">
            <w:r>
              <w:t xml:space="preserve">Částka (v </w:t>
            </w:r>
            <w:proofErr w:type="gramStart"/>
            <w:r>
              <w:t>EUR</w:t>
            </w:r>
            <w:proofErr w:type="gramEnd"/>
            <w:r>
              <w:t>)</w:t>
            </w:r>
          </w:p>
        </w:tc>
      </w:tr>
      <w:tr w:rsidR="00437AD7" w:rsidTr="00177B95">
        <w:tc>
          <w:tcPr>
            <w:tcW w:w="3070" w:type="dxa"/>
          </w:tcPr>
          <w:p w:rsidR="00437AD7" w:rsidRDefault="00437AD7" w:rsidP="000E530E">
            <w:r>
              <w:t xml:space="preserve">Prioritní osa 3 </w:t>
            </w:r>
          </w:p>
        </w:tc>
        <w:tc>
          <w:tcPr>
            <w:tcW w:w="3070" w:type="dxa"/>
          </w:tcPr>
          <w:p w:rsidR="00437AD7" w:rsidRDefault="00437AD7" w:rsidP="00867818">
            <w:r>
              <w:rPr>
                <w:color w:val="000000"/>
              </w:rPr>
              <w:t>07</w:t>
            </w:r>
          </w:p>
        </w:tc>
        <w:tc>
          <w:tcPr>
            <w:tcW w:w="2899" w:type="dxa"/>
          </w:tcPr>
          <w:p w:rsidR="00437AD7" w:rsidRDefault="00437AD7" w:rsidP="00867818">
            <w:r>
              <w:rPr>
                <w:color w:val="000000"/>
              </w:rPr>
              <w:t>23 088 951</w:t>
            </w:r>
          </w:p>
        </w:tc>
      </w:tr>
    </w:tbl>
    <w:p w:rsidR="00437AD7" w:rsidRDefault="00437AD7" w:rsidP="00437AD7"/>
    <w:p w:rsidR="00674BC9" w:rsidRDefault="00437AD7">
      <w:pPr>
        <w:pStyle w:val="Titulek"/>
      </w:pPr>
      <w:r>
        <w:t>Dimenze 5 – Tematický cíl</w:t>
      </w:r>
    </w:p>
    <w:tbl>
      <w:tblPr>
        <w:tblStyle w:val="Mkatabulky"/>
        <w:tblW w:w="0" w:type="auto"/>
        <w:tblLook w:val="04A0" w:firstRow="1" w:lastRow="0" w:firstColumn="1" w:lastColumn="0" w:noHBand="0" w:noVBand="1"/>
      </w:tblPr>
      <w:tblGrid>
        <w:gridCol w:w="3070"/>
        <w:gridCol w:w="3070"/>
        <w:gridCol w:w="2899"/>
      </w:tblGrid>
      <w:tr w:rsidR="00437AD7" w:rsidTr="00177B95">
        <w:tc>
          <w:tcPr>
            <w:tcW w:w="3070" w:type="dxa"/>
          </w:tcPr>
          <w:p w:rsidR="00437AD7" w:rsidRDefault="00437AD7" w:rsidP="00867818">
            <w:r>
              <w:t>Fond</w:t>
            </w:r>
          </w:p>
        </w:tc>
        <w:tc>
          <w:tcPr>
            <w:tcW w:w="5969" w:type="dxa"/>
            <w:gridSpan w:val="2"/>
          </w:tcPr>
          <w:p w:rsidR="00437AD7" w:rsidRDefault="00437AD7" w:rsidP="00867818">
            <w:r>
              <w:t>Evropský fond pro regionální rozvoj</w:t>
            </w:r>
          </w:p>
        </w:tc>
      </w:tr>
      <w:tr w:rsidR="00437AD7" w:rsidTr="00177B95">
        <w:tc>
          <w:tcPr>
            <w:tcW w:w="3070" w:type="dxa"/>
          </w:tcPr>
          <w:p w:rsidR="00437AD7" w:rsidRDefault="00437AD7" w:rsidP="00867818">
            <w:r>
              <w:t>Kategorie regionů</w:t>
            </w:r>
          </w:p>
        </w:tc>
        <w:tc>
          <w:tcPr>
            <w:tcW w:w="5969" w:type="dxa"/>
            <w:gridSpan w:val="2"/>
          </w:tcPr>
          <w:p w:rsidR="00437AD7" w:rsidRDefault="00437AD7" w:rsidP="00867818">
            <w:r>
              <w:t>Méně rozvinuté regiony</w:t>
            </w:r>
          </w:p>
        </w:tc>
      </w:tr>
      <w:tr w:rsidR="00437AD7" w:rsidTr="00177B95">
        <w:tc>
          <w:tcPr>
            <w:tcW w:w="3070" w:type="dxa"/>
          </w:tcPr>
          <w:p w:rsidR="00437AD7" w:rsidRDefault="00437AD7" w:rsidP="00867818">
            <w:r>
              <w:t>Prioritní osa</w:t>
            </w:r>
          </w:p>
        </w:tc>
        <w:tc>
          <w:tcPr>
            <w:tcW w:w="3070" w:type="dxa"/>
          </w:tcPr>
          <w:p w:rsidR="00437AD7" w:rsidRDefault="00437AD7" w:rsidP="00867818">
            <w:r>
              <w:t xml:space="preserve">Kód </w:t>
            </w:r>
          </w:p>
        </w:tc>
        <w:tc>
          <w:tcPr>
            <w:tcW w:w="2899" w:type="dxa"/>
          </w:tcPr>
          <w:p w:rsidR="00437AD7" w:rsidRDefault="00437AD7" w:rsidP="00867818">
            <w:r>
              <w:t xml:space="preserve">Částka (v </w:t>
            </w:r>
            <w:proofErr w:type="gramStart"/>
            <w:r>
              <w:t>EUR</w:t>
            </w:r>
            <w:proofErr w:type="gramEnd"/>
            <w:r>
              <w:t>)</w:t>
            </w:r>
          </w:p>
        </w:tc>
      </w:tr>
      <w:tr w:rsidR="00437AD7" w:rsidTr="00177B95">
        <w:tc>
          <w:tcPr>
            <w:tcW w:w="3070" w:type="dxa"/>
          </w:tcPr>
          <w:p w:rsidR="00437AD7" w:rsidRDefault="00437AD7" w:rsidP="000E530E">
            <w:r>
              <w:t xml:space="preserve">Prioritní osa 3 </w:t>
            </w:r>
          </w:p>
        </w:tc>
        <w:tc>
          <w:tcPr>
            <w:tcW w:w="3070" w:type="dxa"/>
          </w:tcPr>
          <w:p w:rsidR="00437AD7" w:rsidRDefault="00437AD7" w:rsidP="00867818">
            <w:r>
              <w:rPr>
                <w:color w:val="000000"/>
              </w:rPr>
              <w:t>05</w:t>
            </w:r>
          </w:p>
        </w:tc>
        <w:tc>
          <w:tcPr>
            <w:tcW w:w="2899" w:type="dxa"/>
          </w:tcPr>
          <w:p w:rsidR="00437AD7" w:rsidRDefault="00437AD7" w:rsidP="00867818">
            <w:r>
              <w:rPr>
                <w:color w:val="000000"/>
              </w:rPr>
              <w:t>23 088 951</w:t>
            </w:r>
          </w:p>
        </w:tc>
      </w:tr>
    </w:tbl>
    <w:p w:rsidR="00437AD7" w:rsidRPr="00437AD7" w:rsidRDefault="00437AD7" w:rsidP="00437AD7"/>
    <w:p w:rsidR="00C27E59" w:rsidRDefault="00C27E59" w:rsidP="00B66FDE"/>
    <w:p w:rsidR="006031CD" w:rsidRDefault="006031CD" w:rsidP="00B66FDE"/>
    <w:p w:rsidR="006031CD" w:rsidRDefault="006031CD" w:rsidP="00B66FDE"/>
    <w:p w:rsidR="006031CD" w:rsidRDefault="006031CD" w:rsidP="00B66FDE"/>
    <w:p w:rsidR="006031CD" w:rsidRDefault="006031CD" w:rsidP="00B66FDE"/>
    <w:p w:rsidR="006031CD" w:rsidRDefault="006031CD" w:rsidP="00B66FDE"/>
    <w:p w:rsidR="006031CD" w:rsidRDefault="006031CD" w:rsidP="00B66FDE"/>
    <w:p w:rsidR="006031CD" w:rsidRPr="004314F4" w:rsidRDefault="006031CD" w:rsidP="00B66FDE"/>
    <w:p w:rsidR="00647D1B" w:rsidRDefault="000B1EDB" w:rsidP="00165854">
      <w:pPr>
        <w:pStyle w:val="Nadpis2"/>
      </w:pPr>
      <w:bookmarkStart w:id="2741" w:name="_Toc392151038"/>
      <w:r w:rsidRPr="004314F4">
        <w:lastRenderedPageBreak/>
        <w:t>PRIORITNÍ OSA 4: Ochrana a péče o přírod</w:t>
      </w:r>
      <w:r w:rsidR="00BE02B6">
        <w:t>u a </w:t>
      </w:r>
      <w:r w:rsidRPr="004314F4">
        <w:t>krajinu</w:t>
      </w:r>
      <w:bookmarkEnd w:id="2741"/>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gridCol w:w="566"/>
      </w:tblGrid>
      <w:tr w:rsidR="00C27E59" w:rsidRPr="00E63B56" w:rsidTr="00177B95">
        <w:tc>
          <w:tcPr>
            <w:tcW w:w="4687" w:type="pct"/>
            <w:shd w:val="clear" w:color="auto" w:fill="auto"/>
            <w:vAlign w:val="center"/>
          </w:tcPr>
          <w:p w:rsidR="00C27E59" w:rsidRPr="002355B5" w:rsidRDefault="0033290F" w:rsidP="00760AB3">
            <w:pPr>
              <w:pStyle w:val="Tabulka"/>
              <w:jc w:val="left"/>
              <w:rPr>
                <w:rFonts w:ascii="Cambria" w:hAnsi="Cambria" w:cs="Times New Roman"/>
              </w:rPr>
            </w:pPr>
            <w:r w:rsidRPr="0033290F">
              <w:rPr>
                <w:rFonts w:ascii="Cambria" w:hAnsi="Cambria" w:cs="Times New Roman"/>
              </w:rPr>
              <w:t>Celá prioritní osa bude realizována výhradně prostřednictvím finančních nástrojů</w:t>
            </w:r>
          </w:p>
        </w:tc>
        <w:tc>
          <w:tcPr>
            <w:tcW w:w="313" w:type="pct"/>
            <w:shd w:val="clear" w:color="auto" w:fill="auto"/>
            <w:vAlign w:val="center"/>
          </w:tcPr>
          <w:p w:rsidR="00C27E59" w:rsidRPr="00E63B56" w:rsidRDefault="000E07F9" w:rsidP="00760AB3">
            <w:pPr>
              <w:pStyle w:val="Tabulka"/>
              <w:rPr>
                <w:rFonts w:asciiTheme="majorHAnsi" w:hAnsiTheme="majorHAnsi"/>
              </w:rPr>
            </w:pPr>
            <w:r w:rsidRPr="00144382">
              <w:rPr>
                <w:rFonts w:asciiTheme="majorHAnsi" w:hAnsiTheme="majorHAnsi"/>
              </w:rPr>
              <w:fldChar w:fldCharType="begin">
                <w:ffData>
                  <w:name w:val="Check1"/>
                  <w:enabled/>
                  <w:calcOnExit w:val="0"/>
                  <w:checkBox>
                    <w:sizeAuto/>
                    <w:default w:val="0"/>
                  </w:checkBox>
                </w:ffData>
              </w:fldChar>
            </w:r>
            <w:r w:rsidR="00C27E59" w:rsidRPr="00144382">
              <w:rPr>
                <w:rFonts w:asciiTheme="majorHAnsi" w:hAnsiTheme="majorHAnsi"/>
              </w:rPr>
              <w:instrText xml:space="preserve"> FORMCHECKBOX </w:instrText>
            </w:r>
            <w:r w:rsidR="00332B77">
              <w:rPr>
                <w:rFonts w:asciiTheme="majorHAnsi" w:hAnsiTheme="majorHAnsi"/>
              </w:rPr>
            </w:r>
            <w:r w:rsidR="00332B77">
              <w:rPr>
                <w:rFonts w:asciiTheme="majorHAnsi" w:hAnsiTheme="majorHAnsi"/>
              </w:rPr>
              <w:fldChar w:fldCharType="separate"/>
            </w:r>
            <w:r w:rsidRPr="00144382">
              <w:rPr>
                <w:rFonts w:asciiTheme="majorHAnsi" w:hAnsiTheme="majorHAnsi"/>
              </w:rPr>
              <w:fldChar w:fldCharType="end"/>
            </w:r>
          </w:p>
        </w:tc>
      </w:tr>
      <w:tr w:rsidR="00C27E59" w:rsidRPr="00E63B56" w:rsidTr="00177B95">
        <w:tc>
          <w:tcPr>
            <w:tcW w:w="4687" w:type="pct"/>
            <w:shd w:val="clear" w:color="auto" w:fill="auto"/>
            <w:vAlign w:val="center"/>
          </w:tcPr>
          <w:p w:rsidR="00C27E59" w:rsidRPr="002355B5" w:rsidRDefault="0033290F" w:rsidP="00760AB3">
            <w:pPr>
              <w:pStyle w:val="Tabulka"/>
              <w:jc w:val="left"/>
              <w:rPr>
                <w:rFonts w:ascii="Cambria" w:hAnsi="Cambria" w:cs="Times New Roman"/>
              </w:rPr>
            </w:pPr>
            <w:r w:rsidRPr="0033290F">
              <w:rPr>
                <w:rFonts w:ascii="Cambria" w:hAnsi="Cambria" w:cs="Times New Roman"/>
              </w:rPr>
              <w:t>Celá prioritní osa bude realizována výhradně prostřednictvím finančních nástrojů zřízených na úrovni Unie</w:t>
            </w:r>
          </w:p>
        </w:tc>
        <w:tc>
          <w:tcPr>
            <w:tcW w:w="313" w:type="pct"/>
            <w:shd w:val="clear" w:color="auto" w:fill="auto"/>
            <w:vAlign w:val="center"/>
          </w:tcPr>
          <w:p w:rsidR="00C27E59" w:rsidRPr="00E63B56" w:rsidRDefault="000E07F9" w:rsidP="00760AB3">
            <w:pPr>
              <w:pStyle w:val="Tabulka"/>
              <w:rPr>
                <w:rFonts w:asciiTheme="majorHAnsi" w:hAnsiTheme="majorHAnsi"/>
              </w:rPr>
            </w:pPr>
            <w:r w:rsidRPr="00144382">
              <w:rPr>
                <w:rFonts w:asciiTheme="majorHAnsi" w:hAnsiTheme="majorHAnsi"/>
              </w:rPr>
              <w:fldChar w:fldCharType="begin">
                <w:ffData>
                  <w:name w:val="Check1"/>
                  <w:enabled/>
                  <w:calcOnExit w:val="0"/>
                  <w:checkBox>
                    <w:sizeAuto/>
                    <w:default w:val="0"/>
                  </w:checkBox>
                </w:ffData>
              </w:fldChar>
            </w:r>
            <w:r w:rsidR="00C27E59" w:rsidRPr="00144382">
              <w:rPr>
                <w:rFonts w:asciiTheme="majorHAnsi" w:hAnsiTheme="majorHAnsi"/>
              </w:rPr>
              <w:instrText xml:space="preserve"> FORMCHECKBOX </w:instrText>
            </w:r>
            <w:r w:rsidR="00332B77">
              <w:rPr>
                <w:rFonts w:asciiTheme="majorHAnsi" w:hAnsiTheme="majorHAnsi"/>
              </w:rPr>
            </w:r>
            <w:r w:rsidR="00332B77">
              <w:rPr>
                <w:rFonts w:asciiTheme="majorHAnsi" w:hAnsiTheme="majorHAnsi"/>
              </w:rPr>
              <w:fldChar w:fldCharType="separate"/>
            </w:r>
            <w:r w:rsidRPr="00144382">
              <w:rPr>
                <w:rFonts w:asciiTheme="majorHAnsi" w:hAnsiTheme="majorHAnsi"/>
              </w:rPr>
              <w:fldChar w:fldCharType="end"/>
            </w:r>
          </w:p>
        </w:tc>
      </w:tr>
      <w:tr w:rsidR="00C27E59" w:rsidRPr="00E63B56" w:rsidTr="00177B95">
        <w:tc>
          <w:tcPr>
            <w:tcW w:w="4687" w:type="pct"/>
            <w:shd w:val="clear" w:color="auto" w:fill="auto"/>
            <w:vAlign w:val="center"/>
          </w:tcPr>
          <w:p w:rsidR="00C27E59" w:rsidRPr="002355B5" w:rsidRDefault="0033290F" w:rsidP="00760AB3">
            <w:pPr>
              <w:pStyle w:val="Tabulka"/>
              <w:jc w:val="left"/>
              <w:rPr>
                <w:rFonts w:ascii="Cambria" w:hAnsi="Cambria" w:cs="Times New Roman"/>
              </w:rPr>
            </w:pPr>
            <w:r w:rsidRPr="0033290F">
              <w:rPr>
                <w:rFonts w:ascii="Cambria" w:hAnsi="Cambria" w:cs="Times New Roman"/>
              </w:rPr>
              <w:t>Celá prioritní osa bude realizována výhradně prostřednictvím komunitně vedeného místního rozvoje</w:t>
            </w:r>
          </w:p>
        </w:tc>
        <w:tc>
          <w:tcPr>
            <w:tcW w:w="313" w:type="pct"/>
            <w:shd w:val="clear" w:color="auto" w:fill="auto"/>
            <w:vAlign w:val="center"/>
          </w:tcPr>
          <w:p w:rsidR="00C27E59" w:rsidRPr="00E63B56" w:rsidRDefault="000E07F9" w:rsidP="00760AB3">
            <w:pPr>
              <w:pStyle w:val="Tabulka"/>
              <w:rPr>
                <w:rFonts w:asciiTheme="majorHAnsi" w:hAnsiTheme="majorHAnsi"/>
              </w:rPr>
            </w:pPr>
            <w:r w:rsidRPr="00144382">
              <w:rPr>
                <w:rFonts w:asciiTheme="majorHAnsi" w:hAnsiTheme="majorHAnsi"/>
              </w:rPr>
              <w:fldChar w:fldCharType="begin">
                <w:ffData>
                  <w:name w:val="Check1"/>
                  <w:enabled/>
                  <w:calcOnExit w:val="0"/>
                  <w:checkBox>
                    <w:sizeAuto/>
                    <w:default w:val="0"/>
                  </w:checkBox>
                </w:ffData>
              </w:fldChar>
            </w:r>
            <w:r w:rsidR="00C27E59" w:rsidRPr="00144382">
              <w:rPr>
                <w:rFonts w:asciiTheme="majorHAnsi" w:hAnsiTheme="majorHAnsi"/>
              </w:rPr>
              <w:instrText xml:space="preserve"> FORMCHECKBOX </w:instrText>
            </w:r>
            <w:r w:rsidR="00332B77">
              <w:rPr>
                <w:rFonts w:asciiTheme="majorHAnsi" w:hAnsiTheme="majorHAnsi"/>
              </w:rPr>
            </w:r>
            <w:r w:rsidR="00332B77">
              <w:rPr>
                <w:rFonts w:asciiTheme="majorHAnsi" w:hAnsiTheme="majorHAnsi"/>
              </w:rPr>
              <w:fldChar w:fldCharType="separate"/>
            </w:r>
            <w:r w:rsidRPr="00144382">
              <w:rPr>
                <w:rFonts w:asciiTheme="majorHAnsi" w:hAnsiTheme="majorHAnsi"/>
              </w:rPr>
              <w:fldChar w:fldCharType="end"/>
            </w:r>
          </w:p>
        </w:tc>
      </w:tr>
    </w:tbl>
    <w:p w:rsidR="00674BC9" w:rsidRDefault="00674BC9"/>
    <w:p w:rsidR="00674BC9" w:rsidRDefault="00324BC4">
      <w:pPr>
        <w:pStyle w:val="Nadpis3"/>
      </w:pPr>
      <w:bookmarkStart w:id="2742" w:name="_Toc392151039"/>
      <w:r>
        <w:t>Odůvodnění pro vytvoření prioritní osy, která zahrnuje více než jednu kategorii regionů nebo více než jeden tematický cíl či fond</w:t>
      </w:r>
      <w:bookmarkEnd w:id="2742"/>
    </w:p>
    <w:p w:rsidR="00791112" w:rsidRDefault="00791112" w:rsidP="00324BC4">
      <w:r>
        <w:t>Není relevantní pro prioritní osu 4.</w:t>
      </w:r>
    </w:p>
    <w:p w:rsidR="00674BC9" w:rsidRDefault="00324BC4">
      <w:pPr>
        <w:pStyle w:val="Nadpis3"/>
      </w:pPr>
      <w:bookmarkStart w:id="2743" w:name="_Toc392151040"/>
      <w:r>
        <w:t>Fond, kategorie regionů a základ pro výpočet podpory Unie</w:t>
      </w:r>
      <w:bookmarkEnd w:id="2743"/>
    </w:p>
    <w:tbl>
      <w:tblPr>
        <w:tblStyle w:val="Mkatabulky"/>
        <w:tblW w:w="0" w:type="auto"/>
        <w:tblLook w:val="04A0" w:firstRow="1" w:lastRow="0" w:firstColumn="1" w:lastColumn="0" w:noHBand="0" w:noVBand="1"/>
      </w:tblPr>
      <w:tblGrid>
        <w:gridCol w:w="4605"/>
        <w:gridCol w:w="4434"/>
      </w:tblGrid>
      <w:tr w:rsidR="00324BC4" w:rsidTr="00177B95">
        <w:tc>
          <w:tcPr>
            <w:tcW w:w="4605" w:type="dxa"/>
            <w:shd w:val="clear" w:color="auto" w:fill="A6A6A6" w:themeFill="background1" w:themeFillShade="A6"/>
          </w:tcPr>
          <w:p w:rsidR="00324BC4" w:rsidRPr="000225A5" w:rsidRDefault="00324BC4" w:rsidP="008139EB">
            <w:pPr>
              <w:rPr>
                <w:b/>
              </w:rPr>
            </w:pPr>
            <w:r w:rsidRPr="003971AB">
              <w:rPr>
                <w:b/>
              </w:rPr>
              <w:t>Fond</w:t>
            </w:r>
          </w:p>
        </w:tc>
        <w:tc>
          <w:tcPr>
            <w:tcW w:w="4434" w:type="dxa"/>
          </w:tcPr>
          <w:p w:rsidR="00324BC4" w:rsidRDefault="00324BC4" w:rsidP="008139EB">
            <w:r>
              <w:t>EFRR</w:t>
            </w:r>
          </w:p>
        </w:tc>
      </w:tr>
      <w:tr w:rsidR="00324BC4" w:rsidTr="00177B95">
        <w:tc>
          <w:tcPr>
            <w:tcW w:w="4605" w:type="dxa"/>
            <w:shd w:val="clear" w:color="auto" w:fill="A6A6A6" w:themeFill="background1" w:themeFillShade="A6"/>
          </w:tcPr>
          <w:p w:rsidR="00324BC4" w:rsidRPr="000225A5" w:rsidRDefault="00324BC4" w:rsidP="008139EB">
            <w:pPr>
              <w:rPr>
                <w:b/>
              </w:rPr>
            </w:pPr>
            <w:r w:rsidRPr="003971AB">
              <w:rPr>
                <w:b/>
              </w:rPr>
              <w:t>Kategorie regionů</w:t>
            </w:r>
          </w:p>
        </w:tc>
        <w:tc>
          <w:tcPr>
            <w:tcW w:w="4434" w:type="dxa"/>
          </w:tcPr>
          <w:p w:rsidR="00324BC4" w:rsidRDefault="00324BC4" w:rsidP="008139EB">
            <w:r>
              <w:t xml:space="preserve">Méně rozvinuté regiony </w:t>
            </w:r>
          </w:p>
        </w:tc>
      </w:tr>
      <w:tr w:rsidR="00324BC4" w:rsidTr="00177B95">
        <w:tc>
          <w:tcPr>
            <w:tcW w:w="4605" w:type="dxa"/>
            <w:shd w:val="clear" w:color="auto" w:fill="A6A6A6" w:themeFill="background1" w:themeFillShade="A6"/>
          </w:tcPr>
          <w:p w:rsidR="00324BC4" w:rsidRPr="000225A5" w:rsidRDefault="00324BC4" w:rsidP="008139EB">
            <w:pPr>
              <w:rPr>
                <w:b/>
              </w:rPr>
            </w:pPr>
            <w:r w:rsidRPr="003971AB">
              <w:rPr>
                <w:b/>
              </w:rPr>
              <w:t>Základ pro výpočet (celkové způsobilé výdaje nebo způsobilé veřejné výdaje)</w:t>
            </w:r>
          </w:p>
        </w:tc>
        <w:tc>
          <w:tcPr>
            <w:tcW w:w="4434" w:type="dxa"/>
          </w:tcPr>
          <w:p w:rsidR="00324BC4" w:rsidRDefault="00A607AB" w:rsidP="008139EB">
            <w:r>
              <w:t>Celkové způsobilé výdaje</w:t>
            </w:r>
          </w:p>
        </w:tc>
      </w:tr>
    </w:tbl>
    <w:p w:rsidR="00BF593B" w:rsidRPr="00BE7616" w:rsidRDefault="00BF593B" w:rsidP="00165854">
      <w:pPr>
        <w:pStyle w:val="Nadpis3"/>
      </w:pPr>
      <w:bookmarkStart w:id="2744" w:name="_Toc391014915"/>
      <w:bookmarkStart w:id="2745" w:name="_Toc391016066"/>
      <w:bookmarkStart w:id="2746" w:name="_Toc391017015"/>
      <w:bookmarkStart w:id="2747" w:name="_Toc391018128"/>
      <w:bookmarkStart w:id="2748" w:name="_Toc391019240"/>
      <w:bookmarkStart w:id="2749" w:name="_Toc391014916"/>
      <w:bookmarkStart w:id="2750" w:name="_Toc391016067"/>
      <w:bookmarkStart w:id="2751" w:name="_Toc391017016"/>
      <w:bookmarkStart w:id="2752" w:name="_Toc391018129"/>
      <w:bookmarkStart w:id="2753" w:name="_Toc391019241"/>
      <w:bookmarkStart w:id="2754" w:name="_Toc391014919"/>
      <w:bookmarkStart w:id="2755" w:name="_Toc391016070"/>
      <w:bookmarkStart w:id="2756" w:name="_Toc391017019"/>
      <w:bookmarkStart w:id="2757" w:name="_Toc391018132"/>
      <w:bookmarkStart w:id="2758" w:name="_Toc391019244"/>
      <w:bookmarkStart w:id="2759" w:name="_Toc391014920"/>
      <w:bookmarkStart w:id="2760" w:name="_Toc391016071"/>
      <w:bookmarkStart w:id="2761" w:name="_Toc391017020"/>
      <w:bookmarkStart w:id="2762" w:name="_Toc391018133"/>
      <w:bookmarkStart w:id="2763" w:name="_Toc391019245"/>
      <w:bookmarkStart w:id="2764" w:name="_Toc392151041"/>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r w:rsidRPr="004314F4">
        <w:t xml:space="preserve">INVESTIČNÍ PRIORITA 1 prioritní osy 4: </w:t>
      </w:r>
      <w:r w:rsidR="00F94A2E">
        <w:t>Zachování a ochrana životního prostředí a podporování účinného využívání zdrojů o</w:t>
      </w:r>
      <w:r w:rsidR="00780E4F" w:rsidRPr="004314F4">
        <w:t>chran</w:t>
      </w:r>
      <w:r w:rsidR="00F94A2E">
        <w:t>ou</w:t>
      </w:r>
      <w:r w:rsidR="00BE02B6">
        <w:t xml:space="preserve"> a </w:t>
      </w:r>
      <w:r w:rsidR="00780E4F" w:rsidRPr="004314F4">
        <w:t>obnov</w:t>
      </w:r>
      <w:r w:rsidR="00F94A2E">
        <w:t>ou</w:t>
      </w:r>
      <w:r w:rsidR="00780E4F" w:rsidRPr="004314F4">
        <w:t xml:space="preserve"> biologické rozmanitosti a půdy a podpor</w:t>
      </w:r>
      <w:r w:rsidR="00F94A2E">
        <w:t>ou</w:t>
      </w:r>
      <w:r w:rsidR="00780E4F" w:rsidRPr="004314F4">
        <w:t xml:space="preserve"> ekosystémových služeb, </w:t>
      </w:r>
      <w:r w:rsidR="00F94A2E">
        <w:t>včetně</w:t>
      </w:r>
      <w:r w:rsidR="002A1B1D">
        <w:t xml:space="preserve"> prostřednictvím</w:t>
      </w:r>
      <w:r w:rsidR="002A1B1D" w:rsidRPr="004314F4">
        <w:t xml:space="preserve"> </w:t>
      </w:r>
      <w:r w:rsidR="00780E4F" w:rsidRPr="004314F4">
        <w:t>sítě NATURA 2000 a ekologických infrastruktur</w:t>
      </w:r>
      <w:r w:rsidR="0096405F">
        <w:t xml:space="preserve"> (Dle Nařízení Evropského parlamentu a Rady (EU) </w:t>
      </w:r>
      <w:r w:rsidR="002B13B3">
        <w:t>č.</w:t>
      </w:r>
      <w:r w:rsidR="00177B95">
        <w:t> </w:t>
      </w:r>
      <w:r w:rsidR="002B13B3">
        <w:t>1301/2013, čl. 5 odst. 6 písm.</w:t>
      </w:r>
      <w:r w:rsidR="0096405F">
        <w:t xml:space="preserve"> </w:t>
      </w:r>
      <w:r w:rsidR="002B13B3">
        <w:t>d))</w:t>
      </w:r>
      <w:bookmarkEnd w:id="2764"/>
    </w:p>
    <w:p w:rsidR="00BF593B" w:rsidRPr="00BE7616" w:rsidRDefault="00BF593B" w:rsidP="00C47308">
      <w:pPr>
        <w:pStyle w:val="Nadpis4"/>
      </w:pPr>
      <w:bookmarkStart w:id="2765" w:name="_Toc392151042"/>
      <w:r w:rsidRPr="004314F4">
        <w:t>Specifické cíle odpovída</w:t>
      </w:r>
      <w:r w:rsidR="00BE02B6">
        <w:t>jící dané investiční prioritě a </w:t>
      </w:r>
      <w:r w:rsidR="00F37924">
        <w:t>očekávané</w:t>
      </w:r>
      <w:r w:rsidRPr="004314F4">
        <w:t xml:space="preserve"> výsledky</w:t>
      </w:r>
      <w:bookmarkEnd w:id="2765"/>
    </w:p>
    <w:p w:rsidR="00674BC9" w:rsidRDefault="00AB5A52">
      <w:pPr>
        <w:pStyle w:val="Nadpis6"/>
      </w:pPr>
      <w:r w:rsidRPr="00753C88">
        <w:t>Specifický cíl 1: Posílit biodiverzitu na majetku</w:t>
      </w:r>
      <w:r w:rsidR="0033290F" w:rsidRPr="0033290F">
        <w:t xml:space="preserve"> ČR, ve správě rezortních organizací MŽP</w:t>
      </w:r>
    </w:p>
    <w:p w:rsidR="00AF793A" w:rsidRPr="00753C88" w:rsidRDefault="00AF793A" w:rsidP="00AF793A">
      <w:r w:rsidRPr="006960AD">
        <w:t xml:space="preserve">Specifické cíle 1 a 2 jsou takto definovány, neboť na majetku ČR ve správě rezortních organizací a ostatním majetku budou uplatněny </w:t>
      </w:r>
      <w:r>
        <w:t>odlišné</w:t>
      </w:r>
      <w:r w:rsidRPr="006960AD">
        <w:t xml:space="preserve"> postupy implementace. </w:t>
      </w:r>
    </w:p>
    <w:p w:rsidR="00AF793A" w:rsidRDefault="00AF793A" w:rsidP="00AF793A">
      <w:r w:rsidRPr="00E61304">
        <w:t>AOPK ČR</w:t>
      </w:r>
      <w:r>
        <w:t>,</w:t>
      </w:r>
      <w:r w:rsidRPr="00E61304">
        <w:t xml:space="preserve"> sprá</w:t>
      </w:r>
      <w:r>
        <w:t>vy</w:t>
      </w:r>
      <w:r w:rsidRPr="00E61304">
        <w:t xml:space="preserve"> NP </w:t>
      </w:r>
      <w:r>
        <w:t xml:space="preserve">a Správa jeskyní ČR </w:t>
      </w:r>
      <w:r w:rsidRPr="005E332E">
        <w:t>jsou rezortní organizace ministerstva životního prostředí, které jsou</w:t>
      </w:r>
      <w:r w:rsidRPr="00E61304">
        <w:t xml:space="preserve"> příslušné</w:t>
      </w:r>
      <w:r>
        <w:t xml:space="preserve"> k</w:t>
      </w:r>
      <w:r w:rsidRPr="00E61304">
        <w:t xml:space="preserve"> hospodař</w:t>
      </w:r>
      <w:r>
        <w:t>ení</w:t>
      </w:r>
      <w:r w:rsidRPr="00E61304">
        <w:t xml:space="preserve"> s majetkem státu, kter</w:t>
      </w:r>
      <w:r>
        <w:t>ý</w:t>
      </w:r>
      <w:r w:rsidRPr="00E61304">
        <w:t xml:space="preserve"> se nachází </w:t>
      </w:r>
      <w:r>
        <w:t>zejména ve</w:t>
      </w:r>
      <w:r w:rsidR="00793C54">
        <w:t> </w:t>
      </w:r>
      <w:r>
        <w:t>zvláště chráněných územích národního významu</w:t>
      </w:r>
      <w:r w:rsidRPr="00E61304">
        <w:t xml:space="preserve">. </w:t>
      </w:r>
      <w:r>
        <w:t>V</w:t>
      </w:r>
      <w:r w:rsidRPr="00E61304">
        <w:t xml:space="preserve">lastnictví </w:t>
      </w:r>
      <w:r w:rsidRPr="00D010D5">
        <w:t xml:space="preserve">a správa uvedeného majetku rezortními organizacemi MŽP umožňuje </w:t>
      </w:r>
      <w:r w:rsidRPr="00E61304">
        <w:t>zajistit jednotný výkon práv a povinnost</w:t>
      </w:r>
      <w:r>
        <w:t>í a odpovídající odbornou péči o pozemky a související infrastrukturu</w:t>
      </w:r>
      <w:r w:rsidRPr="00E61304">
        <w:t xml:space="preserve">. Tento postup </w:t>
      </w:r>
      <w:r>
        <w:t>eliminuje</w:t>
      </w:r>
      <w:r w:rsidRPr="00E61304">
        <w:t xml:space="preserve"> </w:t>
      </w:r>
      <w:r>
        <w:t xml:space="preserve">důsledky omezení vlastnických práv, plynoucí </w:t>
      </w:r>
      <w:r w:rsidRPr="00E61304">
        <w:t>z existence ochranných režimů</w:t>
      </w:r>
      <w:r>
        <w:t xml:space="preserve"> v případě soukromých pozemků</w:t>
      </w:r>
      <w:r w:rsidRPr="00E61304">
        <w:t>.</w:t>
      </w:r>
      <w:r>
        <w:t xml:space="preserve"> Správa</w:t>
      </w:r>
      <w:r w:rsidRPr="00E61304">
        <w:t xml:space="preserve"> pozemků </w:t>
      </w:r>
      <w:r>
        <w:t xml:space="preserve">umožňuje ucelenou realizaci a plánování záměrů a významně tak </w:t>
      </w:r>
      <w:r w:rsidRPr="00E61304">
        <w:t xml:space="preserve">usnadňuje </w:t>
      </w:r>
      <w:r>
        <w:t>a</w:t>
      </w:r>
      <w:r w:rsidR="00793C54">
        <w:t> </w:t>
      </w:r>
      <w:r>
        <w:t xml:space="preserve">zvyšuje efektivitu </w:t>
      </w:r>
      <w:r w:rsidRPr="00E61304">
        <w:t xml:space="preserve">využívání </w:t>
      </w:r>
      <w:r>
        <w:t>programových podpor při řízení péče o </w:t>
      </w:r>
      <w:r w:rsidRPr="00E61304">
        <w:t>pozemky potřebné pro</w:t>
      </w:r>
      <w:r w:rsidR="00793C54">
        <w:t> </w:t>
      </w:r>
      <w:r w:rsidRPr="00E61304">
        <w:t>ochranu přírody a krajiny.</w:t>
      </w:r>
    </w:p>
    <w:p w:rsidR="00AF793A" w:rsidRPr="0016627A" w:rsidRDefault="00AF793A" w:rsidP="00AF793A">
      <w:pPr>
        <w:rPr>
          <w:b/>
          <w:bCs/>
          <w:i/>
          <w:iCs/>
        </w:rPr>
      </w:pPr>
      <w:r>
        <w:lastRenderedPageBreak/>
        <w:t xml:space="preserve">Z věcného hlediska se jedná především o vybrané pozemky a objekty ve zvláště chráněných územích a lokalitách soustavy Natura 2000, jeskyně apod. Jedná se zpravidla o přírodně cenné plochy, které hostí řadu vzácných druhů a stanovišť. Zároveň i zde hrozí riziko šíření invazních druhů a jsou zde také objekty, které mohou být narušeny působením zvláště chráněných druhů (narušení hrází vodních děl norováním bobra evropského apod.). Aktivity, které budou v rámci specifického cíle 4.1 </w:t>
      </w:r>
      <w:r w:rsidRPr="006960AD">
        <w:t>na majetku ČR ve správě rezortních organizací</w:t>
      </w:r>
      <w:r>
        <w:t xml:space="preserve"> MŽP realizovány, jsou tedy obdobné jako v případě specifického cíle 4.2, lišit se však bude jejich rozsah, resp. poměr jednotlivých typů aktivit s ohledem na specifický charakter </w:t>
      </w:r>
      <w:r w:rsidRPr="006960AD">
        <w:t xml:space="preserve">majetku ve správě rezortních </w:t>
      </w:r>
      <w:r w:rsidR="00930D6E" w:rsidRPr="00930D6E">
        <w:rPr>
          <w:b/>
        </w:rPr>
        <w:t xml:space="preserve">organizací MŽP (viz výše - převážně cenné plochy v ZCHÚ a lokalitách soustavy Natura 2000). </w:t>
      </w:r>
      <w:r w:rsidR="00AB6024">
        <w:t>A</w:t>
      </w:r>
      <w:r w:rsidR="00AB6024" w:rsidRPr="00572E6B">
        <w:t>ktivity</w:t>
      </w:r>
      <w:r w:rsidR="00AB6024">
        <w:t xml:space="preserve"> (jak v SC 4.1, tak v následujícím SC 4.2)</w:t>
      </w:r>
      <w:r w:rsidR="00AB6024" w:rsidRPr="00572E6B">
        <w:t xml:space="preserve"> </w:t>
      </w:r>
      <w:r w:rsidR="00AB6024">
        <w:t xml:space="preserve">jsou navrženy v souladu se strategickými prioritami ochrany soustavy Natura 2000 dle prioritního akčního rámce pro </w:t>
      </w:r>
      <w:proofErr w:type="spellStart"/>
      <w:r w:rsidR="00AB6024">
        <w:t>Naturu</w:t>
      </w:r>
      <w:proofErr w:type="spellEnd"/>
      <w:r w:rsidR="00AB6024">
        <w:t xml:space="preserve"> 2000 v České republice, a to zejména prioritou dokončení vyhlašování evropsky významných lokalit a</w:t>
      </w:r>
      <w:r w:rsidR="00793C54">
        <w:t> </w:t>
      </w:r>
      <w:r w:rsidR="00AB6024">
        <w:t>zajištění jejich adekvátní ochrany a péče, zajištění potřebných odborných podkladů a zlepšení znalostí a povědomí o soustavě Natura 2000. Navržené aktivity povedou k naplnění těchto priorit a pokrývají definovaná klíčová opatření, která byla identifikována jako vhodná k financování z</w:t>
      </w:r>
      <w:r w:rsidR="00D3431E">
        <w:t xml:space="preserve"> </w:t>
      </w:r>
      <w:r w:rsidR="00AB6024">
        <w:t>EFRR.</w:t>
      </w:r>
    </w:p>
    <w:p w:rsidR="00674BC9" w:rsidRDefault="00930D6E">
      <w:pPr>
        <w:spacing w:after="0" w:afterAutospacing="0"/>
        <w:rPr>
          <w:b/>
        </w:rPr>
      </w:pPr>
      <w:r w:rsidRPr="00930D6E">
        <w:rPr>
          <w:b/>
        </w:rPr>
        <w:t>Stav, který chceme dosáhnout k roku 2020:</w:t>
      </w:r>
    </w:p>
    <w:p w:rsidR="00AF793A" w:rsidRDefault="00793C54" w:rsidP="00495FC1">
      <w:pPr>
        <w:numPr>
          <w:ilvl w:val="0"/>
          <w:numId w:val="64"/>
        </w:numPr>
        <w:spacing w:after="0" w:afterAutospacing="0"/>
      </w:pPr>
      <w:r>
        <w:t>s</w:t>
      </w:r>
      <w:r w:rsidR="00AF793A" w:rsidRPr="005D514F">
        <w:t xml:space="preserve">tav populací vzácných a ohrožených druhů </w:t>
      </w:r>
      <w:r w:rsidR="00AF793A">
        <w:t xml:space="preserve">i </w:t>
      </w:r>
      <w:r w:rsidR="00AF793A" w:rsidRPr="005D514F">
        <w:t>přírodních stanovišť</w:t>
      </w:r>
      <w:r w:rsidR="00AF793A">
        <w:t xml:space="preserve"> se zlepšuje</w:t>
      </w:r>
      <w:r w:rsidR="00AF793A" w:rsidRPr="005D514F">
        <w:t>. Jsou implementovány požadavky vyplývající z legislativy ES a mezinárodních úmluv</w:t>
      </w:r>
      <w:r>
        <w:t>,</w:t>
      </w:r>
    </w:p>
    <w:p w:rsidR="00AF793A" w:rsidRPr="002A431D" w:rsidRDefault="00793C54" w:rsidP="00495FC1">
      <w:pPr>
        <w:numPr>
          <w:ilvl w:val="0"/>
          <w:numId w:val="64"/>
        </w:numPr>
        <w:spacing w:after="0" w:afterAutospacing="0"/>
      </w:pPr>
      <w:r>
        <w:t>i</w:t>
      </w:r>
      <w:r w:rsidR="00AF793A" w:rsidRPr="005D514F">
        <w:t>mplementace soustavy Natura 2000 je dokončena</w:t>
      </w:r>
      <w:r>
        <w:t>,</w:t>
      </w:r>
    </w:p>
    <w:p w:rsidR="00AF793A" w:rsidRDefault="00793C54" w:rsidP="00495FC1">
      <w:pPr>
        <w:numPr>
          <w:ilvl w:val="0"/>
          <w:numId w:val="64"/>
        </w:numPr>
        <w:spacing w:after="0" w:afterAutospacing="0"/>
      </w:pPr>
      <w:r>
        <w:t>j</w:t>
      </w:r>
      <w:r w:rsidR="00AF793A">
        <w:t>sou vytvořeny podmínky pro dochování přírodních hodnot, včetně dostatečných informací pro jejich ochranu</w:t>
      </w:r>
      <w:r w:rsidR="00831B81">
        <w:t>, zejména v chráněných územích</w:t>
      </w:r>
      <w:r>
        <w:t>,</w:t>
      </w:r>
    </w:p>
    <w:p w:rsidR="00AF793A" w:rsidRDefault="00793C54" w:rsidP="00495FC1">
      <w:pPr>
        <w:numPr>
          <w:ilvl w:val="0"/>
          <w:numId w:val="64"/>
        </w:numPr>
        <w:spacing w:after="0" w:afterAutospacing="0"/>
      </w:pPr>
      <w:r>
        <w:t>j</w:t>
      </w:r>
      <w:r w:rsidR="00AF793A">
        <w:t>sou aplikována</w:t>
      </w:r>
      <w:r w:rsidR="00AF793A" w:rsidRPr="005D514F">
        <w:t xml:space="preserve"> opatření k prevenci a minimalizaci škod působených zvláště chráněnými druhy živočichů</w:t>
      </w:r>
      <w:r w:rsidR="00AF793A">
        <w:t xml:space="preserve"> nebo nepůvodními druhy</w:t>
      </w:r>
      <w:r>
        <w:t>,</w:t>
      </w:r>
    </w:p>
    <w:p w:rsidR="00AF793A" w:rsidRPr="00544BD8" w:rsidRDefault="00793C54" w:rsidP="00495FC1">
      <w:pPr>
        <w:pStyle w:val="Odstavecseseznamem"/>
        <w:numPr>
          <w:ilvl w:val="0"/>
          <w:numId w:val="64"/>
        </w:numPr>
        <w:spacing w:after="0" w:afterAutospacing="0"/>
        <w:rPr>
          <w:b/>
          <w:bCs/>
          <w:i/>
        </w:rPr>
      </w:pPr>
      <w:r>
        <w:t>n</w:t>
      </w:r>
      <w:r w:rsidR="00AF793A" w:rsidRPr="005D514F">
        <w:t>ávštěvnická infrastruktura v chráněných územích je optimalizována</w:t>
      </w:r>
      <w:r w:rsidR="00AF793A">
        <w:t xml:space="preserve"> ve vztahu k předmětům ochrany i informovanosti návštěvníků</w:t>
      </w:r>
      <w:r w:rsidR="006031CD">
        <w:t>.</w:t>
      </w:r>
    </w:p>
    <w:p w:rsidR="00674BC9" w:rsidRDefault="00674BC9"/>
    <w:p w:rsidR="00AB5A52" w:rsidRPr="004314F4" w:rsidRDefault="00AB5A52" w:rsidP="003D10F9">
      <w:pPr>
        <w:pStyle w:val="Titulek"/>
      </w:pPr>
      <w:bookmarkStart w:id="2766" w:name="_Toc384907453"/>
      <w:r w:rsidRPr="004314F4">
        <w:t xml:space="preserve">Specifické </w:t>
      </w:r>
      <w:r w:rsidR="008139EB">
        <w:t>programové ukazatele</w:t>
      </w:r>
      <w:r w:rsidRPr="004314F4">
        <w:t xml:space="preserve"> výsledků pro SC 4.1</w:t>
      </w:r>
      <w:bookmarkEnd w:id="2766"/>
    </w:p>
    <w:tbl>
      <w:tblPr>
        <w:tblStyle w:val="Mkatabulky"/>
        <w:tblW w:w="9180" w:type="dxa"/>
        <w:tblLayout w:type="fixed"/>
        <w:tblLook w:val="04A0" w:firstRow="1" w:lastRow="0" w:firstColumn="1" w:lastColumn="0" w:noHBand="0" w:noVBand="1"/>
      </w:tblPr>
      <w:tblGrid>
        <w:gridCol w:w="675"/>
        <w:gridCol w:w="1276"/>
        <w:gridCol w:w="709"/>
        <w:gridCol w:w="992"/>
        <w:gridCol w:w="1134"/>
        <w:gridCol w:w="851"/>
        <w:gridCol w:w="992"/>
        <w:gridCol w:w="1276"/>
        <w:gridCol w:w="1275"/>
      </w:tblGrid>
      <w:tr w:rsidR="00AB5A52" w:rsidRPr="00132694" w:rsidTr="00F625C4">
        <w:tc>
          <w:tcPr>
            <w:tcW w:w="675" w:type="dxa"/>
            <w:tcBorders>
              <w:bottom w:val="single" w:sz="12" w:space="0" w:color="auto"/>
            </w:tcBorders>
            <w:shd w:val="clear" w:color="auto" w:fill="BFBFBF" w:themeFill="background1" w:themeFillShade="BF"/>
          </w:tcPr>
          <w:p w:rsidR="00AB5A52" w:rsidRPr="003A2CB2" w:rsidRDefault="00AB5A52" w:rsidP="00B66FDE">
            <w:pPr>
              <w:rPr>
                <w:b/>
                <w:sz w:val="20"/>
                <w:szCs w:val="20"/>
              </w:rPr>
            </w:pPr>
            <w:r w:rsidRPr="003A2CB2">
              <w:rPr>
                <w:b/>
                <w:sz w:val="20"/>
                <w:szCs w:val="20"/>
              </w:rPr>
              <w:t xml:space="preserve">ID </w:t>
            </w:r>
          </w:p>
        </w:tc>
        <w:tc>
          <w:tcPr>
            <w:tcW w:w="1276" w:type="dxa"/>
            <w:tcBorders>
              <w:bottom w:val="single" w:sz="12" w:space="0" w:color="auto"/>
            </w:tcBorders>
            <w:shd w:val="clear" w:color="auto" w:fill="BFBFBF" w:themeFill="background1" w:themeFillShade="BF"/>
          </w:tcPr>
          <w:p w:rsidR="00AB5A52" w:rsidRPr="003A2CB2" w:rsidRDefault="0033290F" w:rsidP="008139EB">
            <w:pPr>
              <w:spacing w:line="276" w:lineRule="auto"/>
              <w:rPr>
                <w:b/>
                <w:sz w:val="20"/>
                <w:szCs w:val="20"/>
              </w:rPr>
            </w:pPr>
            <w:r w:rsidRPr="0033290F">
              <w:rPr>
                <w:b/>
                <w:sz w:val="20"/>
                <w:szCs w:val="20"/>
              </w:rPr>
              <w:t xml:space="preserve">Ukazatel </w:t>
            </w:r>
          </w:p>
        </w:tc>
        <w:tc>
          <w:tcPr>
            <w:tcW w:w="709" w:type="dxa"/>
            <w:tcBorders>
              <w:bottom w:val="single" w:sz="12" w:space="0" w:color="auto"/>
            </w:tcBorders>
            <w:shd w:val="clear" w:color="auto" w:fill="BFBFBF" w:themeFill="background1" w:themeFillShade="BF"/>
          </w:tcPr>
          <w:p w:rsidR="00AB5A52" w:rsidRPr="003A2CB2" w:rsidRDefault="0033290F" w:rsidP="00B66FDE">
            <w:pPr>
              <w:spacing w:line="276" w:lineRule="auto"/>
              <w:rPr>
                <w:b/>
                <w:sz w:val="20"/>
                <w:szCs w:val="20"/>
              </w:rPr>
            </w:pPr>
            <w:r w:rsidRPr="0033290F">
              <w:rPr>
                <w:b/>
                <w:sz w:val="20"/>
                <w:szCs w:val="20"/>
              </w:rPr>
              <w:t>Měrná jednotka</w:t>
            </w:r>
          </w:p>
        </w:tc>
        <w:tc>
          <w:tcPr>
            <w:tcW w:w="992" w:type="dxa"/>
            <w:tcBorders>
              <w:bottom w:val="single" w:sz="12" w:space="0" w:color="auto"/>
            </w:tcBorders>
            <w:shd w:val="clear" w:color="auto" w:fill="BFBFBF" w:themeFill="background1" w:themeFillShade="BF"/>
          </w:tcPr>
          <w:p w:rsidR="00AB5A52" w:rsidRPr="003A2CB2" w:rsidRDefault="0033290F" w:rsidP="00B66FDE">
            <w:pPr>
              <w:spacing w:line="276" w:lineRule="auto"/>
              <w:rPr>
                <w:b/>
                <w:sz w:val="20"/>
                <w:szCs w:val="20"/>
              </w:rPr>
            </w:pPr>
            <w:r w:rsidRPr="0033290F">
              <w:rPr>
                <w:b/>
                <w:sz w:val="20"/>
                <w:szCs w:val="20"/>
              </w:rPr>
              <w:t>Kategorie regionů</w:t>
            </w:r>
          </w:p>
        </w:tc>
        <w:tc>
          <w:tcPr>
            <w:tcW w:w="1134" w:type="dxa"/>
            <w:tcBorders>
              <w:bottom w:val="single" w:sz="12" w:space="0" w:color="auto"/>
            </w:tcBorders>
            <w:shd w:val="clear" w:color="auto" w:fill="BFBFBF" w:themeFill="background1" w:themeFillShade="BF"/>
          </w:tcPr>
          <w:p w:rsidR="00AB5A52" w:rsidRPr="003A2CB2" w:rsidRDefault="0033290F" w:rsidP="00B66FDE">
            <w:pPr>
              <w:spacing w:line="276" w:lineRule="auto"/>
              <w:rPr>
                <w:b/>
                <w:sz w:val="20"/>
                <w:szCs w:val="20"/>
              </w:rPr>
            </w:pPr>
            <w:r w:rsidRPr="0033290F">
              <w:rPr>
                <w:b/>
                <w:sz w:val="20"/>
                <w:szCs w:val="20"/>
              </w:rPr>
              <w:t>Výchozí hodnota</w:t>
            </w:r>
          </w:p>
        </w:tc>
        <w:tc>
          <w:tcPr>
            <w:tcW w:w="851" w:type="dxa"/>
            <w:tcBorders>
              <w:bottom w:val="single" w:sz="12" w:space="0" w:color="auto"/>
            </w:tcBorders>
            <w:shd w:val="clear" w:color="auto" w:fill="BFBFBF" w:themeFill="background1" w:themeFillShade="BF"/>
          </w:tcPr>
          <w:p w:rsidR="00AB5A52" w:rsidRPr="003A2CB2" w:rsidRDefault="0033290F" w:rsidP="00B66FDE">
            <w:pPr>
              <w:spacing w:line="276" w:lineRule="auto"/>
              <w:rPr>
                <w:b/>
                <w:sz w:val="20"/>
                <w:szCs w:val="20"/>
              </w:rPr>
            </w:pPr>
            <w:r w:rsidRPr="0033290F">
              <w:rPr>
                <w:b/>
                <w:sz w:val="20"/>
                <w:szCs w:val="20"/>
              </w:rPr>
              <w:t>Výchozí rok</w:t>
            </w:r>
          </w:p>
        </w:tc>
        <w:tc>
          <w:tcPr>
            <w:tcW w:w="992" w:type="dxa"/>
            <w:tcBorders>
              <w:bottom w:val="single" w:sz="12" w:space="0" w:color="auto"/>
            </w:tcBorders>
            <w:shd w:val="clear" w:color="auto" w:fill="BFBFBF" w:themeFill="background1" w:themeFillShade="BF"/>
          </w:tcPr>
          <w:p w:rsidR="00AB5A52" w:rsidRPr="003A2CB2" w:rsidRDefault="0033290F" w:rsidP="00B66FDE">
            <w:pPr>
              <w:spacing w:line="276" w:lineRule="auto"/>
              <w:rPr>
                <w:b/>
                <w:sz w:val="20"/>
                <w:szCs w:val="20"/>
              </w:rPr>
            </w:pPr>
            <w:r w:rsidRPr="0033290F">
              <w:rPr>
                <w:b/>
                <w:sz w:val="20"/>
                <w:szCs w:val="20"/>
              </w:rPr>
              <w:t>Cílová hodnota (2023)</w:t>
            </w:r>
          </w:p>
        </w:tc>
        <w:tc>
          <w:tcPr>
            <w:tcW w:w="1276" w:type="dxa"/>
            <w:tcBorders>
              <w:bottom w:val="single" w:sz="12" w:space="0" w:color="auto"/>
            </w:tcBorders>
            <w:shd w:val="clear" w:color="auto" w:fill="BFBFBF" w:themeFill="background1" w:themeFillShade="BF"/>
          </w:tcPr>
          <w:p w:rsidR="00AB5A52" w:rsidRPr="003A2CB2" w:rsidRDefault="0033290F" w:rsidP="00B66FDE">
            <w:pPr>
              <w:spacing w:line="276" w:lineRule="auto"/>
              <w:rPr>
                <w:b/>
                <w:sz w:val="20"/>
                <w:szCs w:val="20"/>
              </w:rPr>
            </w:pPr>
            <w:r w:rsidRPr="0033290F">
              <w:rPr>
                <w:b/>
                <w:sz w:val="20"/>
                <w:szCs w:val="20"/>
              </w:rPr>
              <w:t>Zdroj údajů</w:t>
            </w:r>
          </w:p>
        </w:tc>
        <w:tc>
          <w:tcPr>
            <w:tcW w:w="1275" w:type="dxa"/>
            <w:tcBorders>
              <w:bottom w:val="single" w:sz="12" w:space="0" w:color="auto"/>
            </w:tcBorders>
            <w:shd w:val="clear" w:color="auto" w:fill="BFBFBF" w:themeFill="background1" w:themeFillShade="BF"/>
          </w:tcPr>
          <w:p w:rsidR="00AB5A52" w:rsidRPr="003A2CB2" w:rsidRDefault="0033290F" w:rsidP="00B66FDE">
            <w:pPr>
              <w:spacing w:line="276" w:lineRule="auto"/>
              <w:rPr>
                <w:b/>
                <w:sz w:val="20"/>
                <w:szCs w:val="20"/>
              </w:rPr>
            </w:pPr>
            <w:r w:rsidRPr="0033290F">
              <w:rPr>
                <w:b/>
                <w:sz w:val="20"/>
                <w:szCs w:val="20"/>
              </w:rPr>
              <w:t>Četnost podávání zpráv</w:t>
            </w:r>
          </w:p>
        </w:tc>
      </w:tr>
      <w:tr w:rsidR="00AB5A52" w:rsidRPr="00132694" w:rsidTr="00F625C4">
        <w:tc>
          <w:tcPr>
            <w:tcW w:w="675" w:type="dxa"/>
            <w:tcBorders>
              <w:top w:val="single" w:sz="12" w:space="0" w:color="auto"/>
            </w:tcBorders>
          </w:tcPr>
          <w:p w:rsidR="00AB5A52" w:rsidRPr="003A2CB2" w:rsidRDefault="00195455" w:rsidP="00B66FDE">
            <w:pPr>
              <w:rPr>
                <w:sz w:val="20"/>
                <w:szCs w:val="20"/>
              </w:rPr>
            </w:pPr>
            <w:r>
              <w:t xml:space="preserve"> </w:t>
            </w:r>
            <w:r>
              <w:rPr>
                <w:sz w:val="20"/>
                <w:szCs w:val="20"/>
              </w:rPr>
              <w:t>457</w:t>
            </w:r>
            <w:r w:rsidRPr="00195455">
              <w:rPr>
                <w:sz w:val="20"/>
                <w:szCs w:val="20"/>
              </w:rPr>
              <w:t>10</w:t>
            </w:r>
          </w:p>
        </w:tc>
        <w:tc>
          <w:tcPr>
            <w:tcW w:w="1276" w:type="dxa"/>
            <w:tcBorders>
              <w:top w:val="single" w:sz="12" w:space="0" w:color="auto"/>
            </w:tcBorders>
          </w:tcPr>
          <w:p w:rsidR="00AB5A52" w:rsidRPr="003A2CB2" w:rsidRDefault="00753C88" w:rsidP="00B66FDE">
            <w:pPr>
              <w:spacing w:line="276" w:lineRule="auto"/>
              <w:rPr>
                <w:sz w:val="20"/>
                <w:szCs w:val="20"/>
              </w:rPr>
            </w:pPr>
            <w:r w:rsidRPr="003A2CB2">
              <w:rPr>
                <w:sz w:val="20"/>
                <w:szCs w:val="20"/>
              </w:rPr>
              <w:t>Celková plocha dotčená reali</w:t>
            </w:r>
            <w:r w:rsidR="0033290F" w:rsidRPr="0033290F">
              <w:rPr>
                <w:sz w:val="20"/>
                <w:szCs w:val="20"/>
              </w:rPr>
              <w:t>zací opatření na podporu lokalit soustavy Natura 2000, ZCHÚ a biodiverzity</w:t>
            </w:r>
          </w:p>
        </w:tc>
        <w:tc>
          <w:tcPr>
            <w:tcW w:w="709" w:type="dxa"/>
            <w:tcBorders>
              <w:top w:val="single" w:sz="12" w:space="0" w:color="auto"/>
            </w:tcBorders>
          </w:tcPr>
          <w:p w:rsidR="00AB5A52" w:rsidRPr="003A2CB2" w:rsidRDefault="0033290F" w:rsidP="00B66FDE">
            <w:pPr>
              <w:spacing w:line="276" w:lineRule="auto"/>
              <w:rPr>
                <w:sz w:val="20"/>
                <w:szCs w:val="20"/>
              </w:rPr>
            </w:pPr>
            <w:r w:rsidRPr="0033290F">
              <w:rPr>
                <w:sz w:val="20"/>
                <w:szCs w:val="20"/>
              </w:rPr>
              <w:t>ha</w:t>
            </w:r>
          </w:p>
        </w:tc>
        <w:tc>
          <w:tcPr>
            <w:tcW w:w="992" w:type="dxa"/>
            <w:tcBorders>
              <w:top w:val="single" w:sz="12" w:space="0" w:color="auto"/>
            </w:tcBorders>
          </w:tcPr>
          <w:p w:rsidR="00AB5A52" w:rsidRPr="003A2CB2" w:rsidRDefault="0033290F" w:rsidP="00B66FDE">
            <w:pPr>
              <w:spacing w:line="276" w:lineRule="auto"/>
              <w:rPr>
                <w:sz w:val="20"/>
                <w:szCs w:val="20"/>
              </w:rPr>
            </w:pPr>
            <w:r w:rsidRPr="0033290F">
              <w:rPr>
                <w:sz w:val="20"/>
                <w:szCs w:val="20"/>
              </w:rPr>
              <w:t>Méně rozvinuté regiony</w:t>
            </w:r>
          </w:p>
        </w:tc>
        <w:tc>
          <w:tcPr>
            <w:tcW w:w="1134" w:type="dxa"/>
            <w:tcBorders>
              <w:top w:val="single" w:sz="12" w:space="0" w:color="auto"/>
            </w:tcBorders>
          </w:tcPr>
          <w:p w:rsidR="00AB5A52" w:rsidRPr="003A2CB2" w:rsidRDefault="0033290F" w:rsidP="00B66FDE">
            <w:pPr>
              <w:spacing w:line="276" w:lineRule="auto"/>
              <w:rPr>
                <w:sz w:val="20"/>
                <w:szCs w:val="20"/>
              </w:rPr>
            </w:pPr>
            <w:r w:rsidRPr="0033290F">
              <w:rPr>
                <w:sz w:val="20"/>
                <w:szCs w:val="20"/>
              </w:rPr>
              <w:t>131356,25 ha</w:t>
            </w:r>
          </w:p>
        </w:tc>
        <w:tc>
          <w:tcPr>
            <w:tcW w:w="851" w:type="dxa"/>
            <w:tcBorders>
              <w:top w:val="single" w:sz="12" w:space="0" w:color="auto"/>
            </w:tcBorders>
          </w:tcPr>
          <w:p w:rsidR="00AB5A52" w:rsidRPr="003A2CB2" w:rsidRDefault="0033290F" w:rsidP="00B66FDE">
            <w:pPr>
              <w:spacing w:line="276" w:lineRule="auto"/>
              <w:rPr>
                <w:sz w:val="20"/>
                <w:szCs w:val="20"/>
              </w:rPr>
            </w:pPr>
            <w:r w:rsidRPr="0033290F">
              <w:rPr>
                <w:sz w:val="20"/>
                <w:szCs w:val="20"/>
              </w:rPr>
              <w:t>2014</w:t>
            </w:r>
          </w:p>
        </w:tc>
        <w:tc>
          <w:tcPr>
            <w:tcW w:w="992" w:type="dxa"/>
            <w:tcBorders>
              <w:top w:val="single" w:sz="12" w:space="0" w:color="auto"/>
            </w:tcBorders>
          </w:tcPr>
          <w:p w:rsidR="00AB5A52" w:rsidRPr="003A2CB2" w:rsidRDefault="0033290F" w:rsidP="00B66FDE">
            <w:pPr>
              <w:spacing w:line="276" w:lineRule="auto"/>
              <w:rPr>
                <w:sz w:val="20"/>
                <w:szCs w:val="20"/>
              </w:rPr>
            </w:pPr>
            <w:r w:rsidRPr="0033290F">
              <w:rPr>
                <w:sz w:val="20"/>
                <w:szCs w:val="20"/>
              </w:rPr>
              <w:t xml:space="preserve">201 356,25 ha </w:t>
            </w:r>
          </w:p>
        </w:tc>
        <w:tc>
          <w:tcPr>
            <w:tcW w:w="1276" w:type="dxa"/>
            <w:tcBorders>
              <w:top w:val="single" w:sz="12" w:space="0" w:color="auto"/>
            </w:tcBorders>
          </w:tcPr>
          <w:p w:rsidR="00AB5A52" w:rsidRPr="003A2CB2" w:rsidRDefault="0033290F" w:rsidP="00B66FDE">
            <w:pPr>
              <w:spacing w:line="276" w:lineRule="auto"/>
              <w:rPr>
                <w:sz w:val="20"/>
                <w:szCs w:val="20"/>
              </w:rPr>
            </w:pPr>
            <w:r w:rsidRPr="0033290F">
              <w:rPr>
                <w:sz w:val="20"/>
                <w:szCs w:val="20"/>
              </w:rPr>
              <w:t>OPŽP, žadatel</w:t>
            </w:r>
          </w:p>
        </w:tc>
        <w:tc>
          <w:tcPr>
            <w:tcW w:w="1275" w:type="dxa"/>
            <w:tcBorders>
              <w:top w:val="single" w:sz="12" w:space="0" w:color="auto"/>
            </w:tcBorders>
          </w:tcPr>
          <w:p w:rsidR="00AB5A52" w:rsidRPr="003A2CB2" w:rsidRDefault="0033290F" w:rsidP="00B66FDE">
            <w:pPr>
              <w:spacing w:line="276" w:lineRule="auto"/>
              <w:rPr>
                <w:sz w:val="20"/>
                <w:szCs w:val="20"/>
              </w:rPr>
            </w:pPr>
            <w:r w:rsidRPr="0033290F">
              <w:rPr>
                <w:sz w:val="20"/>
                <w:szCs w:val="20"/>
              </w:rPr>
              <w:t>Průběžně</w:t>
            </w:r>
          </w:p>
        </w:tc>
      </w:tr>
    </w:tbl>
    <w:p w:rsidR="00674BC9" w:rsidRDefault="00753C88">
      <w:pPr>
        <w:pStyle w:val="Nadpis6"/>
      </w:pPr>
      <w:r>
        <w:lastRenderedPageBreak/>
        <w:t>Specifický cíl 2: Posílit biodiverzitu</w:t>
      </w:r>
    </w:p>
    <w:p w:rsidR="00753C88" w:rsidRDefault="00753C88" w:rsidP="00753C88">
      <w:pPr>
        <w:autoSpaceDE w:val="0"/>
        <w:autoSpaceDN w:val="0"/>
        <w:adjustRightInd w:val="0"/>
      </w:pPr>
      <w:r>
        <w:t xml:space="preserve">Na </w:t>
      </w:r>
      <w:r w:rsidRPr="0069266B">
        <w:t xml:space="preserve">pokles </w:t>
      </w:r>
      <w:r>
        <w:t xml:space="preserve">biologické </w:t>
      </w:r>
      <w:r w:rsidRPr="0069266B">
        <w:t xml:space="preserve">rozmanitosti </w:t>
      </w:r>
      <w:r>
        <w:t xml:space="preserve">je nezbytné reagovat </w:t>
      </w:r>
      <w:proofErr w:type="gramStart"/>
      <w:r>
        <w:t>komplexně</w:t>
      </w:r>
      <w:proofErr w:type="gramEnd"/>
      <w:r>
        <w:t>–</w:t>
      </w:r>
      <w:proofErr w:type="gramStart"/>
      <w:r>
        <w:t>od</w:t>
      </w:r>
      <w:proofErr w:type="gramEnd"/>
      <w:r>
        <w:t xml:space="preserve"> obnovy a tvorby stanovišť a podmínek pro výskyt druhů vázaných na kulturní krajinu či sídla, až po ochranu ekosystémů.</w:t>
      </w:r>
    </w:p>
    <w:p w:rsidR="00753C88" w:rsidRDefault="00753C88" w:rsidP="00753C88">
      <w:pPr>
        <w:autoSpaceDE w:val="0"/>
        <w:autoSpaceDN w:val="0"/>
        <w:adjustRightInd w:val="0"/>
      </w:pPr>
      <w:r>
        <w:t>Nástrojem k posílení biodiverzity je především územní ochrana prostřednictvím soustavy Natura 2000 a zvláště chráněných území (ZCHÚ mj. zajišťují v souladu s vnitrostátními předpisy legislativní ochranu EVL zařazených na evropský seznam). Potřebná péče o předměty</w:t>
      </w:r>
      <w:r w:rsidRPr="00863196">
        <w:t xml:space="preserve"> ochrany </w:t>
      </w:r>
      <w:r>
        <w:t>zvláště chráněných území je</w:t>
      </w:r>
      <w:r w:rsidRPr="00863196">
        <w:t xml:space="preserve"> </w:t>
      </w:r>
      <w:r>
        <w:t xml:space="preserve">stanovena </w:t>
      </w:r>
      <w:r w:rsidRPr="00863196">
        <w:t>schválen</w:t>
      </w:r>
      <w:r>
        <w:t>ými plány péče, v územích Natura 2000 jsou to souhrny doporučených opatření.</w:t>
      </w:r>
      <w:r w:rsidRPr="00863196">
        <w:t xml:space="preserve"> </w:t>
      </w:r>
      <w:r>
        <w:t>Nezbytným p</w:t>
      </w:r>
      <w:r w:rsidRPr="00863196">
        <w:t xml:space="preserve">odkladem </w:t>
      </w:r>
      <w:r>
        <w:t xml:space="preserve">pro tvorbu plánovacích dokumentů </w:t>
      </w:r>
      <w:r w:rsidRPr="00863196">
        <w:t>je sledování stavu předmětů ochrany.</w:t>
      </w:r>
      <w:r>
        <w:t xml:space="preserve"> V těchto cenných územích je rovněž nezbytné prostřednictvím kvalitní návštěvnické infrastruktury usměrňovat jejich rekreační využití a</w:t>
      </w:r>
      <w:r w:rsidR="00177B95">
        <w:t> </w:t>
      </w:r>
      <w:r>
        <w:t xml:space="preserve">zajišťovat potřebnou informovanost veřejnosti o </w:t>
      </w:r>
      <w:r w:rsidRPr="006D706D">
        <w:t>významu ochrany daných území.</w:t>
      </w:r>
    </w:p>
    <w:p w:rsidR="00753C88" w:rsidRDefault="00753C88" w:rsidP="00753C88">
      <w:pPr>
        <w:autoSpaceDE w:val="0"/>
        <w:autoSpaceDN w:val="0"/>
        <w:adjustRightInd w:val="0"/>
      </w:pPr>
      <w:r>
        <w:t>Zejména výskyt druhů, ale i některých přírodních stanovišť, není vázán pouze na lokality soustavy Natura 2000 a zvláště chráněná území. Řada druhů i typů přírodních stanovišť je vázána na specifické způsoby údržby ploch a mizející hospodářské postupy, které je nezbytné adekvátně nahradit – v případě zemědělsky využívaných ploch je to z části řešeno v rámci PRV, avšak v případech, kdy zlepšení stavu populací i stanovišť nelze zajistit zemědělským hospodařením, je nutné přijmout specializovaná opatření</w:t>
      </w:r>
      <w:r w:rsidRPr="006A72F0">
        <w:t xml:space="preserve"> </w:t>
      </w:r>
      <w:r>
        <w:t xml:space="preserve">a zvyšovat jejich </w:t>
      </w:r>
      <w:proofErr w:type="spellStart"/>
      <w:r>
        <w:t>resilienci</w:t>
      </w:r>
      <w:proofErr w:type="spellEnd"/>
      <w:r>
        <w:t xml:space="preserve">. </w:t>
      </w:r>
    </w:p>
    <w:p w:rsidR="00753C88" w:rsidRDefault="00753C88" w:rsidP="00753C88">
      <w:pPr>
        <w:autoSpaceDE w:val="0"/>
        <w:autoSpaceDN w:val="0"/>
        <w:adjustRightInd w:val="0"/>
      </w:pPr>
      <w:r>
        <w:t xml:space="preserve">V silně antropogenně ovlivněném prostředí (aglomerace, průmyslové areály, území </w:t>
      </w:r>
      <w:r w:rsidRPr="00862011">
        <w:t>po těžbě surovin atp.)</w:t>
      </w:r>
      <w:r>
        <w:t>,</w:t>
      </w:r>
      <w:r w:rsidRPr="00862011">
        <w:t xml:space="preserve"> j</w:t>
      </w:r>
      <w:r>
        <w:t xml:space="preserve">e třeba zvyšovat nabídku hnízdních či potravních zdrojů a rizikové </w:t>
      </w:r>
      <w:r w:rsidRPr="00862011">
        <w:t>technické pr</w:t>
      </w:r>
      <w:r>
        <w:t>vky (</w:t>
      </w:r>
      <w:r w:rsidRPr="00862011">
        <w:t>např. skleněné stěny, staré jímky a</w:t>
      </w:r>
      <w:r>
        <w:t xml:space="preserve">tp.) zabezpečovat proti zraňování či úhynu živočichů. </w:t>
      </w:r>
    </w:p>
    <w:p w:rsidR="00753C88" w:rsidRDefault="00753C88" w:rsidP="00753C88">
      <w:pPr>
        <w:autoSpaceDE w:val="0"/>
        <w:autoSpaceDN w:val="0"/>
        <w:adjustRightInd w:val="0"/>
      </w:pPr>
      <w:r>
        <w:t xml:space="preserve">Specifický přístup vyžadují situace, kdy působením chráněných druhů (např. velké šelmy, bobr evropský aj. druhy zařazené do přílohy IV Směrnice 92/43/EHS) dochází k vzniku škod. V zájmu společenské akceptovatelnosti ochrany těchto druhů a omezení konfliktů je účelné podpořit prevenci a minimalizaci škod (např. instalace tzv. </w:t>
      </w:r>
      <w:proofErr w:type="spellStart"/>
      <w:r>
        <w:t>beaver</w:t>
      </w:r>
      <w:proofErr w:type="spellEnd"/>
      <w:r>
        <w:t xml:space="preserve"> </w:t>
      </w:r>
      <w:proofErr w:type="spellStart"/>
      <w:r>
        <w:t>deceiverů</w:t>
      </w:r>
      <w:proofErr w:type="spellEnd"/>
      <w:r>
        <w:t xml:space="preserve"> proti narušení vodohospodářské </w:t>
      </w:r>
      <w:proofErr w:type="gramStart"/>
      <w:r>
        <w:t>infrastruktury ).</w:t>
      </w:r>
      <w:proofErr w:type="gramEnd"/>
    </w:p>
    <w:p w:rsidR="00753C88" w:rsidRDefault="00753C88" w:rsidP="00753C88">
      <w:pPr>
        <w:autoSpaceDE w:val="0"/>
        <w:autoSpaceDN w:val="0"/>
        <w:adjustRightInd w:val="0"/>
      </w:pPr>
      <w:r>
        <w:t xml:space="preserve">V souladu s (připravovanou) legislativou EU je nezbytné věnovat zvýšenou pozornost prevenci šíření invazních druhů včetně vyhodnocování rizik jednotlivých druhů a včasné reakce. Systémově je nutno regulovat invazní druhy, které </w:t>
      </w:r>
      <w:r w:rsidRPr="0069266B">
        <w:t>vytlačují nebo hubí původní druhy</w:t>
      </w:r>
      <w:r>
        <w:t xml:space="preserve"> a případně mají i nepříznivé hospodářské či zdravotní dopady.</w:t>
      </w:r>
    </w:p>
    <w:p w:rsidR="00674BC9" w:rsidRDefault="00753C88">
      <w:pPr>
        <w:autoSpaceDE w:val="0"/>
        <w:autoSpaceDN w:val="0"/>
        <w:adjustRightInd w:val="0"/>
        <w:rPr>
          <w:b/>
        </w:rPr>
      </w:pPr>
      <w:r>
        <w:t xml:space="preserve">Jak v případě invazních druhů, tak ohrožených druhů i stanovišť jsou, podobně jako při ochraně lokalit soustavy Natura 2000 a zvláště chráněných území, nezbytným předpokladem efektivního přístupu dostatečné a kvalitní informace (sběr dat, monitoring) - prováděná opatření musí vycházet z těchto odborných podkladů a zároveň ze znalosti příčin ohrožení.    </w:t>
      </w:r>
    </w:p>
    <w:p w:rsidR="00674BC9" w:rsidRDefault="00930D6E">
      <w:pPr>
        <w:spacing w:after="0" w:afterAutospacing="0"/>
        <w:rPr>
          <w:b/>
        </w:rPr>
      </w:pPr>
      <w:bookmarkStart w:id="2767" w:name="_Toc384907452"/>
      <w:r w:rsidRPr="00930D6E">
        <w:rPr>
          <w:b/>
        </w:rPr>
        <w:t>Stav, který chceme dosáhnout k roku 2020:</w:t>
      </w:r>
      <w:bookmarkEnd w:id="2767"/>
    </w:p>
    <w:p w:rsidR="00753C88" w:rsidRDefault="00793C54" w:rsidP="00495FC1">
      <w:pPr>
        <w:numPr>
          <w:ilvl w:val="0"/>
          <w:numId w:val="64"/>
        </w:numPr>
        <w:spacing w:after="0" w:afterAutospacing="0"/>
      </w:pPr>
      <w:r>
        <w:t>s</w:t>
      </w:r>
      <w:r w:rsidR="00753C88" w:rsidRPr="005D514F">
        <w:t xml:space="preserve">tav populací vzácných a ohrožených druhů </w:t>
      </w:r>
      <w:r w:rsidR="00753C88">
        <w:t xml:space="preserve">i </w:t>
      </w:r>
      <w:r w:rsidR="00753C88" w:rsidRPr="005D514F">
        <w:t>přírodních stanovišť</w:t>
      </w:r>
      <w:r w:rsidR="00753C88">
        <w:t xml:space="preserve"> se zlepšuje</w:t>
      </w:r>
      <w:r w:rsidR="00753C88" w:rsidRPr="005D514F">
        <w:t>. Jsou implementovány požadavky vyplývající z legislativy ES a mezinárodních úmluv</w:t>
      </w:r>
      <w:r>
        <w:t>,</w:t>
      </w:r>
    </w:p>
    <w:p w:rsidR="00753C88" w:rsidRPr="002A431D" w:rsidRDefault="00793C54" w:rsidP="00495FC1">
      <w:pPr>
        <w:numPr>
          <w:ilvl w:val="0"/>
          <w:numId w:val="64"/>
        </w:numPr>
        <w:spacing w:after="0" w:afterAutospacing="0"/>
      </w:pPr>
      <w:r>
        <w:lastRenderedPageBreak/>
        <w:t>i</w:t>
      </w:r>
      <w:r w:rsidR="00753C88" w:rsidRPr="005D514F">
        <w:t>mplementace soustavy Natura 2000 je dokončena</w:t>
      </w:r>
      <w:r>
        <w:t>,</w:t>
      </w:r>
    </w:p>
    <w:p w:rsidR="00753C88" w:rsidRDefault="00793C54" w:rsidP="00495FC1">
      <w:pPr>
        <w:numPr>
          <w:ilvl w:val="0"/>
          <w:numId w:val="64"/>
        </w:numPr>
        <w:spacing w:after="0" w:afterAutospacing="0"/>
      </w:pPr>
      <w:r>
        <w:t>j</w:t>
      </w:r>
      <w:r w:rsidR="00753C88">
        <w:t>sou vytvořeny podmínky pro dochování přírodních hodnot, včetně dostatečných informací pro jejich ochranu</w:t>
      </w:r>
      <w:r w:rsidR="0007499D">
        <w:t>, zejména v chráněných územích</w:t>
      </w:r>
      <w:r>
        <w:t>,</w:t>
      </w:r>
    </w:p>
    <w:p w:rsidR="00753C88" w:rsidRDefault="00793C54" w:rsidP="00495FC1">
      <w:pPr>
        <w:numPr>
          <w:ilvl w:val="0"/>
          <w:numId w:val="64"/>
        </w:numPr>
        <w:spacing w:after="0" w:afterAutospacing="0"/>
      </w:pPr>
      <w:r>
        <w:t>j</w:t>
      </w:r>
      <w:r w:rsidR="00753C88">
        <w:t>sou vytvořeny podmínky pro přežití druhů v  silně antropogenně ovlivněném prostředí</w:t>
      </w:r>
      <w:r>
        <w:t>,</w:t>
      </w:r>
    </w:p>
    <w:p w:rsidR="00753C88" w:rsidRDefault="00793C54" w:rsidP="00495FC1">
      <w:pPr>
        <w:numPr>
          <w:ilvl w:val="0"/>
          <w:numId w:val="64"/>
        </w:numPr>
        <w:spacing w:after="0" w:afterAutospacing="0"/>
      </w:pPr>
      <w:r>
        <w:t>j</w:t>
      </w:r>
      <w:r w:rsidR="00753C88">
        <w:t>sou aplikována</w:t>
      </w:r>
      <w:r w:rsidR="00753C88" w:rsidRPr="005D514F">
        <w:t xml:space="preserve"> opatření k prevenci a minimalizaci škod působených zvláště chráněnými druhy živočichů</w:t>
      </w:r>
      <w:r w:rsidR="00753C88">
        <w:t xml:space="preserve"> nebo nepůvodními druhy</w:t>
      </w:r>
      <w:r>
        <w:t>,</w:t>
      </w:r>
    </w:p>
    <w:p w:rsidR="00753C88" w:rsidRPr="00544BD8" w:rsidRDefault="00793C54" w:rsidP="00495FC1">
      <w:pPr>
        <w:pStyle w:val="Odstavecseseznamem"/>
        <w:numPr>
          <w:ilvl w:val="0"/>
          <w:numId w:val="64"/>
        </w:numPr>
        <w:spacing w:after="0" w:afterAutospacing="0"/>
        <w:rPr>
          <w:b/>
          <w:bCs/>
          <w:i/>
        </w:rPr>
      </w:pPr>
      <w:r>
        <w:t>n</w:t>
      </w:r>
      <w:r w:rsidR="00753C88" w:rsidRPr="005D514F">
        <w:t>ávštěvnická infrastruktura v chráněných územích je optimalizována</w:t>
      </w:r>
      <w:r w:rsidR="00753C88">
        <w:t xml:space="preserve"> ve vztahu k předmětům ochrany i informovanosti návštěvníků</w:t>
      </w:r>
      <w:r>
        <w:t>.</w:t>
      </w:r>
    </w:p>
    <w:p w:rsidR="00753C88" w:rsidRPr="00753C88" w:rsidRDefault="00753C88" w:rsidP="00753C88"/>
    <w:p w:rsidR="004479EC" w:rsidRPr="004314F4" w:rsidRDefault="004479EC" w:rsidP="00CB78B6">
      <w:pPr>
        <w:pStyle w:val="Titulek"/>
      </w:pPr>
      <w:bookmarkStart w:id="2768" w:name="_Toc384907454"/>
      <w:r w:rsidRPr="004314F4">
        <w:t xml:space="preserve">Specifické </w:t>
      </w:r>
      <w:r w:rsidR="008139EB">
        <w:t>programové ukazatele</w:t>
      </w:r>
      <w:r w:rsidRPr="004314F4">
        <w:t xml:space="preserve"> výsledků pro SC 4.</w:t>
      </w:r>
      <w:r w:rsidR="00263EAF">
        <w:t>2</w:t>
      </w:r>
      <w:bookmarkEnd w:id="2768"/>
    </w:p>
    <w:tbl>
      <w:tblPr>
        <w:tblStyle w:val="Mkatabulky"/>
        <w:tblW w:w="9180" w:type="dxa"/>
        <w:tblLayout w:type="fixed"/>
        <w:tblLook w:val="04A0" w:firstRow="1" w:lastRow="0" w:firstColumn="1" w:lastColumn="0" w:noHBand="0" w:noVBand="1"/>
      </w:tblPr>
      <w:tblGrid>
        <w:gridCol w:w="675"/>
        <w:gridCol w:w="1418"/>
        <w:gridCol w:w="850"/>
        <w:gridCol w:w="993"/>
        <w:gridCol w:w="992"/>
        <w:gridCol w:w="850"/>
        <w:gridCol w:w="993"/>
        <w:gridCol w:w="850"/>
        <w:gridCol w:w="1559"/>
      </w:tblGrid>
      <w:tr w:rsidR="00132694" w:rsidRPr="00132694" w:rsidTr="001A7CDE">
        <w:tc>
          <w:tcPr>
            <w:tcW w:w="675" w:type="dxa"/>
            <w:tcBorders>
              <w:bottom w:val="single" w:sz="12" w:space="0" w:color="auto"/>
            </w:tcBorders>
            <w:shd w:val="clear" w:color="auto" w:fill="BFBFBF" w:themeFill="background1" w:themeFillShade="BF"/>
          </w:tcPr>
          <w:p w:rsidR="00BF593B" w:rsidRPr="003A2CB2" w:rsidRDefault="00BF593B" w:rsidP="00B66FDE">
            <w:pPr>
              <w:rPr>
                <w:b/>
                <w:sz w:val="20"/>
                <w:szCs w:val="20"/>
              </w:rPr>
            </w:pPr>
            <w:r w:rsidRPr="003A2CB2">
              <w:rPr>
                <w:b/>
                <w:sz w:val="20"/>
                <w:szCs w:val="20"/>
              </w:rPr>
              <w:t xml:space="preserve">ID </w:t>
            </w:r>
          </w:p>
        </w:tc>
        <w:tc>
          <w:tcPr>
            <w:tcW w:w="1418"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Ukazatel</w:t>
            </w:r>
          </w:p>
        </w:tc>
        <w:tc>
          <w:tcPr>
            <w:tcW w:w="850"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Měrná jednotka</w:t>
            </w:r>
          </w:p>
        </w:tc>
        <w:tc>
          <w:tcPr>
            <w:tcW w:w="993"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Kategorie regionů</w:t>
            </w:r>
          </w:p>
        </w:tc>
        <w:tc>
          <w:tcPr>
            <w:tcW w:w="992"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Výchozí hodnota</w:t>
            </w:r>
          </w:p>
        </w:tc>
        <w:tc>
          <w:tcPr>
            <w:tcW w:w="850"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Výchozí rok</w:t>
            </w:r>
          </w:p>
        </w:tc>
        <w:tc>
          <w:tcPr>
            <w:tcW w:w="993"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Cílová hodnota (2023)</w:t>
            </w:r>
          </w:p>
        </w:tc>
        <w:tc>
          <w:tcPr>
            <w:tcW w:w="850"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Zdroj údajů</w:t>
            </w:r>
          </w:p>
        </w:tc>
        <w:tc>
          <w:tcPr>
            <w:tcW w:w="1559"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Četnost podávání zpráv</w:t>
            </w:r>
          </w:p>
        </w:tc>
      </w:tr>
      <w:tr w:rsidR="00132694" w:rsidRPr="00132694" w:rsidTr="001A7CDE">
        <w:tc>
          <w:tcPr>
            <w:tcW w:w="675" w:type="dxa"/>
            <w:tcBorders>
              <w:top w:val="single" w:sz="12" w:space="0" w:color="auto"/>
            </w:tcBorders>
          </w:tcPr>
          <w:p w:rsidR="00BF593B" w:rsidRPr="003A2CB2" w:rsidRDefault="00195455" w:rsidP="00B66FDE">
            <w:pPr>
              <w:rPr>
                <w:sz w:val="20"/>
                <w:szCs w:val="20"/>
              </w:rPr>
            </w:pPr>
            <w:r>
              <w:rPr>
                <w:sz w:val="20"/>
                <w:szCs w:val="20"/>
              </w:rPr>
              <w:t>457</w:t>
            </w:r>
            <w:r w:rsidRPr="00195455">
              <w:rPr>
                <w:sz w:val="20"/>
                <w:szCs w:val="20"/>
              </w:rPr>
              <w:t>10</w:t>
            </w:r>
          </w:p>
        </w:tc>
        <w:tc>
          <w:tcPr>
            <w:tcW w:w="1418" w:type="dxa"/>
            <w:tcBorders>
              <w:top w:val="single" w:sz="12" w:space="0" w:color="auto"/>
            </w:tcBorders>
          </w:tcPr>
          <w:p w:rsidR="00BF593B" w:rsidRPr="003A2CB2" w:rsidRDefault="00753C88" w:rsidP="00B66FDE">
            <w:pPr>
              <w:spacing w:line="276" w:lineRule="auto"/>
              <w:rPr>
                <w:sz w:val="20"/>
                <w:szCs w:val="20"/>
              </w:rPr>
            </w:pPr>
            <w:r w:rsidRPr="003A2CB2">
              <w:rPr>
                <w:sz w:val="20"/>
                <w:szCs w:val="20"/>
              </w:rPr>
              <w:t>Celková plocha dotčená realizací opa</w:t>
            </w:r>
            <w:r w:rsidR="0033290F" w:rsidRPr="0033290F">
              <w:rPr>
                <w:sz w:val="20"/>
                <w:szCs w:val="20"/>
              </w:rPr>
              <w:t xml:space="preserve">tření na podporu lokalit soustavy Natura 2000, ZCHÚ a biodiverzity.  </w:t>
            </w:r>
          </w:p>
        </w:tc>
        <w:tc>
          <w:tcPr>
            <w:tcW w:w="850" w:type="dxa"/>
            <w:tcBorders>
              <w:top w:val="single" w:sz="12" w:space="0" w:color="auto"/>
            </w:tcBorders>
          </w:tcPr>
          <w:p w:rsidR="00BF593B" w:rsidRPr="003A2CB2" w:rsidRDefault="0033290F" w:rsidP="00B66FDE">
            <w:pPr>
              <w:spacing w:line="276" w:lineRule="auto"/>
              <w:rPr>
                <w:sz w:val="20"/>
                <w:szCs w:val="20"/>
              </w:rPr>
            </w:pPr>
            <w:r w:rsidRPr="0033290F">
              <w:rPr>
                <w:sz w:val="20"/>
                <w:szCs w:val="20"/>
              </w:rPr>
              <w:t>ha</w:t>
            </w:r>
          </w:p>
        </w:tc>
        <w:tc>
          <w:tcPr>
            <w:tcW w:w="993" w:type="dxa"/>
            <w:tcBorders>
              <w:top w:val="single" w:sz="12" w:space="0" w:color="auto"/>
            </w:tcBorders>
          </w:tcPr>
          <w:p w:rsidR="00BF593B" w:rsidRPr="003A2CB2" w:rsidRDefault="0033290F" w:rsidP="00E57381">
            <w:pPr>
              <w:spacing w:line="276" w:lineRule="auto"/>
              <w:rPr>
                <w:sz w:val="20"/>
                <w:szCs w:val="20"/>
              </w:rPr>
            </w:pPr>
            <w:r w:rsidRPr="0033290F">
              <w:rPr>
                <w:sz w:val="20"/>
                <w:szCs w:val="20"/>
              </w:rPr>
              <w:t>Méně rozvinuté regiony</w:t>
            </w:r>
          </w:p>
        </w:tc>
        <w:tc>
          <w:tcPr>
            <w:tcW w:w="992" w:type="dxa"/>
            <w:tcBorders>
              <w:top w:val="single" w:sz="12" w:space="0" w:color="auto"/>
            </w:tcBorders>
          </w:tcPr>
          <w:p w:rsidR="00BF593B" w:rsidRPr="003A2CB2" w:rsidRDefault="0033290F" w:rsidP="00B66FDE">
            <w:pPr>
              <w:spacing w:line="276" w:lineRule="auto"/>
              <w:rPr>
                <w:sz w:val="20"/>
                <w:szCs w:val="20"/>
              </w:rPr>
            </w:pPr>
            <w:r w:rsidRPr="0033290F">
              <w:rPr>
                <w:sz w:val="20"/>
                <w:szCs w:val="20"/>
              </w:rPr>
              <w:t xml:space="preserve">131 356,25 ha </w:t>
            </w:r>
          </w:p>
        </w:tc>
        <w:tc>
          <w:tcPr>
            <w:tcW w:w="850" w:type="dxa"/>
            <w:tcBorders>
              <w:top w:val="single" w:sz="12" w:space="0" w:color="auto"/>
            </w:tcBorders>
          </w:tcPr>
          <w:p w:rsidR="00BF593B" w:rsidRPr="003A2CB2" w:rsidRDefault="0033290F" w:rsidP="00B66FDE">
            <w:pPr>
              <w:spacing w:line="276" w:lineRule="auto"/>
              <w:rPr>
                <w:sz w:val="20"/>
                <w:szCs w:val="20"/>
              </w:rPr>
            </w:pPr>
            <w:r w:rsidRPr="0033290F">
              <w:rPr>
                <w:sz w:val="20"/>
                <w:szCs w:val="20"/>
              </w:rPr>
              <w:t>2014</w:t>
            </w:r>
          </w:p>
        </w:tc>
        <w:tc>
          <w:tcPr>
            <w:tcW w:w="993" w:type="dxa"/>
            <w:tcBorders>
              <w:top w:val="single" w:sz="12" w:space="0" w:color="auto"/>
            </w:tcBorders>
          </w:tcPr>
          <w:p w:rsidR="00BF593B" w:rsidRPr="003A2CB2" w:rsidRDefault="0033290F" w:rsidP="00B66FDE">
            <w:pPr>
              <w:spacing w:line="276" w:lineRule="auto"/>
              <w:rPr>
                <w:sz w:val="20"/>
                <w:szCs w:val="20"/>
              </w:rPr>
            </w:pPr>
            <w:r w:rsidRPr="0033290F">
              <w:rPr>
                <w:sz w:val="20"/>
                <w:szCs w:val="20"/>
              </w:rPr>
              <w:t xml:space="preserve">201 356,25 ha </w:t>
            </w:r>
          </w:p>
        </w:tc>
        <w:tc>
          <w:tcPr>
            <w:tcW w:w="850" w:type="dxa"/>
            <w:tcBorders>
              <w:top w:val="single" w:sz="12" w:space="0" w:color="auto"/>
            </w:tcBorders>
          </w:tcPr>
          <w:p w:rsidR="00BF593B" w:rsidRPr="003A2CB2" w:rsidRDefault="0033290F" w:rsidP="00B66FDE">
            <w:pPr>
              <w:spacing w:line="276" w:lineRule="auto"/>
              <w:rPr>
                <w:sz w:val="20"/>
                <w:szCs w:val="20"/>
              </w:rPr>
            </w:pPr>
            <w:r w:rsidRPr="0033290F">
              <w:rPr>
                <w:sz w:val="20"/>
                <w:szCs w:val="20"/>
              </w:rPr>
              <w:t>OPŽP, žadatel</w:t>
            </w:r>
          </w:p>
        </w:tc>
        <w:tc>
          <w:tcPr>
            <w:tcW w:w="1559" w:type="dxa"/>
            <w:tcBorders>
              <w:top w:val="single" w:sz="12" w:space="0" w:color="auto"/>
            </w:tcBorders>
          </w:tcPr>
          <w:p w:rsidR="00BF593B" w:rsidRPr="003A2CB2" w:rsidRDefault="0033290F" w:rsidP="00B66FDE">
            <w:pPr>
              <w:spacing w:line="276" w:lineRule="auto"/>
              <w:rPr>
                <w:sz w:val="20"/>
                <w:szCs w:val="20"/>
              </w:rPr>
            </w:pPr>
            <w:r w:rsidRPr="0033290F">
              <w:rPr>
                <w:sz w:val="20"/>
                <w:szCs w:val="20"/>
              </w:rPr>
              <w:t>Průběžně</w:t>
            </w:r>
          </w:p>
        </w:tc>
      </w:tr>
    </w:tbl>
    <w:p w:rsidR="00BF593B" w:rsidRPr="004314F4" w:rsidRDefault="00BF593B" w:rsidP="00B66FDE"/>
    <w:p w:rsidR="00BF593B" w:rsidRDefault="00BF593B" w:rsidP="00165854">
      <w:pPr>
        <w:pStyle w:val="Nadpis6"/>
      </w:pPr>
      <w:r w:rsidRPr="004314F4">
        <w:t xml:space="preserve">Specifický cíl </w:t>
      </w:r>
      <w:r w:rsidR="00263EAF">
        <w:t>3</w:t>
      </w:r>
      <w:r w:rsidRPr="004314F4">
        <w:t xml:space="preserve">: </w:t>
      </w:r>
      <w:r w:rsidR="00DE4FCA" w:rsidRPr="004314F4">
        <w:t>Posílit přirozené funkce krajiny</w:t>
      </w:r>
    </w:p>
    <w:p w:rsidR="00646891" w:rsidRPr="000760AF" w:rsidRDefault="00646891" w:rsidP="00646891">
      <w:pPr>
        <w:rPr>
          <w:rFonts w:cs="Calibri"/>
          <w:bCs/>
          <w:color w:val="000000"/>
        </w:rPr>
      </w:pPr>
      <w:r>
        <w:t xml:space="preserve"> </w:t>
      </w:r>
      <w:r w:rsidRPr="000760AF">
        <w:rPr>
          <w:rFonts w:cs="Calibri"/>
          <w:bCs/>
          <w:color w:val="000000"/>
        </w:rPr>
        <w:t xml:space="preserve">Specifický cíl </w:t>
      </w:r>
      <w:r w:rsidRPr="000760AF">
        <w:rPr>
          <w:rFonts w:cs="Arial"/>
          <w:szCs w:val="24"/>
        </w:rPr>
        <w:t xml:space="preserve">4.3 </w:t>
      </w:r>
      <w:r w:rsidRPr="000760AF">
        <w:rPr>
          <w:rFonts w:cs="Calibri"/>
          <w:bCs/>
          <w:color w:val="000000"/>
        </w:rPr>
        <w:t>je stanoven na základě poznatků o příčinách oslabování přirozených funkcí krajiny, o jejich vzájemné provázanosti a závažnosti jejich dopadů. Naplňuje cíle</w:t>
      </w:r>
      <w:r w:rsidRPr="000760AF">
        <w:rPr>
          <w:rFonts w:cs="Arial"/>
          <w:szCs w:val="24"/>
        </w:rPr>
        <w:t xml:space="preserve"> Státní politiky životního prostředí ČR 2012–2020, mezi něž patří mj. zvýšení ekologické stability krajiny a</w:t>
      </w:r>
      <w:r w:rsidR="008F1BA3">
        <w:rPr>
          <w:rFonts w:cs="Arial"/>
          <w:szCs w:val="24"/>
        </w:rPr>
        <w:t> </w:t>
      </w:r>
      <w:r w:rsidRPr="000760AF">
        <w:rPr>
          <w:rFonts w:cs="Arial"/>
          <w:szCs w:val="24"/>
        </w:rPr>
        <w:t>obnovení vodního režimu krajiny. Zohledňuje též základní principy návrhu Strategie přizpůsobení se změně klimatu v podmínkách ČR, která ke klíčovým opatřením řadí ekosystémově založené adaptace, udržování konektivity a prostupnosti krajiny, zachování a</w:t>
      </w:r>
      <w:r w:rsidR="008F1BA3">
        <w:rPr>
          <w:rFonts w:cs="Arial"/>
          <w:szCs w:val="24"/>
        </w:rPr>
        <w:t> </w:t>
      </w:r>
      <w:r w:rsidRPr="000760AF">
        <w:rPr>
          <w:rFonts w:cs="Arial"/>
          <w:szCs w:val="24"/>
        </w:rPr>
        <w:t xml:space="preserve">obnovu cenných biotopů a ekosystémových funkcí ve vazbě na cíle Strategie ochrany biologické rozmanitosti v ČR, legislativu Evropských společenství a tzv. </w:t>
      </w:r>
      <w:proofErr w:type="spellStart"/>
      <w:r w:rsidRPr="000760AF">
        <w:rPr>
          <w:rFonts w:cs="Arial"/>
          <w:szCs w:val="24"/>
        </w:rPr>
        <w:t>Aichi</w:t>
      </w:r>
      <w:proofErr w:type="spellEnd"/>
      <w:r w:rsidRPr="000760AF">
        <w:rPr>
          <w:rFonts w:cs="Arial"/>
          <w:szCs w:val="24"/>
        </w:rPr>
        <w:t xml:space="preserve"> cíle Strategického plánu pro</w:t>
      </w:r>
      <w:r w:rsidR="008F1BA3">
        <w:rPr>
          <w:rFonts w:cs="Arial"/>
          <w:szCs w:val="24"/>
        </w:rPr>
        <w:t> </w:t>
      </w:r>
      <w:r w:rsidRPr="000760AF">
        <w:rPr>
          <w:rFonts w:cs="Arial"/>
          <w:szCs w:val="24"/>
        </w:rPr>
        <w:t>biodiverzitu 2011-2020 Úmluvy o</w:t>
      </w:r>
      <w:r w:rsidR="00177B95">
        <w:rPr>
          <w:rFonts w:cs="Arial"/>
          <w:szCs w:val="24"/>
        </w:rPr>
        <w:t> </w:t>
      </w:r>
      <w:r w:rsidRPr="000760AF">
        <w:rPr>
          <w:rFonts w:cs="Arial"/>
          <w:szCs w:val="24"/>
        </w:rPr>
        <w:t>biologické rozmanitosti.</w:t>
      </w:r>
    </w:p>
    <w:p w:rsidR="00646891" w:rsidRPr="000760AF" w:rsidRDefault="00646891" w:rsidP="00646891">
      <w:r w:rsidRPr="000760AF">
        <w:rPr>
          <w:iCs/>
          <w:szCs w:val="20"/>
        </w:rPr>
        <w:t>Účinným nástrojem zlepšení vodního režimu krajiny je realizace opatření vedoucích ke</w:t>
      </w:r>
      <w:r w:rsidR="00793C54">
        <w:rPr>
          <w:iCs/>
          <w:szCs w:val="20"/>
        </w:rPr>
        <w:t> </w:t>
      </w:r>
      <w:r w:rsidRPr="000760AF">
        <w:rPr>
          <w:iCs/>
        </w:rPr>
        <w:t xml:space="preserve">zpomalení odtoku vody z povodí </w:t>
      </w:r>
      <w:r w:rsidRPr="000760AF">
        <w:rPr>
          <w:rFonts w:cs="Calibri"/>
          <w:bCs/>
          <w:color w:val="000000"/>
        </w:rPr>
        <w:t xml:space="preserve">a ke zvýšení retence vody </w:t>
      </w:r>
      <w:r w:rsidRPr="000760AF">
        <w:rPr>
          <w:iCs/>
        </w:rPr>
        <w:t>obnovou přirozeného či přírodě blízkého stavu krajiny, a to</w:t>
      </w:r>
      <w:r w:rsidRPr="000760AF">
        <w:rPr>
          <w:rFonts w:cs="Calibri"/>
          <w:bCs/>
          <w:color w:val="000000"/>
        </w:rPr>
        <w:t xml:space="preserve"> způsobem, který podporuje další funkce krajiny - posiluje ekologickou stabilitu a biodiverzitu vodních a na vodu vázaných ekosystémů, snižuje erozní ohrožení půd a zvyšuje </w:t>
      </w:r>
      <w:r w:rsidRPr="000760AF">
        <w:rPr>
          <w:bCs/>
        </w:rPr>
        <w:t>odolnost krajiny vůči klimatickým i antropogenním vlivům</w:t>
      </w:r>
      <w:r w:rsidRPr="000760AF">
        <w:t xml:space="preserve">. Podporovány budou revitalizace vodních a na vodu vázaných ekosystémů, tedy zejména </w:t>
      </w:r>
      <w:r w:rsidRPr="000760AF">
        <w:lastRenderedPageBreak/>
        <w:t xml:space="preserve">revitalizace vodních toků, niv a mokřadů, a zásahy spočívající v podpoře (iniciaci) jejich samovolné </w:t>
      </w:r>
      <w:proofErr w:type="spellStart"/>
      <w:r w:rsidRPr="000760AF">
        <w:t>renaturace</w:t>
      </w:r>
      <w:proofErr w:type="spellEnd"/>
      <w:r w:rsidRPr="000760AF">
        <w:t xml:space="preserve">. </w:t>
      </w:r>
    </w:p>
    <w:p w:rsidR="00646891" w:rsidRPr="000760AF" w:rsidRDefault="00646891" w:rsidP="00646891">
      <w:r w:rsidRPr="000760AF">
        <w:t xml:space="preserve">K posílení ekologické stability krajiny dojde obnovou, </w:t>
      </w:r>
      <w:r w:rsidR="00C1050D" w:rsidRPr="00324DB3">
        <w:t xml:space="preserve">zakládáním </w:t>
      </w:r>
      <w:r w:rsidRPr="000760AF">
        <w:t>a propojováním</w:t>
      </w:r>
      <w:r>
        <w:t xml:space="preserve"> přírodních </w:t>
      </w:r>
      <w:r w:rsidR="00C1050D" w:rsidRPr="00324DB3">
        <w:t xml:space="preserve">krajinných struktur </w:t>
      </w:r>
      <w:r>
        <w:t>v návaznosti na územní podmínky vytvořené</w:t>
      </w:r>
      <w:r w:rsidRPr="000760AF">
        <w:t xml:space="preserve"> </w:t>
      </w:r>
      <w:r w:rsidR="00C1050D" w:rsidRPr="00324DB3">
        <w:t>prostřednictvím územního</w:t>
      </w:r>
      <w:r w:rsidR="005D514F" w:rsidRPr="005D514F">
        <w:t xml:space="preserve"> </w:t>
      </w:r>
      <w:r>
        <w:t xml:space="preserve">plánu a realizací </w:t>
      </w:r>
      <w:r w:rsidR="005D514F" w:rsidRPr="005D514F">
        <w:t>podmínek pro př</w:t>
      </w:r>
      <w:r w:rsidR="00DC0874">
        <w:t xml:space="preserve">irozenou obnovu </w:t>
      </w:r>
      <w:r>
        <w:t>ekosystémů (</w:t>
      </w:r>
      <w:r w:rsidR="00DC0874">
        <w:t>společenstev na </w:t>
      </w:r>
      <w:r w:rsidR="005D514F" w:rsidRPr="005D514F">
        <w:t>stanovištích</w:t>
      </w:r>
      <w:r>
        <w:t>)</w:t>
      </w:r>
      <w:r w:rsidR="005D514F" w:rsidRPr="005D514F">
        <w:t xml:space="preserve"> </w:t>
      </w:r>
      <w:r w:rsidRPr="000760AF">
        <w:t>Zejména budou realizovány části vymezeného územního systému ekologické stability.</w:t>
      </w:r>
    </w:p>
    <w:p w:rsidR="00A537B5" w:rsidRPr="00646891" w:rsidRDefault="00646891" w:rsidP="00B66FDE">
      <w:r>
        <w:t xml:space="preserve">Ke zlepšení </w:t>
      </w:r>
      <w:r w:rsidR="005D514F" w:rsidRPr="005D514F">
        <w:t>migrační prostup</w:t>
      </w:r>
      <w:r w:rsidR="00DC0874">
        <w:t xml:space="preserve">nosti krajiny </w:t>
      </w:r>
      <w:r w:rsidRPr="000760AF">
        <w:t xml:space="preserve">dojde realizací opatření </w:t>
      </w:r>
      <w:r w:rsidR="0007499D">
        <w:t xml:space="preserve">v souladu s čl. 10 </w:t>
      </w:r>
      <w:r w:rsidR="0007499D" w:rsidRPr="00373DD4">
        <w:rPr>
          <w:rFonts w:eastAsia="Calibri" w:cs="Times New Roman"/>
        </w:rPr>
        <w:t xml:space="preserve">Směrnice </w:t>
      </w:r>
      <w:r w:rsidR="0007499D">
        <w:rPr>
          <w:rFonts w:eastAsia="Calibri" w:cs="Times New Roman"/>
        </w:rPr>
        <w:t xml:space="preserve">Rady </w:t>
      </w:r>
      <w:r w:rsidR="0007499D" w:rsidRPr="00373DD4">
        <w:rPr>
          <w:rFonts w:eastAsia="Calibri" w:cs="Times New Roman"/>
        </w:rPr>
        <w:t>92/43/EHS</w:t>
      </w:r>
      <w:r w:rsidR="0007499D" w:rsidRPr="000760AF">
        <w:t xml:space="preserve"> </w:t>
      </w:r>
      <w:r w:rsidRPr="000760AF">
        <w:t>ke zprůchodnění terestrických migračních bariér</w:t>
      </w:r>
      <w:r>
        <w:t xml:space="preserve"> </w:t>
      </w:r>
      <w:r w:rsidR="00DC0874">
        <w:t>pro velké savce</w:t>
      </w:r>
      <w:r w:rsidR="00D3431E">
        <w:t xml:space="preserve"> a </w:t>
      </w:r>
      <w:r w:rsidRPr="000760AF">
        <w:t>ke zlepšení podélné prostupnosti vodních toků pro vodní a na vodu vázané živočichy</w:t>
      </w:r>
      <w:r w:rsidDel="00646891">
        <w:t xml:space="preserve"> </w:t>
      </w:r>
      <w:r w:rsidR="005D514F" w:rsidRPr="005D514F">
        <w:t>(např. rybí přechody).</w:t>
      </w:r>
      <w:r w:rsidRPr="00646891">
        <w:t xml:space="preserve"> </w:t>
      </w:r>
      <w:r w:rsidRPr="000760AF">
        <w:t xml:space="preserve">Neoddělitelným aspektem zprůchodnění migračních překážek </w:t>
      </w:r>
      <w:r>
        <w:t>je snížení mortality živočichů.</w:t>
      </w:r>
    </w:p>
    <w:p w:rsidR="005D514F" w:rsidRDefault="00646891" w:rsidP="00B66FDE">
      <w:pPr>
        <w:rPr>
          <w:rFonts w:cs="Calibri"/>
          <w:color w:val="000000"/>
        </w:rPr>
      </w:pPr>
      <w:r w:rsidRPr="000760AF">
        <w:t xml:space="preserve">Část opatření je zaměřena na zlepšení </w:t>
      </w:r>
      <w:r w:rsidRPr="000760AF">
        <w:rPr>
          <w:rFonts w:cs="Calibri"/>
          <w:color w:val="000000"/>
        </w:rPr>
        <w:t xml:space="preserve">odolnosti lesních porostů a podporu dalších společensky významných funkcí lesů </w:t>
      </w:r>
      <w:r w:rsidR="005D514F" w:rsidRPr="005D514F">
        <w:rPr>
          <w:rFonts w:cs="Calibri"/>
          <w:color w:val="000000"/>
        </w:rPr>
        <w:t>prostřednictvím postupné změny druhové, věkové a prostorové struktury lesů a přechodu k přírodě bližším formám hospodaření.</w:t>
      </w:r>
    </w:p>
    <w:p w:rsidR="00646891" w:rsidRPr="00646891" w:rsidRDefault="00646891" w:rsidP="00B66FDE">
      <w:r w:rsidRPr="000760AF">
        <w:t xml:space="preserve">U opatření realizovaných v rámci jednotlivých aktivit </w:t>
      </w:r>
      <w:r w:rsidR="00975E9D">
        <w:t>SC</w:t>
      </w:r>
      <w:r w:rsidRPr="000760AF">
        <w:t xml:space="preserve"> 4.3 je předpoklad dosažení významného synergického efektu. Podporovaná revitalizační opatření povedou ke</w:t>
      </w:r>
      <w:r w:rsidR="00177B95">
        <w:t> </w:t>
      </w:r>
      <w:r w:rsidRPr="000760AF">
        <w:t>zvýšení adaptačního potenciálu krajiny, který je na přirozené funkce krajiny bezprostředně vázán.</w:t>
      </w:r>
    </w:p>
    <w:p w:rsidR="00674BC9" w:rsidRDefault="005D514F">
      <w:pPr>
        <w:spacing w:after="0" w:afterAutospacing="0"/>
        <w:rPr>
          <w:b/>
        </w:rPr>
      </w:pPr>
      <w:bookmarkStart w:id="2769" w:name="_Toc384907456"/>
      <w:r w:rsidRPr="00B1394B">
        <w:rPr>
          <w:b/>
        </w:rPr>
        <w:t>Stav, který chceme dosáhnout k roku 2020:</w:t>
      </w:r>
      <w:bookmarkEnd w:id="2769"/>
    </w:p>
    <w:p w:rsidR="00674BC9" w:rsidRDefault="008F1BA3" w:rsidP="00495FC1">
      <w:pPr>
        <w:pStyle w:val="Odstavecseseznamem"/>
        <w:numPr>
          <w:ilvl w:val="0"/>
          <w:numId w:val="31"/>
        </w:numPr>
        <w:spacing w:after="0" w:afterAutospacing="0"/>
        <w:rPr>
          <w:rFonts w:cs="Calibri"/>
          <w:iCs/>
        </w:rPr>
      </w:pPr>
      <w:r>
        <w:rPr>
          <w:rFonts w:cs="Calibri"/>
          <w:iCs/>
        </w:rPr>
        <w:t>d</w:t>
      </w:r>
      <w:r w:rsidR="00354CAC" w:rsidRPr="00C47308">
        <w:rPr>
          <w:rFonts w:cs="Calibri"/>
          <w:iCs/>
        </w:rPr>
        <w:t xml:space="preserve">osaženo zlepšení vodního režimu </w:t>
      </w:r>
      <w:proofErr w:type="gramStart"/>
      <w:r w:rsidR="00354CAC" w:rsidRPr="00C47308">
        <w:rPr>
          <w:rFonts w:cs="Calibri"/>
          <w:iCs/>
        </w:rPr>
        <w:t>krajiny</w:t>
      </w:r>
      <w:proofErr w:type="gramEnd"/>
      <w:r w:rsidR="00354CAC" w:rsidRPr="00C47308">
        <w:rPr>
          <w:rFonts w:cs="Calibri"/>
          <w:iCs/>
        </w:rPr>
        <w:t>–</w:t>
      </w:r>
      <w:proofErr w:type="gramStart"/>
      <w:r w:rsidR="00354CAC" w:rsidRPr="00C47308">
        <w:rPr>
          <w:rFonts w:cs="Calibri"/>
          <w:iCs/>
        </w:rPr>
        <w:t>zpomalení</w:t>
      </w:r>
      <w:proofErr w:type="gramEnd"/>
      <w:r w:rsidR="00354CAC" w:rsidRPr="00C47308">
        <w:rPr>
          <w:rFonts w:cs="Calibri"/>
          <w:iCs/>
        </w:rPr>
        <w:t xml:space="preserve"> povrchového odtoku vody, zvýšení přirozené retenční schopnosti krajiny, a v té souvislosti i snížení ohroženosti půd erozí</w:t>
      </w:r>
      <w:r>
        <w:rPr>
          <w:rFonts w:cs="Calibri"/>
          <w:iCs/>
        </w:rPr>
        <w:t>,</w:t>
      </w:r>
    </w:p>
    <w:p w:rsidR="006F7D80" w:rsidRPr="00735334" w:rsidRDefault="008F1BA3" w:rsidP="00495FC1">
      <w:pPr>
        <w:pStyle w:val="Odstavecseseznamem"/>
        <w:numPr>
          <w:ilvl w:val="0"/>
          <w:numId w:val="31"/>
        </w:numPr>
        <w:rPr>
          <w:rFonts w:cs="Calibri"/>
          <w:iCs/>
        </w:rPr>
      </w:pPr>
      <w:r>
        <w:rPr>
          <w:rFonts w:cs="Calibri"/>
          <w:iCs/>
        </w:rPr>
        <w:t>d</w:t>
      </w:r>
      <w:r w:rsidR="00354CAC" w:rsidRPr="00C47308">
        <w:rPr>
          <w:rFonts w:cs="Calibri"/>
          <w:iCs/>
        </w:rPr>
        <w:t xml:space="preserve">osaženo zlepšení propojenosti a migrační prostupnosti </w:t>
      </w:r>
      <w:proofErr w:type="gramStart"/>
      <w:r w:rsidR="00354CAC" w:rsidRPr="00C47308">
        <w:rPr>
          <w:rFonts w:cs="Calibri"/>
          <w:iCs/>
        </w:rPr>
        <w:t xml:space="preserve">krajiny </w:t>
      </w:r>
      <w:r w:rsidR="00646891">
        <w:rPr>
          <w:rFonts w:cs="Calibri"/>
          <w:iCs/>
        </w:rPr>
        <w:t xml:space="preserve"> </w:t>
      </w:r>
      <w:r w:rsidR="00646891" w:rsidRPr="000760AF">
        <w:rPr>
          <w:rFonts w:cs="Calibri"/>
          <w:iCs/>
        </w:rPr>
        <w:t>zajištěním</w:t>
      </w:r>
      <w:proofErr w:type="gramEnd"/>
      <w:r w:rsidR="00646891" w:rsidRPr="000760AF">
        <w:rPr>
          <w:rFonts w:cs="Calibri"/>
          <w:iCs/>
        </w:rPr>
        <w:t xml:space="preserve"> prostupnosti terestrických migračních bariér </w:t>
      </w:r>
      <w:r w:rsidR="00354CAC" w:rsidRPr="00C47308">
        <w:rPr>
          <w:rFonts w:cs="Calibri"/>
          <w:iCs/>
        </w:rPr>
        <w:t>a</w:t>
      </w:r>
      <w:r w:rsidR="00646891" w:rsidRPr="00646891">
        <w:rPr>
          <w:rFonts w:cs="Calibri"/>
          <w:iCs/>
        </w:rPr>
        <w:t xml:space="preserve"> </w:t>
      </w:r>
      <w:r w:rsidR="0007499D">
        <w:rPr>
          <w:rFonts w:cs="Calibri"/>
          <w:iCs/>
        </w:rPr>
        <w:t xml:space="preserve">realizací </w:t>
      </w:r>
      <w:r w:rsidR="00646891" w:rsidRPr="000760AF">
        <w:rPr>
          <w:rFonts w:cs="Calibri"/>
          <w:iCs/>
        </w:rPr>
        <w:t>rybích přechodů a</w:t>
      </w:r>
      <w:r w:rsidR="00354CAC" w:rsidRPr="00C47308">
        <w:rPr>
          <w:rFonts w:cs="Calibri"/>
          <w:iCs/>
        </w:rPr>
        <w:t xml:space="preserve"> omezení mortality živočichů </w:t>
      </w:r>
      <w:r w:rsidR="00646891">
        <w:rPr>
          <w:rFonts w:cs="Calibri"/>
          <w:iCs/>
        </w:rPr>
        <w:t xml:space="preserve">zejména </w:t>
      </w:r>
      <w:r w:rsidR="00354CAC" w:rsidRPr="00C47308">
        <w:rPr>
          <w:rFonts w:cs="Calibri"/>
          <w:iCs/>
        </w:rPr>
        <w:t>vlivem dopravy</w:t>
      </w:r>
      <w:r w:rsidR="00735334" w:rsidRPr="00735334">
        <w:rPr>
          <w:rFonts w:cs="Calibri"/>
          <w:iCs/>
        </w:rPr>
        <w:t xml:space="preserve"> </w:t>
      </w:r>
      <w:r w:rsidR="00735334" w:rsidRPr="000760AF">
        <w:rPr>
          <w:rFonts w:cs="Calibri"/>
          <w:iCs/>
        </w:rPr>
        <w:t>a</w:t>
      </w:r>
      <w:r w:rsidR="00177B95">
        <w:rPr>
          <w:rFonts w:cs="Calibri"/>
          <w:iCs/>
        </w:rPr>
        <w:t> </w:t>
      </w:r>
      <w:r w:rsidR="00735334" w:rsidRPr="000760AF">
        <w:rPr>
          <w:rFonts w:cs="Calibri"/>
          <w:iCs/>
        </w:rPr>
        <w:t>vodních elektráren</w:t>
      </w:r>
      <w:r>
        <w:rPr>
          <w:rFonts w:cs="Calibri"/>
          <w:iCs/>
        </w:rPr>
        <w:t>,n</w:t>
      </w:r>
      <w:r w:rsidR="00354CAC" w:rsidRPr="00735334">
        <w:rPr>
          <w:rFonts w:cs="Calibri"/>
          <w:iCs/>
        </w:rPr>
        <w:t xml:space="preserve">eklesá rozloha ekosystémů </w:t>
      </w:r>
      <w:r w:rsidR="00735334">
        <w:rPr>
          <w:rFonts w:cs="Calibri"/>
          <w:iCs/>
        </w:rPr>
        <w:t xml:space="preserve">trvale </w:t>
      </w:r>
      <w:r w:rsidR="00354CAC" w:rsidRPr="00735334">
        <w:rPr>
          <w:rFonts w:cs="Calibri"/>
          <w:iCs/>
        </w:rPr>
        <w:t>vázajících uhlík z atmosféry (původní či přírodně blízké lesní ekosystémy, mokřady a rašeliniště) a probíhá jejich postupná obnova</w:t>
      </w:r>
      <w:r>
        <w:rPr>
          <w:rFonts w:cs="Calibri"/>
          <w:iCs/>
        </w:rPr>
        <w:t>,</w:t>
      </w:r>
    </w:p>
    <w:p w:rsidR="006F7D80" w:rsidRPr="00735334" w:rsidRDefault="008F1BA3" w:rsidP="00495FC1">
      <w:pPr>
        <w:pStyle w:val="Odstavecseseznamem"/>
        <w:numPr>
          <w:ilvl w:val="0"/>
          <w:numId w:val="31"/>
        </w:numPr>
        <w:rPr>
          <w:rFonts w:cs="Calibri"/>
          <w:iCs/>
        </w:rPr>
      </w:pPr>
      <w:r>
        <w:rPr>
          <w:rFonts w:cs="Calibri"/>
          <w:iCs/>
        </w:rPr>
        <w:t>j</w:t>
      </w:r>
      <w:r w:rsidR="00354CAC" w:rsidRPr="00735334">
        <w:rPr>
          <w:rFonts w:cs="Calibri"/>
          <w:iCs/>
        </w:rPr>
        <w:t>e stabilizována plocha vymezeného</w:t>
      </w:r>
      <w:r w:rsidR="00735334">
        <w:rPr>
          <w:rFonts w:cs="Calibri"/>
          <w:iCs/>
        </w:rPr>
        <w:t xml:space="preserve"> </w:t>
      </w:r>
      <w:r w:rsidR="00735334" w:rsidRPr="000760AF">
        <w:rPr>
          <w:rFonts w:cs="Calibri"/>
          <w:iCs/>
        </w:rPr>
        <w:t xml:space="preserve">ÚSES v souladu s územně plánovací dokumentací </w:t>
      </w:r>
      <w:r w:rsidR="0085768E">
        <w:rPr>
          <w:rFonts w:cs="Calibri"/>
          <w:iCs/>
        </w:rPr>
        <w:t>a </w:t>
      </w:r>
      <w:r w:rsidR="00354CAC" w:rsidRPr="00735334">
        <w:rPr>
          <w:rFonts w:cs="Calibri"/>
          <w:iCs/>
        </w:rPr>
        <w:t>je zajištěna provázanost jednotlivých částí</w:t>
      </w:r>
      <w:r>
        <w:rPr>
          <w:rFonts w:cs="Calibri"/>
          <w:iCs/>
        </w:rPr>
        <w:t>,</w:t>
      </w:r>
    </w:p>
    <w:p w:rsidR="00F845DD" w:rsidRDefault="008F1BA3" w:rsidP="00495FC1">
      <w:pPr>
        <w:pStyle w:val="Odstavecseseznamem"/>
        <w:numPr>
          <w:ilvl w:val="0"/>
          <w:numId w:val="31"/>
        </w:numPr>
        <w:rPr>
          <w:rFonts w:cs="Calibri"/>
          <w:iCs/>
        </w:rPr>
      </w:pPr>
      <w:r>
        <w:rPr>
          <w:rFonts w:cs="Calibri"/>
          <w:iCs/>
        </w:rPr>
        <w:t>j</w:t>
      </w:r>
      <w:r w:rsidR="00735334" w:rsidRPr="000760AF">
        <w:rPr>
          <w:rFonts w:cs="Calibri"/>
          <w:iCs/>
        </w:rPr>
        <w:t xml:space="preserve">e zvýšena plocha </w:t>
      </w:r>
      <w:r w:rsidR="00354CAC" w:rsidRPr="00735334">
        <w:rPr>
          <w:rFonts w:cs="Calibri"/>
          <w:iCs/>
        </w:rPr>
        <w:t xml:space="preserve">obnovených a nově založených </w:t>
      </w:r>
      <w:r w:rsidR="00735334">
        <w:rPr>
          <w:rFonts w:cs="Calibri"/>
          <w:iCs/>
        </w:rPr>
        <w:t xml:space="preserve">přírodních </w:t>
      </w:r>
      <w:r w:rsidR="00354CAC" w:rsidRPr="00735334">
        <w:rPr>
          <w:rFonts w:cs="Calibri"/>
          <w:iCs/>
        </w:rPr>
        <w:t>krajinných</w:t>
      </w:r>
      <w:r>
        <w:rPr>
          <w:rFonts w:cs="Calibri"/>
          <w:iCs/>
        </w:rPr>
        <w:t xml:space="preserve"> </w:t>
      </w:r>
      <w:r w:rsidR="0007499D">
        <w:rPr>
          <w:rFonts w:cs="Calibri"/>
          <w:iCs/>
        </w:rPr>
        <w:t xml:space="preserve">prvků a </w:t>
      </w:r>
      <w:r w:rsidR="00735334">
        <w:rPr>
          <w:rFonts w:cs="Calibri"/>
          <w:iCs/>
        </w:rPr>
        <w:t>zároveň adaptabilita krajiny na klimatickou změnu</w:t>
      </w:r>
      <w:r w:rsidR="00DC0874" w:rsidRPr="00C47308">
        <w:rPr>
          <w:rFonts w:cs="Calibri"/>
          <w:iCs/>
        </w:rPr>
        <w:t>.</w:t>
      </w:r>
    </w:p>
    <w:p w:rsidR="00F625C4" w:rsidRDefault="00F625C4" w:rsidP="00F625C4">
      <w:pPr>
        <w:rPr>
          <w:rFonts w:cs="Calibri"/>
          <w:iCs/>
        </w:rPr>
      </w:pPr>
    </w:p>
    <w:p w:rsidR="00F625C4" w:rsidRDefault="00F625C4" w:rsidP="00F625C4">
      <w:pPr>
        <w:rPr>
          <w:rFonts w:cs="Calibri"/>
          <w:iCs/>
        </w:rPr>
      </w:pPr>
    </w:p>
    <w:p w:rsidR="00F625C4" w:rsidRDefault="00F625C4" w:rsidP="00F625C4">
      <w:pPr>
        <w:rPr>
          <w:rFonts w:cs="Calibri"/>
          <w:iCs/>
        </w:rPr>
      </w:pPr>
    </w:p>
    <w:p w:rsidR="00F625C4" w:rsidRDefault="00F625C4" w:rsidP="00F625C4">
      <w:pPr>
        <w:rPr>
          <w:rFonts w:cs="Calibri"/>
          <w:iCs/>
        </w:rPr>
      </w:pPr>
    </w:p>
    <w:p w:rsidR="00F625C4" w:rsidRPr="00F625C4" w:rsidRDefault="00F625C4" w:rsidP="00F625C4">
      <w:pPr>
        <w:rPr>
          <w:rFonts w:cs="Calibri"/>
          <w:iCs/>
        </w:rPr>
      </w:pPr>
    </w:p>
    <w:p w:rsidR="004479EC" w:rsidRPr="004314F4" w:rsidRDefault="004479EC" w:rsidP="00CB78B6">
      <w:pPr>
        <w:pStyle w:val="Titulek"/>
      </w:pPr>
      <w:bookmarkStart w:id="2770" w:name="_Toc384907457"/>
      <w:r w:rsidRPr="004314F4">
        <w:lastRenderedPageBreak/>
        <w:t xml:space="preserve">Specifické </w:t>
      </w:r>
      <w:r w:rsidR="008139EB">
        <w:t>programové ukazatele</w:t>
      </w:r>
      <w:r w:rsidRPr="004314F4">
        <w:t xml:space="preserve"> výsledků pro SC 4.</w:t>
      </w:r>
      <w:r w:rsidR="00263EAF">
        <w:t>3</w:t>
      </w:r>
      <w:bookmarkEnd w:id="2770"/>
    </w:p>
    <w:tbl>
      <w:tblPr>
        <w:tblStyle w:val="Mkatabulky"/>
        <w:tblW w:w="9180" w:type="dxa"/>
        <w:tblLayout w:type="fixed"/>
        <w:tblLook w:val="04A0" w:firstRow="1" w:lastRow="0" w:firstColumn="1" w:lastColumn="0" w:noHBand="0" w:noVBand="1"/>
      </w:tblPr>
      <w:tblGrid>
        <w:gridCol w:w="534"/>
        <w:gridCol w:w="1275"/>
        <w:gridCol w:w="993"/>
        <w:gridCol w:w="1134"/>
        <w:gridCol w:w="850"/>
        <w:gridCol w:w="851"/>
        <w:gridCol w:w="1275"/>
        <w:gridCol w:w="993"/>
        <w:gridCol w:w="1275"/>
      </w:tblGrid>
      <w:tr w:rsidR="0084108A" w:rsidRPr="00094B18" w:rsidTr="003B6CA0">
        <w:tc>
          <w:tcPr>
            <w:tcW w:w="534" w:type="dxa"/>
            <w:tcBorders>
              <w:bottom w:val="single" w:sz="12" w:space="0" w:color="auto"/>
            </w:tcBorders>
            <w:shd w:val="clear" w:color="auto" w:fill="BFBFBF" w:themeFill="background1" w:themeFillShade="BF"/>
          </w:tcPr>
          <w:p w:rsidR="00BF593B" w:rsidRPr="003A2CB2" w:rsidRDefault="00BF593B" w:rsidP="00B66FDE">
            <w:pPr>
              <w:rPr>
                <w:b/>
                <w:sz w:val="20"/>
                <w:szCs w:val="20"/>
              </w:rPr>
            </w:pPr>
            <w:r w:rsidRPr="003A2CB2">
              <w:rPr>
                <w:b/>
                <w:sz w:val="20"/>
                <w:szCs w:val="20"/>
              </w:rPr>
              <w:t xml:space="preserve">ID </w:t>
            </w:r>
          </w:p>
        </w:tc>
        <w:tc>
          <w:tcPr>
            <w:tcW w:w="1275"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Ukazatel</w:t>
            </w:r>
          </w:p>
        </w:tc>
        <w:tc>
          <w:tcPr>
            <w:tcW w:w="993"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Měrná jednotka</w:t>
            </w:r>
          </w:p>
        </w:tc>
        <w:tc>
          <w:tcPr>
            <w:tcW w:w="1134"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Kategorie regionů</w:t>
            </w:r>
          </w:p>
        </w:tc>
        <w:tc>
          <w:tcPr>
            <w:tcW w:w="850"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Výchozí hodnota</w:t>
            </w:r>
          </w:p>
        </w:tc>
        <w:tc>
          <w:tcPr>
            <w:tcW w:w="851"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Výchozí rok</w:t>
            </w:r>
          </w:p>
        </w:tc>
        <w:tc>
          <w:tcPr>
            <w:tcW w:w="1275"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Cílová hodnota (2023)</w:t>
            </w:r>
          </w:p>
        </w:tc>
        <w:tc>
          <w:tcPr>
            <w:tcW w:w="993"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Zdroj údajů</w:t>
            </w:r>
          </w:p>
        </w:tc>
        <w:tc>
          <w:tcPr>
            <w:tcW w:w="1275"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Četnost podávání zpráv</w:t>
            </w:r>
          </w:p>
        </w:tc>
      </w:tr>
      <w:tr w:rsidR="0084108A" w:rsidRPr="00094B18" w:rsidTr="003B6CA0">
        <w:trPr>
          <w:trHeight w:val="1740"/>
        </w:trPr>
        <w:tc>
          <w:tcPr>
            <w:tcW w:w="534" w:type="dxa"/>
            <w:tcBorders>
              <w:top w:val="single" w:sz="12" w:space="0" w:color="auto"/>
            </w:tcBorders>
          </w:tcPr>
          <w:p w:rsidR="003C101C" w:rsidRPr="003A2CB2" w:rsidRDefault="00140915" w:rsidP="00B66FDE">
            <w:pPr>
              <w:rPr>
                <w:sz w:val="20"/>
                <w:szCs w:val="20"/>
              </w:rPr>
            </w:pPr>
            <w:r>
              <w:rPr>
                <w:sz w:val="20"/>
                <w:szCs w:val="20"/>
              </w:rPr>
              <w:t>462</w:t>
            </w:r>
            <w:r w:rsidRPr="00140915">
              <w:rPr>
                <w:sz w:val="20"/>
                <w:szCs w:val="20"/>
              </w:rPr>
              <w:t>10</w:t>
            </w:r>
          </w:p>
        </w:tc>
        <w:tc>
          <w:tcPr>
            <w:tcW w:w="1275" w:type="dxa"/>
            <w:tcBorders>
              <w:top w:val="single" w:sz="12" w:space="0" w:color="auto"/>
            </w:tcBorders>
          </w:tcPr>
          <w:p w:rsidR="003C101C" w:rsidRPr="003A2CB2" w:rsidRDefault="0033290F" w:rsidP="00735334">
            <w:pPr>
              <w:spacing w:line="276" w:lineRule="auto"/>
              <w:rPr>
                <w:strike/>
                <w:sz w:val="20"/>
                <w:szCs w:val="20"/>
                <w:highlight w:val="green"/>
              </w:rPr>
            </w:pPr>
            <w:r w:rsidRPr="0033290F">
              <w:rPr>
                <w:sz w:val="20"/>
                <w:szCs w:val="20"/>
              </w:rPr>
              <w:t>Přínos opatření ke zlepšení prostupnosti a snížení mortality živočichů na dopravní infrastruktuře</w:t>
            </w:r>
          </w:p>
        </w:tc>
        <w:tc>
          <w:tcPr>
            <w:tcW w:w="993" w:type="dxa"/>
            <w:tcBorders>
              <w:top w:val="single" w:sz="12" w:space="0" w:color="auto"/>
            </w:tcBorders>
          </w:tcPr>
          <w:p w:rsidR="003C101C" w:rsidRPr="003A2CB2" w:rsidRDefault="00094B18" w:rsidP="00B66FDE">
            <w:pPr>
              <w:rPr>
                <w:sz w:val="20"/>
                <w:szCs w:val="20"/>
              </w:rPr>
            </w:pPr>
            <w:r w:rsidRPr="003A2CB2">
              <w:rPr>
                <w:sz w:val="20"/>
                <w:szCs w:val="20"/>
              </w:rPr>
              <w:t>%</w:t>
            </w:r>
          </w:p>
        </w:tc>
        <w:tc>
          <w:tcPr>
            <w:tcW w:w="1134" w:type="dxa"/>
            <w:tcBorders>
              <w:top w:val="single" w:sz="12" w:space="0" w:color="auto"/>
            </w:tcBorders>
          </w:tcPr>
          <w:p w:rsidR="003C101C" w:rsidRPr="003A2CB2" w:rsidRDefault="00093B0D" w:rsidP="00B66FDE">
            <w:pPr>
              <w:spacing w:line="276" w:lineRule="auto"/>
              <w:rPr>
                <w:sz w:val="20"/>
                <w:szCs w:val="20"/>
              </w:rPr>
            </w:pPr>
            <w:r w:rsidRPr="003A2CB2">
              <w:rPr>
                <w:sz w:val="20"/>
                <w:szCs w:val="20"/>
              </w:rPr>
              <w:t xml:space="preserve">Méně </w:t>
            </w:r>
            <w:r w:rsidR="0033290F" w:rsidRPr="0033290F">
              <w:rPr>
                <w:sz w:val="20"/>
                <w:szCs w:val="20"/>
              </w:rPr>
              <w:t>rozvinuté regiony</w:t>
            </w:r>
          </w:p>
        </w:tc>
        <w:tc>
          <w:tcPr>
            <w:tcW w:w="850" w:type="dxa"/>
            <w:tcBorders>
              <w:top w:val="single" w:sz="12" w:space="0" w:color="auto"/>
            </w:tcBorders>
          </w:tcPr>
          <w:p w:rsidR="003C101C" w:rsidRPr="003A2CB2" w:rsidRDefault="0033290F" w:rsidP="00B66FDE">
            <w:pPr>
              <w:spacing w:line="276" w:lineRule="auto"/>
              <w:rPr>
                <w:sz w:val="20"/>
                <w:szCs w:val="20"/>
              </w:rPr>
            </w:pPr>
            <w:r w:rsidRPr="0033290F">
              <w:rPr>
                <w:sz w:val="20"/>
                <w:szCs w:val="20"/>
              </w:rPr>
              <w:t>0</w:t>
            </w:r>
          </w:p>
        </w:tc>
        <w:tc>
          <w:tcPr>
            <w:tcW w:w="851" w:type="dxa"/>
            <w:tcBorders>
              <w:top w:val="single" w:sz="12" w:space="0" w:color="auto"/>
            </w:tcBorders>
          </w:tcPr>
          <w:p w:rsidR="003C101C" w:rsidRPr="003A2CB2" w:rsidRDefault="0033290F" w:rsidP="00B66FDE">
            <w:pPr>
              <w:spacing w:line="276" w:lineRule="auto"/>
              <w:rPr>
                <w:sz w:val="20"/>
                <w:szCs w:val="20"/>
              </w:rPr>
            </w:pPr>
            <w:r w:rsidRPr="0033290F">
              <w:rPr>
                <w:sz w:val="20"/>
                <w:szCs w:val="20"/>
              </w:rPr>
              <w:t>2014</w:t>
            </w:r>
          </w:p>
        </w:tc>
        <w:tc>
          <w:tcPr>
            <w:tcW w:w="1275" w:type="dxa"/>
            <w:tcBorders>
              <w:top w:val="single" w:sz="12" w:space="0" w:color="auto"/>
            </w:tcBorders>
          </w:tcPr>
          <w:p w:rsidR="003C101C" w:rsidRPr="003A2CB2" w:rsidRDefault="0033290F" w:rsidP="00B66FDE">
            <w:pPr>
              <w:spacing w:line="276" w:lineRule="auto"/>
              <w:rPr>
                <w:sz w:val="20"/>
                <w:szCs w:val="20"/>
              </w:rPr>
            </w:pPr>
            <w:r w:rsidRPr="0033290F">
              <w:rPr>
                <w:sz w:val="20"/>
                <w:szCs w:val="20"/>
              </w:rPr>
              <w:t>75</w:t>
            </w:r>
          </w:p>
        </w:tc>
        <w:tc>
          <w:tcPr>
            <w:tcW w:w="993" w:type="dxa"/>
            <w:tcBorders>
              <w:top w:val="single" w:sz="12" w:space="0" w:color="auto"/>
            </w:tcBorders>
          </w:tcPr>
          <w:p w:rsidR="003C101C" w:rsidRPr="003A2CB2" w:rsidRDefault="0033290F" w:rsidP="00B66FDE">
            <w:pPr>
              <w:spacing w:line="276" w:lineRule="auto"/>
              <w:rPr>
                <w:sz w:val="20"/>
                <w:szCs w:val="20"/>
              </w:rPr>
            </w:pPr>
            <w:r w:rsidRPr="0033290F">
              <w:rPr>
                <w:rFonts w:eastAsia="Times New Roman" w:cs="Arial"/>
                <w:sz w:val="20"/>
                <w:szCs w:val="20"/>
              </w:rPr>
              <w:t>Program/ hodnotící subjekt</w:t>
            </w:r>
          </w:p>
        </w:tc>
        <w:tc>
          <w:tcPr>
            <w:tcW w:w="1275" w:type="dxa"/>
            <w:tcBorders>
              <w:top w:val="single" w:sz="12" w:space="0" w:color="auto"/>
            </w:tcBorders>
          </w:tcPr>
          <w:p w:rsidR="003C101C" w:rsidRPr="003A2CB2" w:rsidRDefault="0033290F" w:rsidP="00B66FDE">
            <w:pPr>
              <w:spacing w:line="276" w:lineRule="auto"/>
              <w:rPr>
                <w:sz w:val="20"/>
                <w:szCs w:val="20"/>
              </w:rPr>
            </w:pPr>
            <w:r w:rsidRPr="0033290F">
              <w:rPr>
                <w:sz w:val="20"/>
                <w:szCs w:val="20"/>
              </w:rPr>
              <w:t>Průběžně</w:t>
            </w:r>
          </w:p>
        </w:tc>
      </w:tr>
      <w:tr w:rsidR="00735334" w:rsidRPr="00094B18" w:rsidTr="003B6CA0">
        <w:trPr>
          <w:trHeight w:val="1740"/>
        </w:trPr>
        <w:tc>
          <w:tcPr>
            <w:tcW w:w="534" w:type="dxa"/>
            <w:tcBorders>
              <w:top w:val="single" w:sz="12" w:space="0" w:color="auto"/>
            </w:tcBorders>
          </w:tcPr>
          <w:p w:rsidR="00735334" w:rsidRPr="003A2CB2" w:rsidRDefault="00140915" w:rsidP="00B66FDE">
            <w:pPr>
              <w:rPr>
                <w:sz w:val="20"/>
                <w:szCs w:val="20"/>
              </w:rPr>
            </w:pPr>
            <w:r>
              <w:rPr>
                <w:sz w:val="20"/>
                <w:szCs w:val="20"/>
              </w:rPr>
              <w:t>461</w:t>
            </w:r>
            <w:r w:rsidRPr="00140915">
              <w:rPr>
                <w:sz w:val="20"/>
                <w:szCs w:val="20"/>
              </w:rPr>
              <w:t>10</w:t>
            </w:r>
          </w:p>
        </w:tc>
        <w:tc>
          <w:tcPr>
            <w:tcW w:w="1275" w:type="dxa"/>
            <w:tcBorders>
              <w:top w:val="single" w:sz="12" w:space="0" w:color="auto"/>
            </w:tcBorders>
          </w:tcPr>
          <w:p w:rsidR="00735334" w:rsidRPr="003A2CB2" w:rsidRDefault="0033290F" w:rsidP="00735334">
            <w:pPr>
              <w:spacing w:line="276" w:lineRule="auto"/>
              <w:rPr>
                <w:sz w:val="20"/>
                <w:szCs w:val="20"/>
              </w:rPr>
            </w:pPr>
            <w:r w:rsidRPr="0033290F">
              <w:rPr>
                <w:sz w:val="20"/>
                <w:szCs w:val="20"/>
              </w:rPr>
              <w:t>Přínos opatření ke snížení mortality ryb na technické infrastruktuře</w:t>
            </w:r>
          </w:p>
        </w:tc>
        <w:tc>
          <w:tcPr>
            <w:tcW w:w="993" w:type="dxa"/>
            <w:tcBorders>
              <w:top w:val="single" w:sz="12" w:space="0" w:color="auto"/>
            </w:tcBorders>
          </w:tcPr>
          <w:p w:rsidR="00735334" w:rsidRPr="003A2CB2" w:rsidRDefault="00735334" w:rsidP="00B66FDE">
            <w:pPr>
              <w:rPr>
                <w:sz w:val="20"/>
                <w:szCs w:val="20"/>
              </w:rPr>
            </w:pPr>
            <w:r w:rsidRPr="003A2CB2">
              <w:rPr>
                <w:sz w:val="20"/>
                <w:szCs w:val="20"/>
              </w:rPr>
              <w:t>km</w:t>
            </w:r>
          </w:p>
        </w:tc>
        <w:tc>
          <w:tcPr>
            <w:tcW w:w="1134" w:type="dxa"/>
            <w:tcBorders>
              <w:top w:val="single" w:sz="12" w:space="0" w:color="auto"/>
            </w:tcBorders>
          </w:tcPr>
          <w:p w:rsidR="00735334" w:rsidRPr="003A2CB2" w:rsidRDefault="00735334" w:rsidP="00B66FDE">
            <w:pPr>
              <w:spacing w:line="276" w:lineRule="auto"/>
              <w:rPr>
                <w:sz w:val="20"/>
                <w:szCs w:val="20"/>
              </w:rPr>
            </w:pPr>
            <w:r w:rsidRPr="003A2CB2">
              <w:rPr>
                <w:sz w:val="20"/>
                <w:szCs w:val="20"/>
              </w:rPr>
              <w:t>Méně rozvinuté</w:t>
            </w:r>
            <w:r w:rsidR="0033290F" w:rsidRPr="0033290F">
              <w:rPr>
                <w:sz w:val="20"/>
                <w:szCs w:val="20"/>
              </w:rPr>
              <w:t xml:space="preserve"> regiony</w:t>
            </w:r>
          </w:p>
        </w:tc>
        <w:tc>
          <w:tcPr>
            <w:tcW w:w="850" w:type="dxa"/>
            <w:tcBorders>
              <w:top w:val="single" w:sz="12" w:space="0" w:color="auto"/>
            </w:tcBorders>
          </w:tcPr>
          <w:p w:rsidR="00735334" w:rsidRPr="003A2CB2" w:rsidRDefault="0033290F" w:rsidP="00B66FDE">
            <w:pPr>
              <w:spacing w:line="276" w:lineRule="auto"/>
              <w:rPr>
                <w:sz w:val="20"/>
                <w:szCs w:val="20"/>
              </w:rPr>
            </w:pPr>
            <w:r w:rsidRPr="0033290F">
              <w:rPr>
                <w:sz w:val="20"/>
                <w:szCs w:val="20"/>
              </w:rPr>
              <w:t>0</w:t>
            </w:r>
          </w:p>
        </w:tc>
        <w:tc>
          <w:tcPr>
            <w:tcW w:w="851" w:type="dxa"/>
            <w:tcBorders>
              <w:top w:val="single" w:sz="12" w:space="0" w:color="auto"/>
            </w:tcBorders>
          </w:tcPr>
          <w:p w:rsidR="00735334" w:rsidRPr="003A2CB2" w:rsidRDefault="0033290F" w:rsidP="00B66FDE">
            <w:pPr>
              <w:spacing w:line="276" w:lineRule="auto"/>
              <w:rPr>
                <w:sz w:val="20"/>
                <w:szCs w:val="20"/>
              </w:rPr>
            </w:pPr>
            <w:r w:rsidRPr="0033290F">
              <w:rPr>
                <w:sz w:val="20"/>
                <w:szCs w:val="20"/>
              </w:rPr>
              <w:t>2014</w:t>
            </w:r>
          </w:p>
        </w:tc>
        <w:tc>
          <w:tcPr>
            <w:tcW w:w="1275" w:type="dxa"/>
            <w:tcBorders>
              <w:top w:val="single" w:sz="12" w:space="0" w:color="auto"/>
            </w:tcBorders>
          </w:tcPr>
          <w:p w:rsidR="00735334" w:rsidRPr="003A2CB2" w:rsidRDefault="0033290F" w:rsidP="00B66FDE">
            <w:pPr>
              <w:spacing w:line="276" w:lineRule="auto"/>
              <w:rPr>
                <w:sz w:val="20"/>
                <w:szCs w:val="20"/>
              </w:rPr>
            </w:pPr>
            <w:r w:rsidRPr="0033290F">
              <w:rPr>
                <w:sz w:val="20"/>
                <w:szCs w:val="20"/>
              </w:rPr>
              <w:t>200</w:t>
            </w:r>
          </w:p>
        </w:tc>
        <w:tc>
          <w:tcPr>
            <w:tcW w:w="993" w:type="dxa"/>
            <w:tcBorders>
              <w:top w:val="single" w:sz="12" w:space="0" w:color="auto"/>
            </w:tcBorders>
          </w:tcPr>
          <w:p w:rsidR="00735334" w:rsidRPr="003A2CB2" w:rsidRDefault="0033290F" w:rsidP="00B66FDE">
            <w:pPr>
              <w:spacing w:line="276" w:lineRule="auto"/>
              <w:rPr>
                <w:rFonts w:eastAsia="Times New Roman" w:cs="Arial"/>
                <w:sz w:val="20"/>
                <w:szCs w:val="20"/>
              </w:rPr>
            </w:pPr>
            <w:r w:rsidRPr="0033290F">
              <w:rPr>
                <w:rFonts w:eastAsia="Times New Roman" w:cs="Arial"/>
                <w:sz w:val="20"/>
                <w:szCs w:val="20"/>
              </w:rPr>
              <w:t>AOPK</w:t>
            </w:r>
          </w:p>
        </w:tc>
        <w:tc>
          <w:tcPr>
            <w:tcW w:w="1275" w:type="dxa"/>
            <w:tcBorders>
              <w:top w:val="single" w:sz="12" w:space="0" w:color="auto"/>
            </w:tcBorders>
          </w:tcPr>
          <w:p w:rsidR="00735334" w:rsidRPr="003A2CB2" w:rsidRDefault="0033290F" w:rsidP="00B66FDE">
            <w:pPr>
              <w:spacing w:line="276" w:lineRule="auto"/>
              <w:rPr>
                <w:sz w:val="20"/>
                <w:szCs w:val="20"/>
              </w:rPr>
            </w:pPr>
            <w:r w:rsidRPr="0033290F">
              <w:rPr>
                <w:sz w:val="20"/>
                <w:szCs w:val="20"/>
              </w:rPr>
              <w:t>Průběžně</w:t>
            </w:r>
          </w:p>
        </w:tc>
      </w:tr>
      <w:tr w:rsidR="0084108A" w:rsidRPr="00094B18" w:rsidTr="003B6CA0">
        <w:tc>
          <w:tcPr>
            <w:tcW w:w="534" w:type="dxa"/>
          </w:tcPr>
          <w:p w:rsidR="00BF593B" w:rsidRPr="003A2CB2" w:rsidRDefault="00140915" w:rsidP="00B66FDE">
            <w:pPr>
              <w:spacing w:line="276" w:lineRule="auto"/>
              <w:rPr>
                <w:sz w:val="20"/>
                <w:szCs w:val="20"/>
              </w:rPr>
            </w:pPr>
            <w:r>
              <w:rPr>
                <w:sz w:val="20"/>
                <w:szCs w:val="20"/>
              </w:rPr>
              <w:t>460</w:t>
            </w:r>
            <w:r w:rsidRPr="00140915">
              <w:rPr>
                <w:sz w:val="20"/>
                <w:szCs w:val="20"/>
              </w:rPr>
              <w:t>10</w:t>
            </w:r>
          </w:p>
        </w:tc>
        <w:tc>
          <w:tcPr>
            <w:tcW w:w="1275" w:type="dxa"/>
          </w:tcPr>
          <w:p w:rsidR="00BF593B" w:rsidRPr="003A2CB2" w:rsidRDefault="0033290F" w:rsidP="00735334">
            <w:pPr>
              <w:rPr>
                <w:sz w:val="20"/>
                <w:szCs w:val="20"/>
              </w:rPr>
            </w:pPr>
            <w:r w:rsidRPr="0033290F">
              <w:rPr>
                <w:sz w:val="20"/>
                <w:szCs w:val="20"/>
              </w:rPr>
              <w:t xml:space="preserve">Přínos opatření ke zlepšení migrační prostupnosti říční sítě </w:t>
            </w:r>
          </w:p>
        </w:tc>
        <w:tc>
          <w:tcPr>
            <w:tcW w:w="993" w:type="dxa"/>
          </w:tcPr>
          <w:p w:rsidR="00BF593B" w:rsidRPr="003A2CB2" w:rsidRDefault="0033290F" w:rsidP="00B66FDE">
            <w:pPr>
              <w:spacing w:line="276" w:lineRule="auto"/>
              <w:rPr>
                <w:sz w:val="20"/>
                <w:szCs w:val="20"/>
              </w:rPr>
            </w:pPr>
            <w:r w:rsidRPr="0033290F">
              <w:rPr>
                <w:sz w:val="20"/>
                <w:szCs w:val="20"/>
              </w:rPr>
              <w:t>km</w:t>
            </w:r>
          </w:p>
        </w:tc>
        <w:tc>
          <w:tcPr>
            <w:tcW w:w="1134" w:type="dxa"/>
          </w:tcPr>
          <w:p w:rsidR="00BF593B" w:rsidRPr="003A2CB2" w:rsidRDefault="0033290F" w:rsidP="00E57381">
            <w:pPr>
              <w:spacing w:line="276" w:lineRule="auto"/>
              <w:rPr>
                <w:sz w:val="20"/>
                <w:szCs w:val="20"/>
              </w:rPr>
            </w:pPr>
            <w:r w:rsidRPr="0033290F">
              <w:rPr>
                <w:sz w:val="20"/>
                <w:szCs w:val="20"/>
              </w:rPr>
              <w:t>Méně rozvinuté regiony</w:t>
            </w:r>
          </w:p>
        </w:tc>
        <w:tc>
          <w:tcPr>
            <w:tcW w:w="850" w:type="dxa"/>
          </w:tcPr>
          <w:p w:rsidR="00BF593B" w:rsidRPr="003A2CB2" w:rsidRDefault="0033290F" w:rsidP="00B66FDE">
            <w:pPr>
              <w:spacing w:line="276" w:lineRule="auto"/>
              <w:rPr>
                <w:sz w:val="20"/>
                <w:szCs w:val="20"/>
              </w:rPr>
            </w:pPr>
            <w:r w:rsidRPr="0033290F">
              <w:rPr>
                <w:sz w:val="20"/>
                <w:szCs w:val="20"/>
              </w:rPr>
              <w:t>0</w:t>
            </w:r>
          </w:p>
        </w:tc>
        <w:tc>
          <w:tcPr>
            <w:tcW w:w="851" w:type="dxa"/>
          </w:tcPr>
          <w:p w:rsidR="00BF593B" w:rsidRPr="003A2CB2" w:rsidRDefault="0033290F" w:rsidP="00B66FDE">
            <w:pPr>
              <w:spacing w:line="276" w:lineRule="auto"/>
              <w:rPr>
                <w:sz w:val="20"/>
                <w:szCs w:val="20"/>
              </w:rPr>
            </w:pPr>
            <w:r w:rsidRPr="0033290F">
              <w:rPr>
                <w:sz w:val="20"/>
                <w:szCs w:val="20"/>
              </w:rPr>
              <w:t>2014</w:t>
            </w:r>
          </w:p>
        </w:tc>
        <w:tc>
          <w:tcPr>
            <w:tcW w:w="1275" w:type="dxa"/>
          </w:tcPr>
          <w:p w:rsidR="00BF593B" w:rsidRPr="003A2CB2" w:rsidRDefault="0033290F" w:rsidP="00B66FDE">
            <w:pPr>
              <w:spacing w:line="276" w:lineRule="auto"/>
              <w:rPr>
                <w:sz w:val="20"/>
                <w:szCs w:val="20"/>
              </w:rPr>
            </w:pPr>
            <w:r w:rsidRPr="0033290F">
              <w:rPr>
                <w:sz w:val="20"/>
                <w:szCs w:val="20"/>
              </w:rPr>
              <w:t xml:space="preserve">500 </w:t>
            </w:r>
          </w:p>
        </w:tc>
        <w:tc>
          <w:tcPr>
            <w:tcW w:w="993" w:type="dxa"/>
          </w:tcPr>
          <w:p w:rsidR="00BF593B" w:rsidRPr="003A2CB2" w:rsidRDefault="0033290F" w:rsidP="00B66FDE">
            <w:pPr>
              <w:spacing w:line="276" w:lineRule="auto"/>
              <w:rPr>
                <w:sz w:val="20"/>
                <w:szCs w:val="20"/>
              </w:rPr>
            </w:pPr>
            <w:r w:rsidRPr="0033290F">
              <w:rPr>
                <w:sz w:val="20"/>
                <w:szCs w:val="20"/>
              </w:rPr>
              <w:t>AOPK</w:t>
            </w:r>
          </w:p>
        </w:tc>
        <w:tc>
          <w:tcPr>
            <w:tcW w:w="1275" w:type="dxa"/>
          </w:tcPr>
          <w:p w:rsidR="00BF593B" w:rsidRPr="003A2CB2" w:rsidRDefault="0033290F" w:rsidP="00B66FDE">
            <w:pPr>
              <w:spacing w:line="276" w:lineRule="auto"/>
              <w:rPr>
                <w:sz w:val="20"/>
                <w:szCs w:val="20"/>
              </w:rPr>
            </w:pPr>
            <w:r w:rsidRPr="0033290F">
              <w:rPr>
                <w:sz w:val="20"/>
                <w:szCs w:val="20"/>
              </w:rPr>
              <w:t>Průběžně</w:t>
            </w:r>
          </w:p>
        </w:tc>
      </w:tr>
      <w:tr w:rsidR="0084108A" w:rsidRPr="00094B18" w:rsidTr="003B6CA0">
        <w:tc>
          <w:tcPr>
            <w:tcW w:w="534" w:type="dxa"/>
          </w:tcPr>
          <w:p w:rsidR="00BC4DDE" w:rsidRPr="003A2CB2" w:rsidRDefault="00140915" w:rsidP="00B66FDE">
            <w:pPr>
              <w:rPr>
                <w:sz w:val="20"/>
                <w:szCs w:val="20"/>
              </w:rPr>
            </w:pPr>
            <w:r>
              <w:rPr>
                <w:sz w:val="20"/>
                <w:szCs w:val="20"/>
              </w:rPr>
              <w:t>454</w:t>
            </w:r>
            <w:r w:rsidRPr="00140915">
              <w:rPr>
                <w:sz w:val="20"/>
                <w:szCs w:val="20"/>
              </w:rPr>
              <w:t>10</w:t>
            </w:r>
          </w:p>
        </w:tc>
        <w:tc>
          <w:tcPr>
            <w:tcW w:w="1275" w:type="dxa"/>
          </w:tcPr>
          <w:p w:rsidR="00BC4DDE" w:rsidRPr="003A2CB2" w:rsidRDefault="00BC4DDE" w:rsidP="00B66FDE">
            <w:pPr>
              <w:rPr>
                <w:sz w:val="20"/>
                <w:szCs w:val="20"/>
              </w:rPr>
            </w:pPr>
            <w:r w:rsidRPr="003A2CB2">
              <w:rPr>
                <w:sz w:val="20"/>
                <w:szCs w:val="20"/>
              </w:rPr>
              <w:t xml:space="preserve">Plocha revitalizovaného území  </w:t>
            </w:r>
          </w:p>
        </w:tc>
        <w:tc>
          <w:tcPr>
            <w:tcW w:w="993" w:type="dxa"/>
          </w:tcPr>
          <w:p w:rsidR="00BC4DDE" w:rsidRPr="003A2CB2" w:rsidRDefault="0033290F" w:rsidP="00B66FDE">
            <w:pPr>
              <w:spacing w:line="276" w:lineRule="auto"/>
              <w:rPr>
                <w:sz w:val="20"/>
                <w:szCs w:val="20"/>
              </w:rPr>
            </w:pPr>
            <w:r w:rsidRPr="0033290F">
              <w:rPr>
                <w:sz w:val="20"/>
                <w:szCs w:val="20"/>
              </w:rPr>
              <w:t>ha</w:t>
            </w:r>
          </w:p>
        </w:tc>
        <w:tc>
          <w:tcPr>
            <w:tcW w:w="1134" w:type="dxa"/>
          </w:tcPr>
          <w:p w:rsidR="00BC4DDE" w:rsidRPr="003A2CB2" w:rsidRDefault="0033290F" w:rsidP="00B66FDE">
            <w:pPr>
              <w:spacing w:line="276" w:lineRule="auto"/>
              <w:rPr>
                <w:sz w:val="20"/>
                <w:szCs w:val="20"/>
              </w:rPr>
            </w:pPr>
            <w:r w:rsidRPr="0033290F">
              <w:rPr>
                <w:sz w:val="20"/>
                <w:szCs w:val="20"/>
              </w:rPr>
              <w:t>Méně rozvinuté regiony</w:t>
            </w:r>
          </w:p>
        </w:tc>
        <w:tc>
          <w:tcPr>
            <w:tcW w:w="850" w:type="dxa"/>
          </w:tcPr>
          <w:p w:rsidR="00BC4DDE" w:rsidRPr="003A2CB2" w:rsidRDefault="0033290F" w:rsidP="00B66FDE">
            <w:pPr>
              <w:spacing w:line="276" w:lineRule="auto"/>
              <w:rPr>
                <w:sz w:val="20"/>
                <w:szCs w:val="20"/>
              </w:rPr>
            </w:pPr>
            <w:r w:rsidRPr="0033290F">
              <w:rPr>
                <w:sz w:val="20"/>
                <w:szCs w:val="20"/>
              </w:rPr>
              <w:t xml:space="preserve">35 750 </w:t>
            </w:r>
          </w:p>
        </w:tc>
        <w:tc>
          <w:tcPr>
            <w:tcW w:w="851" w:type="dxa"/>
          </w:tcPr>
          <w:p w:rsidR="00BC4DDE" w:rsidRPr="003A2CB2" w:rsidRDefault="0033290F" w:rsidP="00B66FDE">
            <w:pPr>
              <w:spacing w:line="276" w:lineRule="auto"/>
              <w:rPr>
                <w:sz w:val="20"/>
                <w:szCs w:val="20"/>
              </w:rPr>
            </w:pPr>
            <w:r w:rsidRPr="0033290F">
              <w:rPr>
                <w:sz w:val="20"/>
                <w:szCs w:val="20"/>
              </w:rPr>
              <w:t>2014</w:t>
            </w:r>
          </w:p>
        </w:tc>
        <w:tc>
          <w:tcPr>
            <w:tcW w:w="1275" w:type="dxa"/>
          </w:tcPr>
          <w:p w:rsidR="003B6FEC" w:rsidRPr="003A2CB2" w:rsidRDefault="0033290F" w:rsidP="00B66FDE">
            <w:pPr>
              <w:spacing w:line="276" w:lineRule="auto"/>
              <w:rPr>
                <w:sz w:val="20"/>
                <w:szCs w:val="20"/>
              </w:rPr>
            </w:pPr>
            <w:r w:rsidRPr="0033290F">
              <w:rPr>
                <w:sz w:val="20"/>
                <w:szCs w:val="20"/>
              </w:rPr>
              <w:t xml:space="preserve">49 820 </w:t>
            </w:r>
          </w:p>
          <w:p w:rsidR="00BC4DDE" w:rsidRPr="003A2CB2" w:rsidRDefault="00BC4DDE" w:rsidP="00B66FDE">
            <w:pPr>
              <w:spacing w:line="276" w:lineRule="auto"/>
              <w:rPr>
                <w:sz w:val="20"/>
                <w:szCs w:val="20"/>
              </w:rPr>
            </w:pPr>
          </w:p>
        </w:tc>
        <w:tc>
          <w:tcPr>
            <w:tcW w:w="993" w:type="dxa"/>
          </w:tcPr>
          <w:p w:rsidR="00BC4DDE" w:rsidRPr="003A2CB2" w:rsidRDefault="005B1781" w:rsidP="00B66FDE">
            <w:pPr>
              <w:spacing w:line="276" w:lineRule="auto"/>
              <w:rPr>
                <w:sz w:val="20"/>
                <w:szCs w:val="20"/>
              </w:rPr>
            </w:pPr>
            <w:r>
              <w:rPr>
                <w:sz w:val="20"/>
                <w:szCs w:val="20"/>
              </w:rPr>
              <w:t>ŘO</w:t>
            </w:r>
          </w:p>
        </w:tc>
        <w:tc>
          <w:tcPr>
            <w:tcW w:w="1275" w:type="dxa"/>
          </w:tcPr>
          <w:p w:rsidR="00BC4DDE" w:rsidRPr="003A2CB2" w:rsidRDefault="0033290F" w:rsidP="00B66FDE">
            <w:pPr>
              <w:spacing w:line="276" w:lineRule="auto"/>
              <w:rPr>
                <w:sz w:val="20"/>
                <w:szCs w:val="20"/>
              </w:rPr>
            </w:pPr>
            <w:r w:rsidRPr="0033290F">
              <w:rPr>
                <w:sz w:val="20"/>
                <w:szCs w:val="20"/>
              </w:rPr>
              <w:t>Průběžně</w:t>
            </w:r>
          </w:p>
        </w:tc>
      </w:tr>
    </w:tbl>
    <w:p w:rsidR="00BF593B" w:rsidRDefault="00BF593B" w:rsidP="00C47308">
      <w:pPr>
        <w:pStyle w:val="Nadpis6"/>
      </w:pPr>
      <w:r w:rsidRPr="004314F4">
        <w:t xml:space="preserve">Specifický cíl </w:t>
      </w:r>
      <w:r w:rsidR="00263EAF">
        <w:t>4</w:t>
      </w:r>
      <w:r w:rsidRPr="004314F4">
        <w:t xml:space="preserve">: </w:t>
      </w:r>
      <w:r w:rsidR="00DE4FCA" w:rsidRPr="004314F4">
        <w:t>Zlepšit kvalitu prostředí v</w:t>
      </w:r>
      <w:r w:rsidR="00B014FB">
        <w:t> </w:t>
      </w:r>
      <w:r w:rsidR="00DE4FCA" w:rsidRPr="004314F4">
        <w:t>sídlech</w:t>
      </w:r>
    </w:p>
    <w:p w:rsidR="00735334" w:rsidRPr="00274F17" w:rsidRDefault="00735334" w:rsidP="00735334">
      <w:pPr>
        <w:autoSpaceDE w:val="0"/>
        <w:autoSpaceDN w:val="0"/>
        <w:adjustRightInd w:val="0"/>
      </w:pPr>
      <w:bookmarkStart w:id="2771" w:name="_Toc384907459"/>
      <w:r w:rsidRPr="00274F17">
        <w:rPr>
          <w:rFonts w:cs="Arial"/>
          <w:szCs w:val="24"/>
        </w:rPr>
        <w:t>Specifický cíl 4.4 vychází z požadavků Strategie EU v oblasti biologické rozmanitosti do r. 2020, jejímž základním cílem je „zastavení úbytku biologické rozmanitosti a degradace ekosystémových služeb“</w:t>
      </w:r>
      <w:r>
        <w:rPr>
          <w:rFonts w:cs="Arial"/>
          <w:szCs w:val="24"/>
        </w:rPr>
        <w:t xml:space="preserve"> a </w:t>
      </w:r>
      <w:r w:rsidRPr="00274F17">
        <w:rPr>
          <w:rFonts w:cs="Arial"/>
          <w:szCs w:val="24"/>
        </w:rPr>
        <w:t>ze Státní politiky životního prostředí ČR 2012 – 2020, mezi jejíž cíle mj. patří zlepšení systému zeleně a jeho struktury v sídlech, zvýšení ekologické stability krajiny, obnovení vodního režimu krajiny, předcházení vzniku antropogenních rizik apod. Je v souladu s Aktualizovaným Státním programem ochrany přírody a krajiny, který ukládá „zajištění vyšší kvality života v sídlech zapojením přírodních nebo přírodě blízkých prvků do struktury sídel“ a</w:t>
      </w:r>
      <w:r w:rsidR="00177B95">
        <w:rPr>
          <w:rFonts w:cs="Arial"/>
          <w:szCs w:val="24"/>
        </w:rPr>
        <w:t> </w:t>
      </w:r>
      <w:r>
        <w:rPr>
          <w:rFonts w:cs="Arial"/>
          <w:szCs w:val="24"/>
        </w:rPr>
        <w:t>z</w:t>
      </w:r>
      <w:r w:rsidRPr="00274F17">
        <w:rPr>
          <w:rFonts w:cs="Arial"/>
          <w:szCs w:val="24"/>
        </w:rPr>
        <w:t>ároveň je v souladu s návrhem Strategie přizpůsobení se změně klimatu v podmínkách ČR, jejímž hlavním principem je „z</w:t>
      </w:r>
      <w:r w:rsidRPr="00274F17">
        <w:t xml:space="preserve">ajistit udržitelné hospodaření s vodou a funkčně propojené systémy ploch s převažujícími přírodními složkami tvořící systém sídelní zeleně“. </w:t>
      </w:r>
    </w:p>
    <w:p w:rsidR="00735334" w:rsidRPr="00274F17" w:rsidRDefault="00735334" w:rsidP="00735334">
      <w:pPr>
        <w:pStyle w:val="Zkladntext3"/>
        <w:spacing w:before="0" w:line="276" w:lineRule="auto"/>
        <w:rPr>
          <w:rFonts w:ascii="Cambria" w:hAnsi="Cambria" w:cs="Calibri"/>
          <w:sz w:val="22"/>
          <w:szCs w:val="22"/>
        </w:rPr>
      </w:pPr>
      <w:r w:rsidRPr="00274F17">
        <w:rPr>
          <w:rFonts w:ascii="Cambria" w:hAnsi="Cambria" w:cs="Calibri"/>
          <w:sz w:val="22"/>
          <w:szCs w:val="22"/>
        </w:rPr>
        <w:t xml:space="preserve">Cílem podporovaných opatření v rámci tohoto specifického cíle je posílit </w:t>
      </w:r>
      <w:r w:rsidRPr="00794AAC">
        <w:rPr>
          <w:rFonts w:ascii="Cambria" w:hAnsi="Cambria" w:cs="Calibri"/>
          <w:sz w:val="22"/>
          <w:szCs w:val="22"/>
        </w:rPr>
        <w:t>biodiverzitu</w:t>
      </w:r>
      <w:r w:rsidRPr="00274F17">
        <w:rPr>
          <w:rFonts w:ascii="Cambria" w:hAnsi="Cambria" w:cs="Calibri"/>
          <w:sz w:val="22"/>
          <w:szCs w:val="22"/>
        </w:rPr>
        <w:t xml:space="preserve"> </w:t>
      </w:r>
      <w:r>
        <w:rPr>
          <w:rFonts w:ascii="Cambria" w:hAnsi="Cambria" w:cs="Calibri"/>
          <w:sz w:val="22"/>
          <w:szCs w:val="22"/>
        </w:rPr>
        <w:t>a</w:t>
      </w:r>
      <w:r w:rsidR="00177B95">
        <w:rPr>
          <w:rFonts w:ascii="Cambria" w:hAnsi="Cambria" w:cs="Calibri"/>
          <w:sz w:val="22"/>
          <w:szCs w:val="22"/>
        </w:rPr>
        <w:t> </w:t>
      </w:r>
      <w:r w:rsidRPr="00274F17">
        <w:rPr>
          <w:rFonts w:ascii="Cambria" w:hAnsi="Cambria" w:cs="Calibri"/>
          <w:sz w:val="22"/>
          <w:szCs w:val="22"/>
        </w:rPr>
        <w:t>ek</w:t>
      </w:r>
      <w:r>
        <w:rPr>
          <w:rFonts w:ascii="Cambria" w:hAnsi="Cambria" w:cs="Calibri"/>
          <w:sz w:val="22"/>
          <w:szCs w:val="22"/>
        </w:rPr>
        <w:t>osystémové</w:t>
      </w:r>
      <w:r w:rsidRPr="00274F17">
        <w:rPr>
          <w:rFonts w:ascii="Cambria" w:hAnsi="Cambria" w:cs="Calibri"/>
          <w:sz w:val="22"/>
          <w:szCs w:val="22"/>
        </w:rPr>
        <w:t xml:space="preserve"> </w:t>
      </w:r>
      <w:r>
        <w:rPr>
          <w:rFonts w:ascii="Cambria" w:hAnsi="Cambria" w:cs="Calibri"/>
          <w:sz w:val="22"/>
          <w:szCs w:val="22"/>
        </w:rPr>
        <w:t>funkce v sídlech</w:t>
      </w:r>
      <w:r w:rsidRPr="00274F17">
        <w:t xml:space="preserve">, </w:t>
      </w:r>
      <w:r w:rsidRPr="00274F17">
        <w:rPr>
          <w:rFonts w:ascii="Cambria" w:hAnsi="Cambria" w:cs="Calibri"/>
          <w:sz w:val="22"/>
          <w:szCs w:val="22"/>
        </w:rPr>
        <w:t xml:space="preserve">resp. jejich ekologickou stabilitu (funkčnost a udržitelnost). </w:t>
      </w:r>
    </w:p>
    <w:p w:rsidR="00735334" w:rsidRDefault="00735334" w:rsidP="00735334">
      <w:pPr>
        <w:pStyle w:val="Zkladntext3"/>
        <w:spacing w:before="0" w:line="276" w:lineRule="auto"/>
        <w:rPr>
          <w:rFonts w:ascii="Cambria" w:hAnsi="Cambria" w:cs="Calibri"/>
          <w:sz w:val="22"/>
          <w:szCs w:val="22"/>
        </w:rPr>
      </w:pPr>
      <w:r w:rsidRPr="000760AF">
        <w:rPr>
          <w:rFonts w:ascii="Cambria" w:hAnsi="Cambria" w:cs="Calibri"/>
          <w:sz w:val="22"/>
          <w:szCs w:val="22"/>
        </w:rPr>
        <w:lastRenderedPageBreak/>
        <w:t>Předpokladem pro naplnění cíle je zajištění prostorových podmínek pro uplatnění přírodní složky životního prostředí v návaznosti na proces územního plánování. Plochy zeleně musí být územním plánem stanoveny jako nezastavitelné. Je žádoucí, aby návrh na jejich revitalizaci vycházel ze studií systémů sídelní zeleně zahrnující jejich vytvoření, ochranu</w:t>
      </w:r>
      <w:r>
        <w:rPr>
          <w:rFonts w:ascii="Cambria" w:hAnsi="Cambria" w:cs="Calibri"/>
          <w:sz w:val="22"/>
          <w:szCs w:val="22"/>
        </w:rPr>
        <w:t xml:space="preserve"> a správu. </w:t>
      </w:r>
    </w:p>
    <w:p w:rsidR="00735334" w:rsidRPr="00274F17" w:rsidRDefault="00735334" w:rsidP="00735334">
      <w:pPr>
        <w:pStyle w:val="Zkladntext3"/>
        <w:spacing w:before="0" w:line="276" w:lineRule="auto"/>
        <w:rPr>
          <w:rFonts w:ascii="Cambria" w:hAnsi="Cambria" w:cs="Calibri"/>
          <w:sz w:val="22"/>
          <w:szCs w:val="22"/>
        </w:rPr>
      </w:pPr>
      <w:r w:rsidRPr="00274F17">
        <w:rPr>
          <w:rFonts w:ascii="Cambria" w:hAnsi="Cambria" w:cs="Calibri"/>
          <w:sz w:val="22"/>
          <w:szCs w:val="22"/>
        </w:rPr>
        <w:t>Prioritou revitalizovaných ploch zeleně je zajištění jejich ekosystémové funkce v návaznosti na</w:t>
      </w:r>
      <w:r w:rsidR="007B3671">
        <w:rPr>
          <w:rFonts w:ascii="Cambria" w:hAnsi="Cambria" w:cs="Calibri"/>
          <w:sz w:val="22"/>
          <w:szCs w:val="22"/>
        </w:rPr>
        <w:t> </w:t>
      </w:r>
      <w:r w:rsidRPr="00274F17">
        <w:rPr>
          <w:rFonts w:ascii="Cambria" w:hAnsi="Cambria" w:cs="Calibri"/>
          <w:sz w:val="22"/>
          <w:szCs w:val="22"/>
        </w:rPr>
        <w:t xml:space="preserve">další plochy zeleně v sídle a zajištění jejich udržitelnosti, která je dána jejich velikostí, spojitostí, charakterem (variabilitou biotopů, druhovou skladbou, odolností druhů, apod.). </w:t>
      </w:r>
    </w:p>
    <w:p w:rsidR="00735334" w:rsidRPr="00274F17" w:rsidRDefault="00735334" w:rsidP="00735334">
      <w:r w:rsidRPr="00274F17">
        <w:t>Neoddělitelnou součástí navrhovaných ploch sídelní zeleně jsou doprovodné vodní plochy, které pře</w:t>
      </w:r>
      <w:r>
        <w:t>d</w:t>
      </w:r>
      <w:r w:rsidRPr="00274F17">
        <w:t>stavují specifická stanoviště vodních a na vodu vázaných druhů a přitom přispívají ke</w:t>
      </w:r>
      <w:r w:rsidR="007B3671">
        <w:t> </w:t>
      </w:r>
      <w:r w:rsidRPr="00274F17">
        <w:t>zlepšení odtokových poměrů v území (zadržení srážek v místě spadu, zpomalení odtoku). S cílem posílit biodiverzitu sídel (zvýšení rozmanitosti volně žijících druhů, přírodních i</w:t>
      </w:r>
      <w:r w:rsidR="00177B95">
        <w:t> </w:t>
      </w:r>
      <w:r w:rsidRPr="00274F17">
        <w:t xml:space="preserve">náhradních stanovišť) bude v rámci revitalizovaných ploch zeleně podporována revitalizace drobných vodních či mokřadních stanovišť, </w:t>
      </w:r>
      <w:r w:rsidR="00044C60">
        <w:t xml:space="preserve">prioritně </w:t>
      </w:r>
      <w:r w:rsidRPr="00274F17">
        <w:t>výsadba autochtonních druhů dřevin, zakládání trávníků s přihlédnutím k daným ekologickým podmínkám</w:t>
      </w:r>
      <w:r>
        <w:t xml:space="preserve"> </w:t>
      </w:r>
      <w:r w:rsidRPr="007B1920">
        <w:t>a realizace dalších doplňkových opatření pro podporu biologické rozmanitosti (tvorba úkrytů pro plazy a drobné obratl</w:t>
      </w:r>
      <w:r>
        <w:t>ovce, podpora hnízdění ptáků, zv</w:t>
      </w:r>
      <w:r w:rsidRPr="007B1920">
        <w:t>yšování nabídky zdrojů nektaru pro hmyz apod.).</w:t>
      </w:r>
      <w:r w:rsidRPr="00274F17">
        <w:t xml:space="preserve"> Cílem je vytvářet příznivé podmínky pro existenci přírodě blízkých společenstev i jednotlivých druhů v sídlech.</w:t>
      </w:r>
    </w:p>
    <w:p w:rsidR="00735334" w:rsidRPr="00274F17" w:rsidRDefault="00735334" w:rsidP="00735334">
      <w:r w:rsidRPr="00274F17">
        <w:t>V rámci tohoto specifického cíle bude podporována revitalizace funkčně provázaných ploch sídelní zeleně i jednotlivých ploch zeleně (parky, zahrady a ostatní veřejná zeleň), vycházející ze</w:t>
      </w:r>
      <w:r w:rsidR="00177B95">
        <w:t> </w:t>
      </w:r>
      <w:r w:rsidRPr="00274F17">
        <w:t xml:space="preserve">studie systému sídelní zeleně (platné, případně zpracované v rámci podporovaného záměru). Současně budou podporovány doprovodné vodní plochy (vodní a mokřadní ekosystémy), které jsou funkčně provázány s plochami zeleně. </w:t>
      </w:r>
    </w:p>
    <w:p w:rsidR="005D514F" w:rsidRPr="00B1394B" w:rsidRDefault="005D514F" w:rsidP="007B3671">
      <w:pPr>
        <w:spacing w:after="0" w:afterAutospacing="0"/>
        <w:rPr>
          <w:b/>
          <w:iCs/>
        </w:rPr>
      </w:pPr>
      <w:r w:rsidRPr="00B1394B">
        <w:rPr>
          <w:b/>
        </w:rPr>
        <w:t>Stav, který chceme dosáhnout k roku 2020:</w:t>
      </w:r>
      <w:bookmarkEnd w:id="2771"/>
    </w:p>
    <w:p w:rsidR="00F625C4" w:rsidRDefault="007B3671" w:rsidP="00495FC1">
      <w:pPr>
        <w:pStyle w:val="Odstavecseseznamem"/>
        <w:numPr>
          <w:ilvl w:val="0"/>
          <w:numId w:val="65"/>
        </w:numPr>
        <w:spacing w:after="0" w:afterAutospacing="0"/>
      </w:pPr>
      <w:r>
        <w:t>d</w:t>
      </w:r>
      <w:r w:rsidR="00354CAC" w:rsidRPr="005D514F">
        <w:t>o</w:t>
      </w:r>
      <w:r w:rsidR="00354CAC">
        <w:t>saženo</w:t>
      </w:r>
      <w:r w:rsidR="00354CAC" w:rsidRPr="005D514F">
        <w:t xml:space="preserve"> </w:t>
      </w:r>
      <w:r w:rsidR="005D514F" w:rsidRPr="005D514F">
        <w:t xml:space="preserve">posílení biodiverzity a ekologické stability sídelní krajiny </w:t>
      </w:r>
      <w:r w:rsidR="00354CAC" w:rsidRPr="005D514F">
        <w:t>vytv</w:t>
      </w:r>
      <w:r w:rsidR="00354CAC">
        <w:t>ořením</w:t>
      </w:r>
      <w:r w:rsidR="00354CAC" w:rsidRPr="005D514F">
        <w:t xml:space="preserve"> </w:t>
      </w:r>
      <w:r w:rsidR="005D514F" w:rsidRPr="005D514F">
        <w:t xml:space="preserve">funkčních systémů sídelní zeleně (s využitím autochtonních </w:t>
      </w:r>
      <w:r w:rsidR="00735334">
        <w:t>nebo</w:t>
      </w:r>
      <w:r w:rsidR="0085768E">
        <w:t xml:space="preserve"> ekologicky stabilních druhů) a </w:t>
      </w:r>
      <w:r w:rsidR="005D514F" w:rsidRPr="005D514F">
        <w:t>vodních ploch</w:t>
      </w:r>
      <w:r w:rsidR="00735334">
        <w:t>,</w:t>
      </w:r>
      <w:r w:rsidR="00735334" w:rsidRPr="00274F17">
        <w:t xml:space="preserve"> </w:t>
      </w:r>
      <w:r w:rsidR="00735334" w:rsidRPr="000760AF">
        <w:t>zlepšení ekosystémových funkcí</w:t>
      </w:r>
      <w:r w:rsidR="00735334" w:rsidRPr="00274F17">
        <w:t xml:space="preserve"> v sídlech, resp. životního prostředí obyvatel</w:t>
      </w:r>
      <w:r>
        <w:t>,</w:t>
      </w:r>
    </w:p>
    <w:p w:rsidR="00674BC9" w:rsidRDefault="007B3671" w:rsidP="00495FC1">
      <w:pPr>
        <w:pStyle w:val="Odstavecseseznamem"/>
        <w:numPr>
          <w:ilvl w:val="0"/>
          <w:numId w:val="65"/>
        </w:numPr>
        <w:spacing w:after="0" w:afterAutospacing="0"/>
      </w:pPr>
      <w:r>
        <w:t>d</w:t>
      </w:r>
      <w:r w:rsidR="005D514F" w:rsidRPr="005D514F">
        <w:t>o</w:t>
      </w:r>
      <w:r w:rsidR="00354CAC">
        <w:t>saženo</w:t>
      </w:r>
      <w:r w:rsidR="005D514F" w:rsidRPr="005D514F">
        <w:t xml:space="preserve"> zlepšení vodního režimu v sídelní krajině</w:t>
      </w:r>
      <w:r w:rsidR="00735334">
        <w:t xml:space="preserve"> </w:t>
      </w:r>
      <w:r w:rsidR="00735334" w:rsidRPr="007B3671">
        <w:t>realizací přírodě blízkých prvků</w:t>
      </w:r>
      <w:r w:rsidR="005D514F" w:rsidRPr="005D514F">
        <w:t xml:space="preserve">. </w:t>
      </w:r>
    </w:p>
    <w:p w:rsidR="00674BC9" w:rsidRDefault="00674BC9">
      <w:pPr>
        <w:pStyle w:val="Zkladntext3"/>
        <w:spacing w:before="240" w:after="0" w:afterAutospacing="0" w:line="276" w:lineRule="auto"/>
        <w:ind w:left="72"/>
      </w:pPr>
    </w:p>
    <w:p w:rsidR="004479EC" w:rsidRPr="004314F4" w:rsidRDefault="004479EC" w:rsidP="00165854">
      <w:pPr>
        <w:pStyle w:val="Titulek"/>
      </w:pPr>
      <w:bookmarkStart w:id="2772" w:name="_Toc384907460"/>
      <w:r w:rsidRPr="008F2BB6">
        <w:t>Specifické</w:t>
      </w:r>
      <w:r w:rsidRPr="004314F4">
        <w:t xml:space="preserve"> </w:t>
      </w:r>
      <w:r w:rsidR="008139EB">
        <w:t>programové ukazatele</w:t>
      </w:r>
      <w:r w:rsidRPr="004314F4">
        <w:t xml:space="preserve"> výsledků pro SC 4.</w:t>
      </w:r>
      <w:r w:rsidR="00263EAF">
        <w:t>4</w:t>
      </w:r>
      <w:bookmarkEnd w:id="2772"/>
    </w:p>
    <w:tbl>
      <w:tblPr>
        <w:tblStyle w:val="Mkatabulky"/>
        <w:tblW w:w="0" w:type="auto"/>
        <w:tblLayout w:type="fixed"/>
        <w:tblLook w:val="04A0" w:firstRow="1" w:lastRow="0" w:firstColumn="1" w:lastColumn="0" w:noHBand="0" w:noVBand="1"/>
      </w:tblPr>
      <w:tblGrid>
        <w:gridCol w:w="428"/>
        <w:gridCol w:w="1381"/>
        <w:gridCol w:w="1134"/>
        <w:gridCol w:w="1134"/>
        <w:gridCol w:w="993"/>
        <w:gridCol w:w="992"/>
        <w:gridCol w:w="1083"/>
        <w:gridCol w:w="901"/>
        <w:gridCol w:w="1240"/>
      </w:tblGrid>
      <w:tr w:rsidR="00292D2F" w:rsidRPr="006850F5" w:rsidTr="001D1FB3">
        <w:tc>
          <w:tcPr>
            <w:tcW w:w="428" w:type="dxa"/>
            <w:tcBorders>
              <w:bottom w:val="single" w:sz="12" w:space="0" w:color="auto"/>
            </w:tcBorders>
            <w:shd w:val="clear" w:color="auto" w:fill="BFBFBF" w:themeFill="background1" w:themeFillShade="BF"/>
          </w:tcPr>
          <w:p w:rsidR="00BF593B" w:rsidRPr="003A2CB2" w:rsidRDefault="00BF593B" w:rsidP="00B66FDE">
            <w:pPr>
              <w:rPr>
                <w:b/>
                <w:sz w:val="20"/>
                <w:szCs w:val="20"/>
              </w:rPr>
            </w:pPr>
            <w:r w:rsidRPr="003A2CB2">
              <w:rPr>
                <w:b/>
                <w:sz w:val="20"/>
                <w:szCs w:val="20"/>
              </w:rPr>
              <w:t xml:space="preserve">ID </w:t>
            </w:r>
          </w:p>
        </w:tc>
        <w:tc>
          <w:tcPr>
            <w:tcW w:w="1381"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Ukazatel</w:t>
            </w:r>
          </w:p>
        </w:tc>
        <w:tc>
          <w:tcPr>
            <w:tcW w:w="1134"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Měrná jednotka</w:t>
            </w:r>
          </w:p>
        </w:tc>
        <w:tc>
          <w:tcPr>
            <w:tcW w:w="1134"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Kategorie regionů</w:t>
            </w:r>
          </w:p>
        </w:tc>
        <w:tc>
          <w:tcPr>
            <w:tcW w:w="993"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Výchozí hodnota</w:t>
            </w:r>
          </w:p>
        </w:tc>
        <w:tc>
          <w:tcPr>
            <w:tcW w:w="992"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Výchozí rok</w:t>
            </w:r>
          </w:p>
        </w:tc>
        <w:tc>
          <w:tcPr>
            <w:tcW w:w="1083"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Cílová hodnota (2023)</w:t>
            </w:r>
          </w:p>
        </w:tc>
        <w:tc>
          <w:tcPr>
            <w:tcW w:w="901"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Zdroj údajů</w:t>
            </w:r>
          </w:p>
        </w:tc>
        <w:tc>
          <w:tcPr>
            <w:tcW w:w="1240" w:type="dxa"/>
            <w:tcBorders>
              <w:bottom w:val="single" w:sz="12" w:space="0" w:color="auto"/>
            </w:tcBorders>
            <w:shd w:val="clear" w:color="auto" w:fill="BFBFBF" w:themeFill="background1" w:themeFillShade="BF"/>
          </w:tcPr>
          <w:p w:rsidR="00BF593B" w:rsidRPr="003A2CB2" w:rsidRDefault="0033290F" w:rsidP="00B66FDE">
            <w:pPr>
              <w:spacing w:line="276" w:lineRule="auto"/>
              <w:rPr>
                <w:b/>
                <w:sz w:val="20"/>
                <w:szCs w:val="20"/>
              </w:rPr>
            </w:pPr>
            <w:r w:rsidRPr="0033290F">
              <w:rPr>
                <w:b/>
                <w:sz w:val="20"/>
                <w:szCs w:val="20"/>
              </w:rPr>
              <w:t>Četnost podávání zpráv</w:t>
            </w:r>
          </w:p>
        </w:tc>
      </w:tr>
      <w:tr w:rsidR="00292D2F" w:rsidRPr="006850F5" w:rsidTr="001D1FB3">
        <w:tc>
          <w:tcPr>
            <w:tcW w:w="428" w:type="dxa"/>
            <w:tcBorders>
              <w:top w:val="single" w:sz="12" w:space="0" w:color="auto"/>
            </w:tcBorders>
          </w:tcPr>
          <w:p w:rsidR="00BF593B" w:rsidRPr="003A2CB2" w:rsidRDefault="00140915" w:rsidP="00B66FDE">
            <w:pPr>
              <w:rPr>
                <w:sz w:val="20"/>
                <w:szCs w:val="20"/>
              </w:rPr>
            </w:pPr>
            <w:r>
              <w:rPr>
                <w:sz w:val="20"/>
                <w:szCs w:val="20"/>
              </w:rPr>
              <w:t>454</w:t>
            </w:r>
            <w:r w:rsidRPr="00140915">
              <w:rPr>
                <w:sz w:val="20"/>
                <w:szCs w:val="20"/>
              </w:rPr>
              <w:t>10</w:t>
            </w:r>
          </w:p>
        </w:tc>
        <w:tc>
          <w:tcPr>
            <w:tcW w:w="1381" w:type="dxa"/>
            <w:tcBorders>
              <w:top w:val="single" w:sz="12" w:space="0" w:color="auto"/>
            </w:tcBorders>
          </w:tcPr>
          <w:p w:rsidR="00BF593B" w:rsidRPr="003A2CB2" w:rsidRDefault="003B6FEC" w:rsidP="00B66FDE">
            <w:pPr>
              <w:spacing w:line="276" w:lineRule="auto"/>
              <w:rPr>
                <w:sz w:val="20"/>
                <w:szCs w:val="20"/>
              </w:rPr>
            </w:pPr>
            <w:r w:rsidRPr="003A2CB2">
              <w:rPr>
                <w:sz w:val="20"/>
                <w:szCs w:val="20"/>
              </w:rPr>
              <w:t>Plocha revitalizovaného území</w:t>
            </w:r>
          </w:p>
        </w:tc>
        <w:tc>
          <w:tcPr>
            <w:tcW w:w="1134" w:type="dxa"/>
            <w:tcBorders>
              <w:top w:val="single" w:sz="12" w:space="0" w:color="auto"/>
            </w:tcBorders>
          </w:tcPr>
          <w:p w:rsidR="00BF593B" w:rsidRPr="003A2CB2" w:rsidRDefault="0033290F" w:rsidP="00B66FDE">
            <w:pPr>
              <w:spacing w:line="276" w:lineRule="auto"/>
              <w:rPr>
                <w:sz w:val="20"/>
                <w:szCs w:val="20"/>
              </w:rPr>
            </w:pPr>
            <w:r w:rsidRPr="0033290F">
              <w:rPr>
                <w:sz w:val="20"/>
                <w:szCs w:val="20"/>
              </w:rPr>
              <w:t>ha</w:t>
            </w:r>
          </w:p>
        </w:tc>
        <w:tc>
          <w:tcPr>
            <w:tcW w:w="1134" w:type="dxa"/>
            <w:tcBorders>
              <w:top w:val="single" w:sz="12" w:space="0" w:color="auto"/>
            </w:tcBorders>
          </w:tcPr>
          <w:p w:rsidR="00BF593B" w:rsidRPr="003A2CB2" w:rsidRDefault="0033290F" w:rsidP="00B66FDE">
            <w:pPr>
              <w:spacing w:line="276" w:lineRule="auto"/>
              <w:rPr>
                <w:sz w:val="20"/>
                <w:szCs w:val="20"/>
              </w:rPr>
            </w:pPr>
            <w:r w:rsidRPr="0033290F">
              <w:rPr>
                <w:sz w:val="20"/>
                <w:szCs w:val="20"/>
              </w:rPr>
              <w:t>Méně rozvinuté regiony</w:t>
            </w:r>
          </w:p>
        </w:tc>
        <w:tc>
          <w:tcPr>
            <w:tcW w:w="993" w:type="dxa"/>
            <w:tcBorders>
              <w:top w:val="single" w:sz="12" w:space="0" w:color="auto"/>
            </w:tcBorders>
          </w:tcPr>
          <w:p w:rsidR="00BF593B" w:rsidRPr="003A2CB2" w:rsidRDefault="0033290F" w:rsidP="00B66FDE">
            <w:pPr>
              <w:spacing w:line="276" w:lineRule="auto"/>
              <w:rPr>
                <w:sz w:val="20"/>
                <w:szCs w:val="20"/>
              </w:rPr>
            </w:pPr>
            <w:r w:rsidRPr="0033290F">
              <w:rPr>
                <w:sz w:val="20"/>
                <w:szCs w:val="20"/>
              </w:rPr>
              <w:t xml:space="preserve"> 35 750</w:t>
            </w:r>
          </w:p>
        </w:tc>
        <w:tc>
          <w:tcPr>
            <w:tcW w:w="992" w:type="dxa"/>
            <w:tcBorders>
              <w:top w:val="single" w:sz="12" w:space="0" w:color="auto"/>
            </w:tcBorders>
          </w:tcPr>
          <w:p w:rsidR="00BF593B" w:rsidRPr="003A2CB2" w:rsidRDefault="0033290F" w:rsidP="00B66FDE">
            <w:pPr>
              <w:spacing w:line="276" w:lineRule="auto"/>
              <w:rPr>
                <w:sz w:val="20"/>
                <w:szCs w:val="20"/>
              </w:rPr>
            </w:pPr>
            <w:r w:rsidRPr="0033290F">
              <w:rPr>
                <w:sz w:val="20"/>
                <w:szCs w:val="20"/>
              </w:rPr>
              <w:t>2014</w:t>
            </w:r>
          </w:p>
        </w:tc>
        <w:tc>
          <w:tcPr>
            <w:tcW w:w="1083" w:type="dxa"/>
            <w:tcBorders>
              <w:top w:val="single" w:sz="12" w:space="0" w:color="auto"/>
            </w:tcBorders>
          </w:tcPr>
          <w:p w:rsidR="00BF593B" w:rsidRPr="003A2CB2" w:rsidRDefault="0033290F" w:rsidP="00B66FDE">
            <w:pPr>
              <w:spacing w:line="276" w:lineRule="auto"/>
              <w:rPr>
                <w:sz w:val="20"/>
                <w:szCs w:val="20"/>
              </w:rPr>
            </w:pPr>
            <w:r w:rsidRPr="0033290F">
              <w:rPr>
                <w:sz w:val="20"/>
                <w:szCs w:val="20"/>
              </w:rPr>
              <w:t xml:space="preserve">49 820 </w:t>
            </w:r>
          </w:p>
        </w:tc>
        <w:tc>
          <w:tcPr>
            <w:tcW w:w="901" w:type="dxa"/>
            <w:tcBorders>
              <w:top w:val="single" w:sz="12" w:space="0" w:color="auto"/>
            </w:tcBorders>
          </w:tcPr>
          <w:p w:rsidR="00BF593B" w:rsidRPr="003A2CB2" w:rsidRDefault="005B1781" w:rsidP="00B66FDE">
            <w:pPr>
              <w:spacing w:line="276" w:lineRule="auto"/>
              <w:rPr>
                <w:sz w:val="20"/>
                <w:szCs w:val="20"/>
              </w:rPr>
            </w:pPr>
            <w:r>
              <w:rPr>
                <w:rFonts w:cs="Calibri"/>
                <w:sz w:val="20"/>
                <w:szCs w:val="20"/>
              </w:rPr>
              <w:t>ŘO</w:t>
            </w:r>
          </w:p>
        </w:tc>
        <w:tc>
          <w:tcPr>
            <w:tcW w:w="1240" w:type="dxa"/>
            <w:tcBorders>
              <w:top w:val="single" w:sz="12" w:space="0" w:color="auto"/>
            </w:tcBorders>
          </w:tcPr>
          <w:p w:rsidR="00BF593B" w:rsidRPr="003A2CB2" w:rsidRDefault="0033290F" w:rsidP="00B66FDE">
            <w:pPr>
              <w:spacing w:line="276" w:lineRule="auto"/>
              <w:rPr>
                <w:sz w:val="20"/>
                <w:szCs w:val="20"/>
              </w:rPr>
            </w:pPr>
            <w:r w:rsidRPr="0033290F">
              <w:rPr>
                <w:sz w:val="20"/>
                <w:szCs w:val="20"/>
              </w:rPr>
              <w:t>Průběžně</w:t>
            </w:r>
          </w:p>
        </w:tc>
      </w:tr>
    </w:tbl>
    <w:p w:rsidR="00BF593B" w:rsidRPr="004314F4" w:rsidRDefault="00BF593B" w:rsidP="00B66FDE"/>
    <w:p w:rsidR="00BF593B" w:rsidRPr="00BE7616" w:rsidRDefault="008139EB" w:rsidP="00165854">
      <w:pPr>
        <w:pStyle w:val="Nadpis4"/>
      </w:pPr>
      <w:bookmarkStart w:id="2773" w:name="_Toc392151043"/>
      <w:r>
        <w:lastRenderedPageBreak/>
        <w:t>Opatření, jež má být podpořeno v rámci investiční priority</w:t>
      </w:r>
      <w:bookmarkEnd w:id="2773"/>
    </w:p>
    <w:p w:rsidR="0031631F" w:rsidRDefault="00BF593B" w:rsidP="00165854">
      <w:pPr>
        <w:pStyle w:val="Nadpis5"/>
      </w:pPr>
      <w:bookmarkStart w:id="2774" w:name="_Toc392151044"/>
      <w:r w:rsidRPr="004314F4">
        <w:t xml:space="preserve">Popis typů </w:t>
      </w:r>
      <w:r w:rsidR="008139EB">
        <w:t xml:space="preserve">a </w:t>
      </w:r>
      <w:r w:rsidR="008139EB" w:rsidRPr="004314F4">
        <w:t>příkladů</w:t>
      </w:r>
      <w:r w:rsidR="008139EB">
        <w:t xml:space="preserve"> opatření, která mají být podporována, a jejich očekávaný přínos k plnění specifických cílů, případně včetně určení hlavních cílových skupin, konkrétních cílových území a druhů příjemců</w:t>
      </w:r>
      <w:bookmarkEnd w:id="2774"/>
    </w:p>
    <w:p w:rsidR="0012189A" w:rsidRPr="004314F4" w:rsidRDefault="0012189A" w:rsidP="006103BA">
      <w:pPr>
        <w:pStyle w:val="Nadpis6"/>
      </w:pPr>
      <w:r w:rsidRPr="004314F4">
        <w:t>Specifický cíl</w:t>
      </w:r>
      <w:r w:rsidR="003B6FEC">
        <w:t xml:space="preserve"> 1 Posílit biodiverzitu na majetku </w:t>
      </w:r>
      <w:r w:rsidR="008E1FDF">
        <w:t>ČR</w:t>
      </w:r>
      <w:r w:rsidR="008E1FDF">
        <w:rPr>
          <w:rFonts w:ascii="Cambria" w:hAnsi="Cambria"/>
        </w:rPr>
        <w:t xml:space="preserve">, ve správě rezortních organizací </w:t>
      </w:r>
      <w:proofErr w:type="gramStart"/>
      <w:r w:rsidR="008E1FDF">
        <w:rPr>
          <w:rFonts w:ascii="Cambria" w:hAnsi="Cambria"/>
        </w:rPr>
        <w:t>MŽP</w:t>
      </w:r>
      <w:r w:rsidR="008E1FDF" w:rsidDel="008E1FDF">
        <w:t xml:space="preserve"> </w:t>
      </w:r>
      <w:r w:rsidR="003B6FEC">
        <w:t xml:space="preserve">  </w:t>
      </w:r>
      <w:r w:rsidR="003B6FEC" w:rsidRPr="004314F4">
        <w:t>Specifický</w:t>
      </w:r>
      <w:proofErr w:type="gramEnd"/>
      <w:r w:rsidR="003B6FEC" w:rsidRPr="004314F4">
        <w:t xml:space="preserve"> cíl</w:t>
      </w:r>
      <w:r w:rsidRPr="004314F4">
        <w:t xml:space="preserve"> </w:t>
      </w:r>
      <w:r w:rsidR="00696C0A">
        <w:t>2</w:t>
      </w:r>
      <w:r w:rsidRPr="004314F4">
        <w:t>: Posílit biodiverzitu</w:t>
      </w:r>
    </w:p>
    <w:p w:rsidR="00674BC9" w:rsidRDefault="003B1A3E">
      <w:pPr>
        <w:spacing w:after="0" w:afterAutospacing="0"/>
      </w:pPr>
      <w:r w:rsidRPr="004314F4">
        <w:t xml:space="preserve">Podporované aktivity v rámci </w:t>
      </w:r>
      <w:r w:rsidR="003B6FEC" w:rsidRPr="004314F4">
        <w:t>specifick</w:t>
      </w:r>
      <w:r w:rsidR="003B6FEC">
        <w:t>ých</w:t>
      </w:r>
      <w:r w:rsidR="003B6FEC" w:rsidRPr="004314F4">
        <w:t xml:space="preserve"> cíl</w:t>
      </w:r>
      <w:r w:rsidR="003B6FEC">
        <w:t>ů 4.1 a</w:t>
      </w:r>
      <w:r w:rsidR="003B6FEC" w:rsidRPr="004314F4">
        <w:t xml:space="preserve"> </w:t>
      </w:r>
      <w:r w:rsidRPr="004314F4">
        <w:t>4.</w:t>
      </w:r>
      <w:r w:rsidR="00696C0A">
        <w:t>2</w:t>
      </w:r>
      <w:r w:rsidR="00696C0A" w:rsidRPr="004314F4">
        <w:t xml:space="preserve"> </w:t>
      </w:r>
      <w:r w:rsidRPr="004314F4">
        <w:t>- budou:</w:t>
      </w:r>
    </w:p>
    <w:p w:rsidR="00674BC9" w:rsidRDefault="007B3671" w:rsidP="00495FC1">
      <w:pPr>
        <w:pStyle w:val="Odstavecseseznamem"/>
        <w:numPr>
          <w:ilvl w:val="0"/>
          <w:numId w:val="32"/>
        </w:numPr>
        <w:spacing w:after="0" w:afterAutospacing="0"/>
      </w:pPr>
      <w:r>
        <w:t>p</w:t>
      </w:r>
      <w:r w:rsidR="00235791" w:rsidRPr="00235791">
        <w:t>éče o vzácné druhy</w:t>
      </w:r>
      <w:r w:rsidR="008E1FDF">
        <w:t xml:space="preserve"> </w:t>
      </w:r>
      <w:r w:rsidR="008E1FDF" w:rsidRPr="004116D5">
        <w:t>(ve volné krajině i urbanizovaném prostředí)</w:t>
      </w:r>
      <w:r w:rsidR="00235791" w:rsidRPr="00235791">
        <w:t xml:space="preserve"> a jejich biotopy vč.</w:t>
      </w:r>
      <w:r w:rsidR="00CA7A0C">
        <w:t> </w:t>
      </w:r>
      <w:r w:rsidR="00235791" w:rsidRPr="00235791">
        <w:t>obnovy a tvorby těchto biotopů</w:t>
      </w:r>
      <w:r>
        <w:t>,</w:t>
      </w:r>
    </w:p>
    <w:p w:rsidR="006F7D80" w:rsidRDefault="007B3671" w:rsidP="00495FC1">
      <w:pPr>
        <w:pStyle w:val="Odstavecseseznamem"/>
        <w:numPr>
          <w:ilvl w:val="0"/>
          <w:numId w:val="32"/>
        </w:numPr>
      </w:pPr>
      <w:r>
        <w:t>p</w:t>
      </w:r>
      <w:r w:rsidR="00235791" w:rsidRPr="00235791">
        <w:t>éče o cenná stanoviště a jejich obnova a tvorba</w:t>
      </w:r>
      <w:r>
        <w:t>,</w:t>
      </w:r>
    </w:p>
    <w:p w:rsidR="006F7D80" w:rsidRDefault="007B3671" w:rsidP="00495FC1">
      <w:pPr>
        <w:pStyle w:val="Odstavecseseznamem"/>
        <w:numPr>
          <w:ilvl w:val="0"/>
          <w:numId w:val="32"/>
        </w:numPr>
      </w:pPr>
      <w:r>
        <w:t>z</w:t>
      </w:r>
      <w:r w:rsidR="00235791" w:rsidRPr="00235791">
        <w:t>ajišťování péče o zvláště chráněná území (ZCHÚ) i lokality soustavy Natura 2000. Sběr informací, tvorba informačních a technických nástrojů a podkladů pro zajištění ochrany a péče o ZCHÚ a území soustavy Natura 2000 a o cílové organismy</w:t>
      </w:r>
      <w:r>
        <w:t>,</w:t>
      </w:r>
      <w:r w:rsidR="00235791" w:rsidRPr="00235791" w:rsidDel="00B030F6">
        <w:t xml:space="preserve"> </w:t>
      </w:r>
    </w:p>
    <w:p w:rsidR="006F7D80" w:rsidRDefault="007B3671" w:rsidP="00495FC1">
      <w:pPr>
        <w:pStyle w:val="Odstavecseseznamem"/>
        <w:numPr>
          <w:ilvl w:val="0"/>
          <w:numId w:val="32"/>
        </w:numPr>
      </w:pPr>
      <w:r>
        <w:t>p</w:t>
      </w:r>
      <w:r w:rsidR="00235791" w:rsidRPr="00235791">
        <w:t>revence šíření a omezování výskytu invazních druhů (včetně jejich sledování, hodnocení rizik a tvorby metodických a koncepčních podkladů a nástrojů)</w:t>
      </w:r>
      <w:r>
        <w:t>,</w:t>
      </w:r>
    </w:p>
    <w:p w:rsidR="006F7D80" w:rsidRDefault="007B3671" w:rsidP="00495FC1">
      <w:pPr>
        <w:pStyle w:val="Odstavecseseznamem"/>
        <w:numPr>
          <w:ilvl w:val="0"/>
          <w:numId w:val="32"/>
        </w:numPr>
      </w:pPr>
      <w:r>
        <w:t>p</w:t>
      </w:r>
      <w:r w:rsidR="00235791" w:rsidRPr="00235791">
        <w:t xml:space="preserve">ředcházení, minimalizace a náprava škod </w:t>
      </w:r>
      <w:r w:rsidR="005C59AA">
        <w:t>z</w:t>
      </w:r>
      <w:r w:rsidR="00235791" w:rsidRPr="00235791">
        <w:t>působených zvláště chráněnými druhy živočichů na majetku</w:t>
      </w:r>
      <w:r w:rsidR="003161F6" w:rsidRPr="003161F6">
        <w:t xml:space="preserve"> </w:t>
      </w:r>
      <w:r w:rsidR="003161F6">
        <w:t>(s výjimkou opatření proti rybožravým predátorům podporovaným v rámci akvakultury prostřednictvím OP Rybářství)</w:t>
      </w:r>
      <w:r>
        <w:t>,</w:t>
      </w:r>
    </w:p>
    <w:p w:rsidR="005E5B38" w:rsidRDefault="007B3671" w:rsidP="00495FC1">
      <w:pPr>
        <w:pStyle w:val="Odstavecseseznamem"/>
        <w:numPr>
          <w:ilvl w:val="0"/>
          <w:numId w:val="32"/>
        </w:numPr>
      </w:pPr>
      <w:r>
        <w:t>b</w:t>
      </w:r>
      <w:r w:rsidR="00235791" w:rsidRPr="00235791">
        <w:t>udování a údržba návštěvnické infrastruktury</w:t>
      </w:r>
      <w:r w:rsidR="00A66796">
        <w:t xml:space="preserve"> v ZCHÚ a území soustavy NATURA 2000</w:t>
      </w:r>
      <w:r w:rsidR="005E5B38">
        <w:t>.</w:t>
      </w:r>
    </w:p>
    <w:p w:rsidR="00674BC9" w:rsidRDefault="00764C1D">
      <w:pPr>
        <w:spacing w:after="0" w:afterAutospacing="0"/>
      </w:pPr>
      <w:r w:rsidRPr="00764C1D">
        <w:t>Typy podporovaných opatření</w:t>
      </w:r>
      <w:r w:rsidR="00C34CBC" w:rsidRPr="004314F4">
        <w:t>:</w:t>
      </w:r>
    </w:p>
    <w:p w:rsidR="00674BC9" w:rsidRDefault="007B3671" w:rsidP="00495FC1">
      <w:pPr>
        <w:pStyle w:val="Odstavecseseznamem"/>
        <w:numPr>
          <w:ilvl w:val="0"/>
          <w:numId w:val="33"/>
        </w:numPr>
        <w:spacing w:after="0" w:afterAutospacing="0"/>
      </w:pPr>
      <w:r>
        <w:t>z</w:t>
      </w:r>
      <w:r w:rsidR="00235791" w:rsidRPr="00235791">
        <w:t>ajištění ochrany a zlepšení stavu populací vzácných a ohrožených druhů a zlepšení kvality, příp. rozlohy jejich biotopů. Zlepšení podmínek pro obnovu druhové rozmanitosti krajiny</w:t>
      </w:r>
      <w:r>
        <w:t>,</w:t>
      </w:r>
    </w:p>
    <w:p w:rsidR="006F7D80" w:rsidRDefault="007B3671" w:rsidP="00495FC1">
      <w:pPr>
        <w:pStyle w:val="Odstavecseseznamem"/>
        <w:numPr>
          <w:ilvl w:val="0"/>
          <w:numId w:val="33"/>
        </w:numPr>
      </w:pPr>
      <w:r>
        <w:t>v</w:t>
      </w:r>
      <w:r w:rsidR="008E1FDF" w:rsidRPr="009074CE">
        <w:t>ytv</w:t>
      </w:r>
      <w:r w:rsidR="008E1FDF">
        <w:t>á</w:t>
      </w:r>
      <w:r w:rsidR="008E1FDF" w:rsidRPr="009074CE">
        <w:t xml:space="preserve">ření podmínek pro zachování druhů v urbanizovaném a jinak silně antropogenně ovlivněném prostředí (omezování ohrožujících faktorů, zvyšování nabídky hnízdišť, míst rozmnožování aj. zásadních prvků, včetně specifických potravních zdrojů, např. živných rostlin pro </w:t>
      </w:r>
      <w:proofErr w:type="gramStart"/>
      <w:r w:rsidR="008E1FDF" w:rsidRPr="009074CE">
        <w:t>hmyz)</w:t>
      </w:r>
      <w:r w:rsidR="008E1FDF">
        <w:t>.</w:t>
      </w:r>
      <w:r>
        <w:t>z</w:t>
      </w:r>
      <w:r w:rsidR="00235791" w:rsidRPr="00235791">
        <w:t>ajištění</w:t>
      </w:r>
      <w:proofErr w:type="gramEnd"/>
      <w:r w:rsidR="00235791" w:rsidRPr="00235791">
        <w:t xml:space="preserve"> ochrany cenných a ohrožených stanovišť a zlepšení jejich stavu. Podpora zlepšení funkcí ekosystémů</w:t>
      </w:r>
      <w:r>
        <w:t>,</w:t>
      </w:r>
    </w:p>
    <w:p w:rsidR="006F7D80" w:rsidRDefault="007B3671" w:rsidP="00495FC1">
      <w:pPr>
        <w:pStyle w:val="Odstavecseseznamem"/>
        <w:numPr>
          <w:ilvl w:val="0"/>
          <w:numId w:val="33"/>
        </w:numPr>
      </w:pPr>
      <w:r>
        <w:t>n</w:t>
      </w:r>
      <w:r w:rsidR="00235791" w:rsidRPr="00235791">
        <w:t xml:space="preserve">aplňování cílů a požadavků vyplývající z legislativy ES a mezinárodních úmluv v oblasti ochrany biologické rozmanitosti (včetně </w:t>
      </w:r>
      <w:r w:rsidR="005E5B38">
        <w:t>N</w:t>
      </w:r>
      <w:r w:rsidR="00235791" w:rsidRPr="00235791">
        <w:t>ag</w:t>
      </w:r>
      <w:r w:rsidR="005E5B38">
        <w:t>ojského protokolu o přístupu ke </w:t>
      </w:r>
      <w:r w:rsidR="00235791" w:rsidRPr="00235791">
        <w:t>genetickým zdrojům a sdílení přínosů z jejich využívání)</w:t>
      </w:r>
      <w:r>
        <w:t>,</w:t>
      </w:r>
    </w:p>
    <w:p w:rsidR="006F7D80" w:rsidRDefault="007B3671" w:rsidP="00495FC1">
      <w:pPr>
        <w:pStyle w:val="Odstavecseseznamem"/>
        <w:numPr>
          <w:ilvl w:val="0"/>
          <w:numId w:val="33"/>
        </w:numPr>
      </w:pPr>
      <w:r>
        <w:t>z</w:t>
      </w:r>
      <w:r w:rsidR="00235791" w:rsidRPr="00235791">
        <w:t>ajištění prevence a zmírnění škod způsoben</w:t>
      </w:r>
      <w:r w:rsidR="005E5B38">
        <w:t>ých zvláště chráněnými druhy na </w:t>
      </w:r>
      <w:r w:rsidR="00235791" w:rsidRPr="00235791">
        <w:t xml:space="preserve">zemědělských a lesnických kulturách, </w:t>
      </w:r>
      <w:r w:rsidR="0098054A">
        <w:t xml:space="preserve">hospodářských zvířatech, </w:t>
      </w:r>
      <w:r w:rsidR="00235791" w:rsidRPr="00235791">
        <w:t>stavbách apod. a</w:t>
      </w:r>
      <w:r>
        <w:t> </w:t>
      </w:r>
      <w:r w:rsidR="00235791" w:rsidRPr="00235791">
        <w:t>současně spolupráce a osvěta dotčených subjektů, která by omezila negativní vnímání těchto druhů člověkem vedoucí až k přímému ohrožení např. k ilegálnímu lovu</w:t>
      </w:r>
      <w:r>
        <w:t>,</w:t>
      </w:r>
    </w:p>
    <w:p w:rsidR="006F7D80" w:rsidRDefault="007B3671" w:rsidP="00495FC1">
      <w:pPr>
        <w:pStyle w:val="Odstavecseseznamem"/>
        <w:numPr>
          <w:ilvl w:val="0"/>
          <w:numId w:val="33"/>
        </w:numPr>
      </w:pPr>
      <w:r>
        <w:t>d</w:t>
      </w:r>
      <w:r w:rsidR="00235791" w:rsidRPr="00235791">
        <w:t>osažení stanovených cílů zvláště chráněných území a lokalit soustavy Natura 2000. Zajištění zachování či zlepšení příznivého stavu předmětů ochrany prostřednictvím realizace vhodných opatření</w:t>
      </w:r>
      <w:r>
        <w:t>,</w:t>
      </w:r>
    </w:p>
    <w:p w:rsidR="006F7D80" w:rsidRDefault="007B3671" w:rsidP="00495FC1">
      <w:pPr>
        <w:pStyle w:val="Odstavecseseznamem"/>
        <w:numPr>
          <w:ilvl w:val="0"/>
          <w:numId w:val="33"/>
        </w:numPr>
      </w:pPr>
      <w:r>
        <w:t>p</w:t>
      </w:r>
      <w:r w:rsidR="00235791" w:rsidRPr="00235791">
        <w:t>osílení příznivých podmínek pro zachování biologické rozmanitosti a zastavení poklesu biologické rozmanitosti</w:t>
      </w:r>
      <w:r>
        <w:t>,</w:t>
      </w:r>
    </w:p>
    <w:p w:rsidR="006F7D80" w:rsidRDefault="007B3671" w:rsidP="00495FC1">
      <w:pPr>
        <w:pStyle w:val="Odstavecseseznamem"/>
        <w:numPr>
          <w:ilvl w:val="0"/>
          <w:numId w:val="33"/>
        </w:numPr>
      </w:pPr>
      <w:r>
        <w:lastRenderedPageBreak/>
        <w:t>z</w:t>
      </w:r>
      <w:r w:rsidR="00235791" w:rsidRPr="00235791">
        <w:t>ajištění stavu, aby i základní krajinná matrice mimo chráněná území byla s těmito územími funkčně propojena z hlediska přírodních funkcí (migrační prostupnost krajiny, ekologická stabilita apod.) a byla chráněna před nepříz</w:t>
      </w:r>
      <w:r w:rsidR="005E5B38">
        <w:t>nivými dopady z širšího okolí a </w:t>
      </w:r>
      <w:r w:rsidR="00235791" w:rsidRPr="00235791">
        <w:t>zároveň, aby fungovala jako ohniska biodiverzity v krajině ČR</w:t>
      </w:r>
      <w:r>
        <w:t>,</w:t>
      </w:r>
    </w:p>
    <w:p w:rsidR="006F7D80" w:rsidRDefault="007B3671" w:rsidP="00495FC1">
      <w:pPr>
        <w:pStyle w:val="Odstavecseseznamem"/>
        <w:numPr>
          <w:ilvl w:val="0"/>
          <w:numId w:val="33"/>
        </w:numPr>
      </w:pPr>
      <w:r>
        <w:t>d</w:t>
      </w:r>
      <w:r w:rsidR="00235791" w:rsidRPr="00235791">
        <w:t>okončení implementace soustavy Natura 2000</w:t>
      </w:r>
      <w:r>
        <w:t>,</w:t>
      </w:r>
    </w:p>
    <w:p w:rsidR="006F7D80" w:rsidRDefault="007B3671" w:rsidP="00495FC1">
      <w:pPr>
        <w:pStyle w:val="Odstavecseseznamem"/>
        <w:numPr>
          <w:ilvl w:val="0"/>
          <w:numId w:val="33"/>
        </w:numPr>
      </w:pPr>
      <w:r>
        <w:t>i</w:t>
      </w:r>
      <w:r w:rsidR="00235791" w:rsidRPr="00235791">
        <w:t>mplementace cílů a požadavků vyplývající z legislativy ES zaměřené na řešení problematiky nepůvodních druhů</w:t>
      </w:r>
      <w:r>
        <w:t>,</w:t>
      </w:r>
    </w:p>
    <w:p w:rsidR="006F7D80" w:rsidRDefault="007B3671" w:rsidP="00495FC1">
      <w:pPr>
        <w:pStyle w:val="Odstavecseseznamem"/>
        <w:numPr>
          <w:ilvl w:val="0"/>
          <w:numId w:val="33"/>
        </w:numPr>
      </w:pPr>
      <w:r>
        <w:t>z</w:t>
      </w:r>
      <w:r w:rsidR="00235791" w:rsidRPr="00235791">
        <w:t>ajištění sledování nepůvodních druhů a včasná identifikace potencionálního nebezpečí nepůvodních invazních druhů a území zdrojových území pro šíření těchto druhů</w:t>
      </w:r>
      <w:r>
        <w:t>,</w:t>
      </w:r>
    </w:p>
    <w:p w:rsidR="006F7D80" w:rsidRDefault="007B3671" w:rsidP="00495FC1">
      <w:pPr>
        <w:pStyle w:val="Odstavecseseznamem"/>
        <w:numPr>
          <w:ilvl w:val="0"/>
          <w:numId w:val="33"/>
        </w:numPr>
      </w:pPr>
      <w:r>
        <w:rPr>
          <w:rFonts w:cs="Calibri"/>
        </w:rPr>
        <w:t>e</w:t>
      </w:r>
      <w:r w:rsidR="00FA6AA3" w:rsidRPr="00C47308">
        <w:rPr>
          <w:rFonts w:cs="Calibri"/>
        </w:rPr>
        <w:t xml:space="preserve">radikace </w:t>
      </w:r>
      <w:r w:rsidR="00235791" w:rsidRPr="00C47308">
        <w:rPr>
          <w:rFonts w:cs="Calibri"/>
        </w:rPr>
        <w:t>nově zjištěných rizikových druhů a omezení rozsahu invaze známých a</w:t>
      </w:r>
      <w:r>
        <w:rPr>
          <w:rFonts w:cs="Calibri"/>
        </w:rPr>
        <w:t> </w:t>
      </w:r>
      <w:r w:rsidR="00235791" w:rsidRPr="00C47308">
        <w:rPr>
          <w:rFonts w:cs="Calibri"/>
        </w:rPr>
        <w:t>nejvíce problematických druhů (bolševník, křídlatka, norek americký, mýval severní aj.) s prioritou eradikace či regulace zdrojových populací nebo populací ve vybraných územích (přírodně hodnotných, v rámci geomorfologicky ucelených jednotek atp.)</w:t>
      </w:r>
      <w:r>
        <w:rPr>
          <w:rFonts w:cs="Calibri"/>
        </w:rPr>
        <w:t>,</w:t>
      </w:r>
      <w:r w:rsidR="00235791" w:rsidRPr="00C47308">
        <w:rPr>
          <w:rFonts w:cs="Calibri"/>
        </w:rPr>
        <w:t xml:space="preserve"> </w:t>
      </w:r>
    </w:p>
    <w:p w:rsidR="006F7D80" w:rsidRDefault="007B3671" w:rsidP="00495FC1">
      <w:pPr>
        <w:pStyle w:val="Odstavecseseznamem"/>
        <w:numPr>
          <w:ilvl w:val="0"/>
          <w:numId w:val="33"/>
        </w:numPr>
      </w:pPr>
      <w:r>
        <w:t>z</w:t>
      </w:r>
      <w:r w:rsidR="00235791" w:rsidRPr="00235791">
        <w:t>lepšení předávání informací o ochraně přírody a biodiverzity a rozvoj spolupráce s</w:t>
      </w:r>
      <w:r>
        <w:t> </w:t>
      </w:r>
      <w:r w:rsidR="00235791" w:rsidRPr="00235791">
        <w:t>veřejností</w:t>
      </w:r>
      <w:r>
        <w:t>,</w:t>
      </w:r>
    </w:p>
    <w:p w:rsidR="006F7D80" w:rsidRDefault="007B3671" w:rsidP="00495FC1">
      <w:pPr>
        <w:pStyle w:val="Odstavecseseznamem"/>
        <w:numPr>
          <w:ilvl w:val="0"/>
          <w:numId w:val="33"/>
        </w:numPr>
      </w:pPr>
      <w:r>
        <w:t>z</w:t>
      </w:r>
      <w:r w:rsidR="00235791" w:rsidRPr="00235791">
        <w:t>ískání potřebných odborných informací pro efektivní a účinnou ochranu přírodních hodnot</w:t>
      </w:r>
      <w:r>
        <w:t>,</w:t>
      </w:r>
    </w:p>
    <w:p w:rsidR="00EA272B" w:rsidRPr="004314F4" w:rsidRDefault="007B3671" w:rsidP="00495FC1">
      <w:pPr>
        <w:pStyle w:val="Odstavecseseznamem"/>
        <w:numPr>
          <w:ilvl w:val="0"/>
          <w:numId w:val="33"/>
        </w:numPr>
      </w:pPr>
      <w:r>
        <w:t>o</w:t>
      </w:r>
      <w:r w:rsidR="00235791" w:rsidRPr="00235791">
        <w:t>ptimalizace návštěvnické infrastruktury ve zvláště chráněných území</w:t>
      </w:r>
      <w:r w:rsidR="00FA6AA3">
        <w:t>ch</w:t>
      </w:r>
      <w:r w:rsidR="00235791" w:rsidRPr="00235791">
        <w:t>.</w:t>
      </w:r>
    </w:p>
    <w:p w:rsidR="003B6FEC" w:rsidRDefault="003B1A3E" w:rsidP="00E62CBD">
      <w:r w:rsidRPr="004314F4">
        <w:t xml:space="preserve">Hlavní cílové skupiny: </w:t>
      </w:r>
    </w:p>
    <w:p w:rsidR="003B6FEC" w:rsidRPr="00345691" w:rsidRDefault="003B6FEC" w:rsidP="001A7CDE">
      <w:pPr>
        <w:spacing w:after="0" w:afterAutospacing="0"/>
        <w:rPr>
          <w:rFonts w:cs="Times New Roman"/>
        </w:rPr>
      </w:pPr>
      <w:r>
        <w:t xml:space="preserve">SC 4.1 Posílení biodiverzity na majetku </w:t>
      </w:r>
      <w:r w:rsidR="008E1FDF">
        <w:t>ČR, ve správě resortních organizací MŽP</w:t>
      </w:r>
      <w:r w:rsidRPr="004314F4">
        <w:t>:</w:t>
      </w:r>
      <w:r w:rsidRPr="00617916">
        <w:t xml:space="preserve"> </w:t>
      </w:r>
      <w:r>
        <w:rPr>
          <w:rFonts w:cs="Times New Roman"/>
        </w:rPr>
        <w:t xml:space="preserve">AOPK ČR, </w:t>
      </w:r>
      <w:r w:rsidRPr="0008738E">
        <w:rPr>
          <w:rFonts w:cs="Times New Roman"/>
        </w:rPr>
        <w:t>správy národních parků</w:t>
      </w:r>
      <w:r>
        <w:rPr>
          <w:rFonts w:cs="Times New Roman"/>
        </w:rPr>
        <w:t>, Správa jeskyní ČR</w:t>
      </w:r>
    </w:p>
    <w:p w:rsidR="00E62CBD" w:rsidRDefault="003B6FEC" w:rsidP="001A7CDE">
      <w:pPr>
        <w:spacing w:after="0" w:afterAutospacing="0"/>
      </w:pPr>
      <w:r>
        <w:t xml:space="preserve">SC 4.2 Posílení biodiverzity: </w:t>
      </w:r>
      <w:r w:rsidR="000918D2" w:rsidRPr="004314F4">
        <w:t xml:space="preserve">Vlastníci </w:t>
      </w:r>
      <w:r w:rsidR="00C34CBC" w:rsidRPr="004314F4">
        <w:t xml:space="preserve">a nájemci </w:t>
      </w:r>
      <w:r w:rsidR="000918D2" w:rsidRPr="004314F4">
        <w:t xml:space="preserve">pozemků, orgány </w:t>
      </w:r>
      <w:r w:rsidR="00FB1817" w:rsidRPr="004314F4">
        <w:t>státní správy</w:t>
      </w:r>
      <w:r w:rsidR="006007EB" w:rsidRPr="004314F4">
        <w:t xml:space="preserve"> a organizace podílející se na ochraně přírody a krajiny</w:t>
      </w:r>
    </w:p>
    <w:p w:rsidR="001A7CDE" w:rsidRPr="004314F4" w:rsidRDefault="001A7CDE" w:rsidP="001A7CDE">
      <w:pPr>
        <w:spacing w:after="0" w:afterAutospacing="0"/>
      </w:pPr>
    </w:p>
    <w:p w:rsidR="003B6FEC" w:rsidRDefault="003B1A3E" w:rsidP="00E62CBD">
      <w:bookmarkStart w:id="2775" w:name="_Toc384907467"/>
      <w:r w:rsidRPr="004314F4">
        <w:t>Cílová území:</w:t>
      </w:r>
      <w:bookmarkEnd w:id="2775"/>
      <w:r w:rsidRPr="004314F4">
        <w:t xml:space="preserve"> </w:t>
      </w:r>
    </w:p>
    <w:p w:rsidR="003B6FEC" w:rsidRDefault="003B6FEC" w:rsidP="001A7CDE">
      <w:pPr>
        <w:spacing w:after="0" w:afterAutospacing="0"/>
      </w:pPr>
      <w:r>
        <w:t xml:space="preserve">SC 4.1 Posílení biodiverzity na majetku </w:t>
      </w:r>
      <w:r w:rsidR="008E1FDF">
        <w:t>ČR</w:t>
      </w:r>
      <w:r w:rsidRPr="004314F4">
        <w:t xml:space="preserve"> </w:t>
      </w:r>
      <w:r>
        <w:t xml:space="preserve">ve </w:t>
      </w:r>
      <w:r w:rsidR="008E1FDF">
        <w:t>správě rezortních organizací MŽP</w:t>
      </w:r>
      <w:r w:rsidR="008E1FDF" w:rsidRPr="004314F4">
        <w:t>:</w:t>
      </w:r>
      <w:r w:rsidR="008E1FDF" w:rsidRPr="00617916">
        <w:t xml:space="preserve"> </w:t>
      </w:r>
      <w:r w:rsidR="0085768E">
        <w:t>majetek ČR, ve </w:t>
      </w:r>
      <w:r w:rsidR="008E1FDF">
        <w:t>správě rezortních organizací MŽP.</w:t>
      </w:r>
    </w:p>
    <w:p w:rsidR="00E62CBD" w:rsidRDefault="003B6FEC" w:rsidP="001A7CDE">
      <w:pPr>
        <w:spacing w:after="0" w:afterAutospacing="0"/>
      </w:pPr>
      <w:r>
        <w:t xml:space="preserve">SC 4.2 Posílení biodiverzity: </w:t>
      </w:r>
      <w:r w:rsidR="003B1A3E" w:rsidRPr="004314F4">
        <w:t>území celé ČR</w:t>
      </w:r>
      <w:r w:rsidR="004A2843">
        <w:t>, mimo území hl. města Prahy.</w:t>
      </w:r>
    </w:p>
    <w:p w:rsidR="001A7CDE" w:rsidRDefault="001A7CDE" w:rsidP="001A7CDE">
      <w:pPr>
        <w:spacing w:after="0" w:afterAutospacing="0"/>
      </w:pPr>
    </w:p>
    <w:p w:rsidR="00153CED" w:rsidRPr="007B3671" w:rsidRDefault="0033290F" w:rsidP="00153CED">
      <w:pPr>
        <w:rPr>
          <w:rFonts w:cs="Times New Roman"/>
          <w:b/>
        </w:rPr>
      </w:pPr>
      <w:r w:rsidRPr="0033290F">
        <w:rPr>
          <w:b/>
        </w:rPr>
        <w:t>Typy příjemců SC 4.1:</w:t>
      </w:r>
    </w:p>
    <w:p w:rsidR="00153CED" w:rsidRPr="00CA2D14" w:rsidRDefault="00153CED" w:rsidP="00153CED">
      <w:pPr>
        <w:spacing w:after="0" w:afterAutospacing="0"/>
        <w:rPr>
          <w:rFonts w:cs="Times New Roman"/>
        </w:rPr>
      </w:pPr>
      <w:r w:rsidRPr="00CA2D14">
        <w:rPr>
          <w:rFonts w:cs="Times New Roman"/>
        </w:rPr>
        <w:t>Právnické osoby:</w:t>
      </w:r>
    </w:p>
    <w:p w:rsidR="00153CED" w:rsidRPr="00CA2D14" w:rsidRDefault="00153CED" w:rsidP="00495FC1">
      <w:pPr>
        <w:pStyle w:val="Odstavecseseznamem"/>
        <w:numPr>
          <w:ilvl w:val="0"/>
          <w:numId w:val="106"/>
        </w:numPr>
        <w:spacing w:after="0" w:afterAutospacing="0"/>
        <w:jc w:val="left"/>
        <w:rPr>
          <w:rFonts w:cs="Times New Roman"/>
        </w:rPr>
      </w:pPr>
      <w:r w:rsidRPr="00CA2D14">
        <w:rPr>
          <w:rFonts w:cs="Times New Roman"/>
        </w:rPr>
        <w:t>AOPK ČR</w:t>
      </w:r>
      <w:r w:rsidR="007B3671">
        <w:rPr>
          <w:rFonts w:cs="Times New Roman"/>
        </w:rPr>
        <w:t>,</w:t>
      </w:r>
    </w:p>
    <w:p w:rsidR="00153CED" w:rsidRPr="00CA2D14" w:rsidRDefault="00153CED" w:rsidP="00495FC1">
      <w:pPr>
        <w:pStyle w:val="Odstavecseseznamem"/>
        <w:numPr>
          <w:ilvl w:val="0"/>
          <w:numId w:val="106"/>
        </w:numPr>
        <w:spacing w:after="0" w:afterAutospacing="0"/>
        <w:jc w:val="left"/>
        <w:rPr>
          <w:rFonts w:cs="Times New Roman"/>
        </w:rPr>
      </w:pPr>
      <w:r w:rsidRPr="00CA2D14">
        <w:rPr>
          <w:rFonts w:cs="Times New Roman"/>
        </w:rPr>
        <w:t>Správy národních parků</w:t>
      </w:r>
      <w:r w:rsidR="007B3671">
        <w:rPr>
          <w:rFonts w:cs="Times New Roman"/>
        </w:rPr>
        <w:t>,</w:t>
      </w:r>
    </w:p>
    <w:p w:rsidR="00153CED" w:rsidRPr="00CA2D14" w:rsidRDefault="00153CED" w:rsidP="00495FC1">
      <w:pPr>
        <w:pStyle w:val="Odstavecseseznamem"/>
        <w:numPr>
          <w:ilvl w:val="0"/>
          <w:numId w:val="106"/>
        </w:numPr>
        <w:jc w:val="left"/>
        <w:rPr>
          <w:rFonts w:cs="Times New Roman"/>
        </w:rPr>
      </w:pPr>
      <w:r w:rsidRPr="00CA2D14">
        <w:rPr>
          <w:rFonts w:cs="Times New Roman"/>
        </w:rPr>
        <w:t>Správa jeskyní ČR</w:t>
      </w:r>
      <w:r w:rsidR="007B3671">
        <w:rPr>
          <w:rFonts w:cs="Times New Roman"/>
        </w:rPr>
        <w:t>,</w:t>
      </w:r>
    </w:p>
    <w:p w:rsidR="00153CED" w:rsidRDefault="00153CED" w:rsidP="00153CED">
      <w:pPr>
        <w:rPr>
          <w:rFonts w:eastAsia="Times New Roman" w:cs="Arial"/>
        </w:rPr>
      </w:pPr>
      <w:r w:rsidRPr="00CA2D14">
        <w:rPr>
          <w:rFonts w:eastAsia="Times New Roman" w:cs="Arial"/>
        </w:rPr>
        <w:t>Pozn.: Okruh příjemců bude dále podrobněji definován v navazující dokumentaci.</w:t>
      </w:r>
    </w:p>
    <w:p w:rsidR="0036154B" w:rsidRPr="007B3671" w:rsidRDefault="0033290F" w:rsidP="0036154B">
      <w:pPr>
        <w:spacing w:after="0" w:afterAutospacing="0"/>
        <w:rPr>
          <w:rFonts w:cs="Times New Roman"/>
          <w:b/>
        </w:rPr>
      </w:pPr>
      <w:r w:rsidRPr="0033290F">
        <w:rPr>
          <w:b/>
        </w:rPr>
        <w:t>Typy příjemců SC 4.2</w:t>
      </w:r>
      <w:r w:rsidRPr="0033290F">
        <w:rPr>
          <w:rFonts w:cs="Times New Roman"/>
          <w:b/>
        </w:rPr>
        <w:t>:</w:t>
      </w:r>
    </w:p>
    <w:p w:rsidR="0036154B" w:rsidRPr="00CA2D14" w:rsidRDefault="007B3671" w:rsidP="00495FC1">
      <w:pPr>
        <w:pStyle w:val="Odstavecseseznamem"/>
        <w:numPr>
          <w:ilvl w:val="0"/>
          <w:numId w:val="106"/>
        </w:numPr>
        <w:spacing w:after="0" w:afterAutospacing="0"/>
        <w:jc w:val="left"/>
        <w:rPr>
          <w:rFonts w:cs="Times New Roman"/>
        </w:rPr>
      </w:pPr>
      <w:r>
        <w:rPr>
          <w:rFonts w:cs="Times New Roman"/>
        </w:rPr>
        <w:t>k</w:t>
      </w:r>
      <w:r w:rsidR="0036154B" w:rsidRPr="00CA2D14">
        <w:rPr>
          <w:rFonts w:cs="Times New Roman"/>
        </w:rPr>
        <w:t>raje</w:t>
      </w:r>
      <w:r>
        <w:rPr>
          <w:rFonts w:cs="Times New Roman"/>
        </w:rPr>
        <w:t>,</w:t>
      </w:r>
    </w:p>
    <w:p w:rsidR="0036154B" w:rsidRPr="00CA2D14" w:rsidRDefault="007B3671" w:rsidP="00495FC1">
      <w:pPr>
        <w:pStyle w:val="Odstavecseseznamem"/>
        <w:numPr>
          <w:ilvl w:val="0"/>
          <w:numId w:val="106"/>
        </w:numPr>
        <w:spacing w:after="0" w:afterAutospacing="0"/>
        <w:jc w:val="left"/>
        <w:rPr>
          <w:rFonts w:cs="Times New Roman"/>
        </w:rPr>
      </w:pPr>
      <w:r>
        <w:rPr>
          <w:rFonts w:cs="Times New Roman"/>
        </w:rPr>
        <w:t>o</w:t>
      </w:r>
      <w:r w:rsidR="0036154B" w:rsidRPr="00CA2D14">
        <w:rPr>
          <w:rFonts w:cs="Times New Roman"/>
        </w:rPr>
        <w:t>bce</w:t>
      </w:r>
      <w:r>
        <w:rPr>
          <w:rFonts w:cs="Times New Roman"/>
        </w:rPr>
        <w:t>,</w:t>
      </w:r>
    </w:p>
    <w:p w:rsidR="0036154B" w:rsidRPr="00CA2D14" w:rsidRDefault="0036154B" w:rsidP="00495FC1">
      <w:pPr>
        <w:pStyle w:val="Odstavecseseznamem"/>
        <w:numPr>
          <w:ilvl w:val="0"/>
          <w:numId w:val="106"/>
        </w:numPr>
        <w:jc w:val="left"/>
        <w:rPr>
          <w:rFonts w:cs="Times New Roman"/>
        </w:rPr>
      </w:pPr>
      <w:r w:rsidRPr="00CA2D14">
        <w:rPr>
          <w:rFonts w:cs="Times New Roman"/>
        </w:rPr>
        <w:lastRenderedPageBreak/>
        <w:t>dobrovolné svazky obcí</w:t>
      </w:r>
      <w:r w:rsidR="007B3671">
        <w:rPr>
          <w:rFonts w:cs="Times New Roman"/>
        </w:rPr>
        <w:t>,</w:t>
      </w:r>
    </w:p>
    <w:p w:rsidR="0036154B" w:rsidRPr="00CA2D14" w:rsidRDefault="00F625C4" w:rsidP="00495FC1">
      <w:pPr>
        <w:pStyle w:val="Odstavecseseznamem"/>
        <w:numPr>
          <w:ilvl w:val="0"/>
          <w:numId w:val="106"/>
        </w:numPr>
        <w:jc w:val="left"/>
        <w:rPr>
          <w:rFonts w:cs="Times New Roman"/>
        </w:rPr>
      </w:pPr>
      <w:r>
        <w:rPr>
          <w:rFonts w:cs="Times New Roman"/>
        </w:rPr>
        <w:t>příspěvkové organizace</w:t>
      </w:r>
      <w:r w:rsidR="007B3671">
        <w:rPr>
          <w:rFonts w:cs="Times New Roman"/>
        </w:rPr>
        <w:t>,</w:t>
      </w:r>
    </w:p>
    <w:p w:rsidR="0036154B" w:rsidRPr="00CA2D14" w:rsidRDefault="0036154B" w:rsidP="00495FC1">
      <w:pPr>
        <w:pStyle w:val="Odstavecseseznamem"/>
        <w:numPr>
          <w:ilvl w:val="0"/>
          <w:numId w:val="106"/>
        </w:numPr>
        <w:jc w:val="left"/>
        <w:rPr>
          <w:rFonts w:cs="Times New Roman"/>
        </w:rPr>
      </w:pPr>
      <w:r w:rsidRPr="00CA2D14">
        <w:rPr>
          <w:rFonts w:cs="Times New Roman"/>
        </w:rPr>
        <w:t>státní podniky</w:t>
      </w:r>
      <w:r w:rsidR="007B3671">
        <w:rPr>
          <w:rFonts w:cs="Times New Roman"/>
        </w:rPr>
        <w:t>,</w:t>
      </w:r>
    </w:p>
    <w:p w:rsidR="0036154B" w:rsidRPr="00CA2D14" w:rsidRDefault="0036154B" w:rsidP="00495FC1">
      <w:pPr>
        <w:pStyle w:val="Odstavecseseznamem"/>
        <w:numPr>
          <w:ilvl w:val="0"/>
          <w:numId w:val="106"/>
        </w:numPr>
        <w:jc w:val="left"/>
        <w:rPr>
          <w:rFonts w:cs="Times New Roman"/>
        </w:rPr>
      </w:pPr>
      <w:r w:rsidRPr="00CA2D14">
        <w:rPr>
          <w:rFonts w:cs="Times New Roman"/>
        </w:rPr>
        <w:t>vysoké školy</w:t>
      </w:r>
      <w:r w:rsidR="007B3671">
        <w:rPr>
          <w:rFonts w:cs="Times New Roman"/>
        </w:rPr>
        <w:t>,</w:t>
      </w:r>
    </w:p>
    <w:p w:rsidR="0036154B" w:rsidRPr="00CA2D14" w:rsidRDefault="0036154B" w:rsidP="00495FC1">
      <w:pPr>
        <w:pStyle w:val="Odstavecseseznamem"/>
        <w:numPr>
          <w:ilvl w:val="0"/>
          <w:numId w:val="106"/>
        </w:numPr>
        <w:jc w:val="left"/>
        <w:rPr>
          <w:rFonts w:cs="Times New Roman"/>
        </w:rPr>
      </w:pPr>
      <w:r w:rsidRPr="00CA2D14">
        <w:rPr>
          <w:rFonts w:cs="Times New Roman"/>
        </w:rPr>
        <w:t>organizační složky státu (s výjimkou pozemkových úřadů)</w:t>
      </w:r>
      <w:r w:rsidR="007B3671">
        <w:rPr>
          <w:rFonts w:cs="Times New Roman"/>
        </w:rPr>
        <w:t>,</w:t>
      </w:r>
    </w:p>
    <w:p w:rsidR="0036154B" w:rsidRPr="00CA2D14" w:rsidRDefault="0036154B" w:rsidP="00495FC1">
      <w:pPr>
        <w:pStyle w:val="Odstavecseseznamem"/>
        <w:numPr>
          <w:ilvl w:val="0"/>
          <w:numId w:val="106"/>
        </w:numPr>
        <w:jc w:val="left"/>
        <w:rPr>
          <w:rFonts w:cs="Times New Roman"/>
        </w:rPr>
      </w:pPr>
      <w:r w:rsidRPr="00CA2D14">
        <w:rPr>
          <w:rFonts w:cs="Times New Roman"/>
        </w:rPr>
        <w:t>veřejné výzkumné instituce</w:t>
      </w:r>
      <w:r w:rsidR="007B3671">
        <w:rPr>
          <w:rFonts w:cs="Times New Roman"/>
        </w:rPr>
        <w:t>,</w:t>
      </w:r>
    </w:p>
    <w:p w:rsidR="0036154B" w:rsidRPr="00CA2D14" w:rsidRDefault="0036154B" w:rsidP="00495FC1">
      <w:pPr>
        <w:pStyle w:val="Odstavecseseznamem"/>
        <w:numPr>
          <w:ilvl w:val="0"/>
          <w:numId w:val="106"/>
        </w:numPr>
        <w:jc w:val="left"/>
        <w:rPr>
          <w:rFonts w:cs="Times New Roman"/>
        </w:rPr>
      </w:pPr>
      <w:r w:rsidRPr="00CA2D14">
        <w:rPr>
          <w:rFonts w:cs="Times New Roman"/>
        </w:rPr>
        <w:t>spolky</w:t>
      </w:r>
      <w:r w:rsidR="007B3671">
        <w:rPr>
          <w:rFonts w:cs="Times New Roman"/>
        </w:rPr>
        <w:t>,</w:t>
      </w:r>
    </w:p>
    <w:p w:rsidR="0036154B" w:rsidRPr="00CA2D14" w:rsidRDefault="0036154B" w:rsidP="00495FC1">
      <w:pPr>
        <w:pStyle w:val="Odstavecseseznamem"/>
        <w:numPr>
          <w:ilvl w:val="0"/>
          <w:numId w:val="106"/>
        </w:numPr>
        <w:jc w:val="left"/>
        <w:rPr>
          <w:rFonts w:cs="Times New Roman"/>
        </w:rPr>
      </w:pPr>
      <w:r w:rsidRPr="00CA2D14">
        <w:rPr>
          <w:rFonts w:cs="Times New Roman"/>
        </w:rPr>
        <w:t>obecně prospěšné společnosti</w:t>
      </w:r>
      <w:r w:rsidR="007B3671">
        <w:rPr>
          <w:rFonts w:cs="Times New Roman"/>
        </w:rPr>
        <w:t>,</w:t>
      </w:r>
    </w:p>
    <w:p w:rsidR="0036154B" w:rsidRPr="00CA2D14" w:rsidRDefault="0036154B" w:rsidP="00495FC1">
      <w:pPr>
        <w:pStyle w:val="Odstavecseseznamem"/>
        <w:numPr>
          <w:ilvl w:val="0"/>
          <w:numId w:val="106"/>
        </w:numPr>
        <w:jc w:val="left"/>
        <w:rPr>
          <w:rFonts w:cs="Times New Roman"/>
        </w:rPr>
      </w:pPr>
      <w:r w:rsidRPr="00CA2D14">
        <w:rPr>
          <w:rFonts w:cs="Times New Roman"/>
        </w:rPr>
        <w:t>podnikatelské a nepodnikatelské subjekty</w:t>
      </w:r>
      <w:r w:rsidR="007B3671">
        <w:rPr>
          <w:rFonts w:cs="Times New Roman"/>
        </w:rPr>
        <w:t>.</w:t>
      </w:r>
    </w:p>
    <w:p w:rsidR="0036154B" w:rsidRPr="00CA2D14" w:rsidRDefault="0036154B" w:rsidP="0036154B">
      <w:pPr>
        <w:rPr>
          <w:rFonts w:cs="Times New Roman"/>
        </w:rPr>
      </w:pPr>
      <w:r w:rsidRPr="00CA2D14">
        <w:rPr>
          <w:rFonts w:cs="Times New Roman"/>
        </w:rPr>
        <w:t xml:space="preserve">Fyzické osoby </w:t>
      </w:r>
    </w:p>
    <w:p w:rsidR="0036154B" w:rsidRPr="00CA2D14" w:rsidRDefault="0036154B" w:rsidP="0036154B">
      <w:pPr>
        <w:rPr>
          <w:rFonts w:cs="Times New Roman"/>
        </w:rPr>
      </w:pPr>
      <w:r w:rsidRPr="00CA2D14">
        <w:rPr>
          <w:rFonts w:eastAsia="Times New Roman" w:cs="Arial"/>
        </w:rPr>
        <w:t>Pozn.: Okruh příjemců bude dále podrobněji definován v navazující dokumentaci.</w:t>
      </w:r>
    </w:p>
    <w:p w:rsidR="0012189A" w:rsidRPr="004314F4" w:rsidRDefault="0012189A" w:rsidP="00165854">
      <w:pPr>
        <w:pStyle w:val="Nadpis6"/>
      </w:pPr>
      <w:r w:rsidRPr="004314F4">
        <w:t xml:space="preserve">Specifický cíl </w:t>
      </w:r>
      <w:r w:rsidR="00ED2101">
        <w:t>3</w:t>
      </w:r>
      <w:r w:rsidRPr="004314F4">
        <w:t>: Posílit přirozené funkce krajiny</w:t>
      </w:r>
    </w:p>
    <w:p w:rsidR="00674BC9" w:rsidRDefault="003B1A3E">
      <w:pPr>
        <w:spacing w:after="0" w:afterAutospacing="0"/>
      </w:pPr>
      <w:r w:rsidRPr="004314F4">
        <w:t>Podporované aktivity v rámci specifického cíle 4.</w:t>
      </w:r>
      <w:r w:rsidR="00ED2101">
        <w:t>3</w:t>
      </w:r>
      <w:r w:rsidR="00ED2101" w:rsidRPr="004314F4">
        <w:t xml:space="preserve"> </w:t>
      </w:r>
      <w:r w:rsidRPr="004314F4">
        <w:t>- budou:</w:t>
      </w:r>
    </w:p>
    <w:p w:rsidR="00674BC9" w:rsidRDefault="007B3671" w:rsidP="00495FC1">
      <w:pPr>
        <w:pStyle w:val="Odstavecseseznamem"/>
        <w:numPr>
          <w:ilvl w:val="0"/>
          <w:numId w:val="34"/>
        </w:numPr>
        <w:spacing w:after="0" w:afterAutospacing="0"/>
      </w:pPr>
      <w:r>
        <w:t>z</w:t>
      </w:r>
      <w:r w:rsidR="00235791" w:rsidRPr="00235791">
        <w:t>průchodnění migračních bariér pro vodní a suchozemské živočichy</w:t>
      </w:r>
      <w:r w:rsidR="00913D88">
        <w:t xml:space="preserve"> a opatření k </w:t>
      </w:r>
      <w:r w:rsidR="00235791">
        <w:t xml:space="preserve">omezování </w:t>
      </w:r>
      <w:r w:rsidR="00235791" w:rsidRPr="00235791">
        <w:t>úmrtnosti živočichů spojené s rozvojem technické infrastruktury</w:t>
      </w:r>
      <w:r>
        <w:t>,</w:t>
      </w:r>
    </w:p>
    <w:p w:rsidR="006F7D80" w:rsidRDefault="007B3671" w:rsidP="00495FC1">
      <w:pPr>
        <w:pStyle w:val="Odstavecseseznamem"/>
        <w:numPr>
          <w:ilvl w:val="0"/>
          <w:numId w:val="34"/>
        </w:numPr>
      </w:pPr>
      <w:r>
        <w:t>v</w:t>
      </w:r>
      <w:r w:rsidR="007E13E4" w:rsidRPr="004E42EC">
        <w:t>ytváření, regenerace či posílení funkčnosti krajinných prvků a struktur</w:t>
      </w:r>
      <w:r w:rsidR="00913D88">
        <w:t>.</w:t>
      </w:r>
      <w:r>
        <w:t>,</w:t>
      </w:r>
    </w:p>
    <w:p w:rsidR="006F7D80" w:rsidRDefault="007B3671" w:rsidP="00495FC1">
      <w:pPr>
        <w:pStyle w:val="Odstavecseseznamem"/>
        <w:numPr>
          <w:ilvl w:val="0"/>
          <w:numId w:val="34"/>
        </w:numPr>
      </w:pPr>
      <w:r>
        <w:t>r</w:t>
      </w:r>
      <w:r w:rsidR="00235791" w:rsidRPr="00235791">
        <w:t xml:space="preserve">evitalizace a podpora samovolné </w:t>
      </w:r>
      <w:proofErr w:type="spellStart"/>
      <w:r w:rsidR="00235791" w:rsidRPr="00235791">
        <w:t>renaturace</w:t>
      </w:r>
      <w:proofErr w:type="spellEnd"/>
      <w:r w:rsidR="00235791" w:rsidRPr="00235791">
        <w:t xml:space="preserve"> vodních toků a niv, obnova ekostabilizačních funkcí vodních a na vodu vázaných ekosystémů</w:t>
      </w:r>
      <w:r>
        <w:t>,</w:t>
      </w:r>
    </w:p>
    <w:p w:rsidR="006F7D80" w:rsidRDefault="007B3671" w:rsidP="00495FC1">
      <w:pPr>
        <w:pStyle w:val="Odstavecseseznamem"/>
        <w:numPr>
          <w:ilvl w:val="0"/>
          <w:numId w:val="34"/>
        </w:numPr>
      </w:pPr>
      <w:r>
        <w:t>z</w:t>
      </w:r>
      <w:r w:rsidR="00235791" w:rsidRPr="00235791">
        <w:t>lepšování druhové, věkové a prostorové struktury lesů (s výjimkou lesů ve vlastnictví státu) zařízených LHP mimo ZCHÚ a území soustavy Natura 2000</w:t>
      </w:r>
      <w:r>
        <w:t>,</w:t>
      </w:r>
    </w:p>
    <w:p w:rsidR="00742B2E" w:rsidRPr="00FF238E" w:rsidRDefault="007B3671" w:rsidP="00495FC1">
      <w:pPr>
        <w:pStyle w:val="Odstavecseseznamem"/>
        <w:numPr>
          <w:ilvl w:val="0"/>
          <w:numId w:val="34"/>
        </w:numPr>
      </w:pPr>
      <w:r>
        <w:t>r</w:t>
      </w:r>
      <w:r w:rsidR="00235791" w:rsidRPr="00235791">
        <w:t>ealizace přírodě blízkých opatření vyplývajících z</w:t>
      </w:r>
      <w:r w:rsidR="00913D88">
        <w:t> komplexních studií cílených na </w:t>
      </w:r>
      <w:r w:rsidR="00235791" w:rsidRPr="00235791">
        <w:t>zpomalení povrchového odtoku vody</w:t>
      </w:r>
      <w:r w:rsidR="007E13E4">
        <w:t xml:space="preserve">, </w:t>
      </w:r>
      <w:r w:rsidR="00235791" w:rsidRPr="00235791">
        <w:t>protierozní ochranu, a adaptaci na změnu klimatu</w:t>
      </w:r>
      <w:r w:rsidR="00913D88">
        <w:t>.</w:t>
      </w:r>
      <w:r w:rsidR="00235791" w:rsidRPr="00235791">
        <w:t xml:space="preserve">   </w:t>
      </w:r>
    </w:p>
    <w:p w:rsidR="00674BC9" w:rsidRDefault="00742B2E">
      <w:pPr>
        <w:spacing w:after="0" w:afterAutospacing="0"/>
      </w:pPr>
      <w:r w:rsidRPr="00235791">
        <w:t>Přínos k naplnění stanovených cílů:</w:t>
      </w:r>
    </w:p>
    <w:p w:rsidR="00674BC9" w:rsidRDefault="007B3671" w:rsidP="00495FC1">
      <w:pPr>
        <w:pStyle w:val="Odstavecseseznamem"/>
        <w:numPr>
          <w:ilvl w:val="0"/>
          <w:numId w:val="35"/>
        </w:numPr>
        <w:spacing w:after="0" w:afterAutospacing="0"/>
      </w:pPr>
      <w:r>
        <w:t>a</w:t>
      </w:r>
      <w:r w:rsidR="00235791" w:rsidRPr="00235791">
        <w:t xml:space="preserve">ktivity ke zprůchodnění migračních bariér </w:t>
      </w:r>
      <w:r w:rsidR="007E13E4" w:rsidRPr="00C47308">
        <w:rPr>
          <w:rFonts w:ascii="Times New Roman" w:hAnsi="Times New Roman"/>
        </w:rPr>
        <w:t>budou smě</w:t>
      </w:r>
      <w:r w:rsidR="007B5C50">
        <w:rPr>
          <w:rFonts w:ascii="Times New Roman" w:hAnsi="Times New Roman"/>
        </w:rPr>
        <w:t>ř</w:t>
      </w:r>
      <w:r w:rsidR="007E13E4" w:rsidRPr="00C47308">
        <w:rPr>
          <w:rFonts w:ascii="Times New Roman" w:hAnsi="Times New Roman"/>
        </w:rPr>
        <w:t xml:space="preserve">ovány prioritně do nejvíce problematických míst z hlediska průchodnosti krajiny pro velké savce a ostatní živočichy nebo dle míry jejich mortality na komunikacích (významné tahové cesty obojživelníků, místa, kde dochází k úhynu kriticky a silně ohrožených druhů apod.). </w:t>
      </w:r>
      <w:r w:rsidR="00BD6881" w:rsidRPr="00F00E67">
        <w:t>Obdobně bude zaměřena pozornost na obnovu prostupnosti vodních toků (výstavba rybích přechodů nebo odstraňování bariér jako jsou jezy, stupně) a omezení mortality ryb na vodních elektrárnác</w:t>
      </w:r>
      <w:r w:rsidR="00647376" w:rsidRPr="00F00E67">
        <w:t>h.</w:t>
      </w:r>
      <w:r w:rsidR="007E13E4" w:rsidRPr="00F00E67">
        <w:t xml:space="preserve"> Hlavním přínosem</w:t>
      </w:r>
      <w:r w:rsidR="007E13E4" w:rsidRPr="00C47308">
        <w:rPr>
          <w:rFonts w:ascii="Times New Roman" w:hAnsi="Times New Roman"/>
        </w:rPr>
        <w:t xml:space="preserve"> opatření by tak mělo být zl</w:t>
      </w:r>
      <w:r w:rsidR="00B71919" w:rsidRPr="00C47308">
        <w:rPr>
          <w:rFonts w:ascii="Times New Roman" w:hAnsi="Times New Roman"/>
        </w:rPr>
        <w:t>epšení prostupnosti krajiny pro </w:t>
      </w:r>
      <w:r w:rsidR="007E13E4" w:rsidRPr="00C47308">
        <w:rPr>
          <w:rFonts w:ascii="Times New Roman" w:hAnsi="Times New Roman"/>
        </w:rPr>
        <w:t>suchozemské i vodní organismy, posílení stability jejich populací a snížení negativních vlivů dopravy v oblasti zraňování a usmrcování živočichů</w:t>
      </w:r>
      <w:r>
        <w:rPr>
          <w:rFonts w:ascii="Times New Roman" w:hAnsi="Times New Roman"/>
        </w:rPr>
        <w:t>,</w:t>
      </w:r>
    </w:p>
    <w:p w:rsidR="006F7D80" w:rsidRDefault="007B3671" w:rsidP="00495FC1">
      <w:pPr>
        <w:pStyle w:val="Odstavecseseznamem"/>
        <w:numPr>
          <w:ilvl w:val="0"/>
          <w:numId w:val="35"/>
        </w:numPr>
      </w:pPr>
      <w:r>
        <w:t>p</w:t>
      </w:r>
      <w:r w:rsidR="00235791" w:rsidRPr="00235791">
        <w:t xml:space="preserve">řínos opatření ke zlepšování druhové, věkové a prostorové struktury lesů spočívá v přiblížení jejich stavu struktuře přirozené a nastolení systému hospodaření ve větším souladu s přírodními procesy. Lesní ekosystémy se stanou odolnějšími proti abiotickým a biotickým vlivům, zvýší se jejich stabilita a biodiverzita a potenciál jejich celospolečensky významných funkcí. Zacílení podpory na nestátní vlastníky lesů přispěje k jejich vyšší motivaci pro využití přírodě bližších forem obhospodařování lesů, přičemž </w:t>
      </w:r>
      <w:r w:rsidR="00235791" w:rsidRPr="00235791">
        <w:lastRenderedPageBreak/>
        <w:t>v lesích v majetku státu by takové formy hospodaření měly být aplikovány bez náhrady ve veřejném zájmu</w:t>
      </w:r>
      <w:r>
        <w:t>,</w:t>
      </w:r>
    </w:p>
    <w:p w:rsidR="00C34CBC" w:rsidRPr="004314F4" w:rsidRDefault="007B3671" w:rsidP="00495FC1">
      <w:pPr>
        <w:pStyle w:val="Odstavecseseznamem"/>
        <w:numPr>
          <w:ilvl w:val="0"/>
          <w:numId w:val="35"/>
        </w:numPr>
      </w:pPr>
      <w:r>
        <w:t>p</w:t>
      </w:r>
      <w:r w:rsidR="00235791" w:rsidRPr="00235791">
        <w:t>řínos dalšího uvedeného souboru aktivit spočívá v polyfunkčním významu krajinných prvků nebo struktur a ve využití potenciálu posílit zároveň celý komplex funkcí krajiny. Aktivity k obnově vodního režimu krajiny zaměřené na vodní toky, nivy a další vodní krajinné prvky zároveň podpoří ekologickou stabilitu krajiny, resp. stabilitu všech ekosystémů i biodiverzitu krajiny bez zvláštní územní ochrany a v neposlední řadě bude mít pozitivní vliv na území i předmět ochrany sítě Natura 2000. Zpomalení povrchového odtoku z povodí má v krajině také protierozní efekt a sni</w:t>
      </w:r>
      <w:r w:rsidR="00B71919">
        <w:t>žuje negativní dopady povodní a </w:t>
      </w:r>
      <w:r w:rsidR="00235791" w:rsidRPr="00235791">
        <w:t xml:space="preserve">přívalových dešťů na krajinu a objem a závažnost škod na majetku a zdraví osob. </w:t>
      </w:r>
    </w:p>
    <w:p w:rsidR="00BE7616" w:rsidRPr="004314F4" w:rsidRDefault="003B1A3E" w:rsidP="00B66FDE">
      <w:r w:rsidRPr="004314F4">
        <w:t xml:space="preserve">Hlavní cílové skupiny: </w:t>
      </w:r>
      <w:r w:rsidR="00841B28" w:rsidRPr="004314F4">
        <w:t xml:space="preserve">Vlastníci </w:t>
      </w:r>
      <w:r w:rsidR="00C34CBC" w:rsidRPr="004314F4">
        <w:t xml:space="preserve">a správci </w:t>
      </w:r>
      <w:r w:rsidR="00841B28" w:rsidRPr="004314F4">
        <w:t>pozemků</w:t>
      </w:r>
      <w:r w:rsidR="00414067" w:rsidRPr="004314F4">
        <w:t>, organizace pod</w:t>
      </w:r>
      <w:r w:rsidR="00B71919">
        <w:t>ílející se na ochraně přírody a </w:t>
      </w:r>
      <w:r w:rsidR="00414067" w:rsidRPr="004314F4">
        <w:t>krajiny</w:t>
      </w:r>
      <w:r w:rsidR="00A0592D">
        <w:t xml:space="preserve">, </w:t>
      </w:r>
      <w:r w:rsidR="00A0592D" w:rsidRPr="002C3A78">
        <w:t>správci povodí a správci vodních toků</w:t>
      </w:r>
    </w:p>
    <w:p w:rsidR="00BE7616" w:rsidRPr="004314F4" w:rsidRDefault="003B1A3E" w:rsidP="00B66FDE">
      <w:bookmarkStart w:id="2776" w:name="_Toc384907471"/>
      <w:r w:rsidRPr="004314F4">
        <w:t xml:space="preserve">Cílová území: území celé </w:t>
      </w:r>
      <w:r w:rsidR="00084AC1">
        <w:t>České republiky</w:t>
      </w:r>
      <w:bookmarkEnd w:id="2776"/>
      <w:r w:rsidR="004A2843">
        <w:t>, mimo území hl. města Prahy.</w:t>
      </w:r>
    </w:p>
    <w:p w:rsidR="005D5200" w:rsidRPr="007B3671" w:rsidRDefault="0033290F" w:rsidP="005D5200">
      <w:pPr>
        <w:spacing w:after="0" w:afterAutospacing="0"/>
        <w:rPr>
          <w:rFonts w:cs="Times New Roman"/>
          <w:b/>
        </w:rPr>
      </w:pPr>
      <w:r w:rsidRPr="0033290F">
        <w:rPr>
          <w:b/>
        </w:rPr>
        <w:t>Typy příjemců</w:t>
      </w:r>
      <w:r w:rsidRPr="0033290F">
        <w:rPr>
          <w:rFonts w:cs="Times New Roman"/>
          <w:b/>
        </w:rPr>
        <w:t>:</w:t>
      </w:r>
    </w:p>
    <w:p w:rsidR="005D5200" w:rsidRPr="00CA2D14" w:rsidRDefault="005D5200" w:rsidP="00495FC1">
      <w:pPr>
        <w:pStyle w:val="Odstavecseseznamem"/>
        <w:numPr>
          <w:ilvl w:val="0"/>
          <w:numId w:val="106"/>
        </w:numPr>
        <w:spacing w:after="0" w:afterAutospacing="0"/>
        <w:jc w:val="left"/>
        <w:rPr>
          <w:rFonts w:cs="Times New Roman"/>
        </w:rPr>
      </w:pPr>
      <w:r w:rsidRPr="00CA2D14">
        <w:rPr>
          <w:rFonts w:cs="Times New Roman"/>
        </w:rPr>
        <w:t>kraje</w:t>
      </w:r>
      <w:r w:rsidR="007B3671">
        <w:rPr>
          <w:rFonts w:cs="Times New Roman"/>
        </w:rPr>
        <w:t>,</w:t>
      </w:r>
    </w:p>
    <w:p w:rsidR="005D5200" w:rsidRPr="00CA2D14" w:rsidRDefault="005D5200" w:rsidP="00495FC1">
      <w:pPr>
        <w:pStyle w:val="Odstavecseseznamem"/>
        <w:numPr>
          <w:ilvl w:val="0"/>
          <w:numId w:val="106"/>
        </w:numPr>
        <w:spacing w:after="0" w:afterAutospacing="0"/>
        <w:jc w:val="left"/>
        <w:rPr>
          <w:rFonts w:cs="Times New Roman"/>
        </w:rPr>
      </w:pPr>
      <w:r w:rsidRPr="00CA2D14">
        <w:rPr>
          <w:rFonts w:cs="Times New Roman"/>
        </w:rPr>
        <w:t>obce</w:t>
      </w:r>
      <w:r w:rsidR="007B3671">
        <w:rPr>
          <w:rFonts w:cs="Times New Roman"/>
        </w:rPr>
        <w:t>,</w:t>
      </w:r>
    </w:p>
    <w:p w:rsidR="005D5200" w:rsidRPr="00CA2D14" w:rsidRDefault="005D5200" w:rsidP="00495FC1">
      <w:pPr>
        <w:pStyle w:val="Odstavecseseznamem"/>
        <w:numPr>
          <w:ilvl w:val="0"/>
          <w:numId w:val="106"/>
        </w:numPr>
        <w:spacing w:after="0" w:afterAutospacing="0"/>
        <w:jc w:val="left"/>
        <w:rPr>
          <w:rFonts w:cs="Times New Roman"/>
        </w:rPr>
      </w:pPr>
      <w:r w:rsidRPr="00CA2D14">
        <w:rPr>
          <w:rFonts w:cs="Times New Roman"/>
        </w:rPr>
        <w:t>příspěvko</w:t>
      </w:r>
      <w:r w:rsidR="007B3671">
        <w:rPr>
          <w:rFonts w:cs="Times New Roman"/>
        </w:rPr>
        <w:t>vé organizace,</w:t>
      </w:r>
    </w:p>
    <w:p w:rsidR="005D5200" w:rsidRPr="00CA2D14" w:rsidRDefault="005D5200" w:rsidP="00495FC1">
      <w:pPr>
        <w:pStyle w:val="Odstavecseseznamem"/>
        <w:numPr>
          <w:ilvl w:val="0"/>
          <w:numId w:val="106"/>
        </w:numPr>
        <w:jc w:val="left"/>
        <w:rPr>
          <w:rFonts w:cs="Times New Roman"/>
        </w:rPr>
      </w:pPr>
      <w:r w:rsidRPr="00CA2D14">
        <w:rPr>
          <w:rFonts w:cs="Times New Roman"/>
        </w:rPr>
        <w:t>dobrovolné svazky obcí</w:t>
      </w:r>
      <w:r w:rsidR="007B3671">
        <w:rPr>
          <w:rFonts w:cs="Times New Roman"/>
        </w:rPr>
        <w:t>,</w:t>
      </w:r>
    </w:p>
    <w:p w:rsidR="005D5200" w:rsidRPr="00CA2D14" w:rsidRDefault="005D5200" w:rsidP="00495FC1">
      <w:pPr>
        <w:pStyle w:val="Odstavecseseznamem"/>
        <w:numPr>
          <w:ilvl w:val="0"/>
          <w:numId w:val="106"/>
        </w:numPr>
        <w:jc w:val="left"/>
        <w:rPr>
          <w:rFonts w:cs="Times New Roman"/>
        </w:rPr>
      </w:pPr>
      <w:r w:rsidRPr="00CA2D14">
        <w:rPr>
          <w:rFonts w:cs="Times New Roman"/>
        </w:rPr>
        <w:t>státní podniky</w:t>
      </w:r>
      <w:r w:rsidR="007B3671">
        <w:rPr>
          <w:rFonts w:cs="Times New Roman"/>
        </w:rPr>
        <w:t>,</w:t>
      </w:r>
    </w:p>
    <w:p w:rsidR="005D5200" w:rsidRPr="00CA2D14" w:rsidRDefault="005D5200" w:rsidP="00495FC1">
      <w:pPr>
        <w:pStyle w:val="Odstavecseseznamem"/>
        <w:numPr>
          <w:ilvl w:val="0"/>
          <w:numId w:val="106"/>
        </w:numPr>
        <w:jc w:val="left"/>
        <w:rPr>
          <w:rFonts w:cs="Times New Roman"/>
        </w:rPr>
      </w:pPr>
      <w:r w:rsidRPr="00CA2D14">
        <w:rPr>
          <w:rFonts w:cs="Times New Roman"/>
        </w:rPr>
        <w:t>vysoké školy</w:t>
      </w:r>
      <w:r w:rsidR="007B3671">
        <w:rPr>
          <w:rFonts w:cs="Times New Roman"/>
        </w:rPr>
        <w:t>,</w:t>
      </w:r>
    </w:p>
    <w:p w:rsidR="005D5200" w:rsidRPr="00CA2D14" w:rsidRDefault="005D5200" w:rsidP="00495FC1">
      <w:pPr>
        <w:pStyle w:val="Odstavecseseznamem"/>
        <w:numPr>
          <w:ilvl w:val="0"/>
          <w:numId w:val="106"/>
        </w:numPr>
        <w:jc w:val="left"/>
        <w:rPr>
          <w:rFonts w:cs="Times New Roman"/>
        </w:rPr>
      </w:pPr>
      <w:r w:rsidRPr="00CA2D14">
        <w:rPr>
          <w:rFonts w:cs="Times New Roman"/>
        </w:rPr>
        <w:t>organizační složky státu (s výjimkou pozemkových úřadů)</w:t>
      </w:r>
      <w:r w:rsidR="007B3671">
        <w:rPr>
          <w:rFonts w:cs="Times New Roman"/>
        </w:rPr>
        <w:t>,</w:t>
      </w:r>
    </w:p>
    <w:p w:rsidR="005D5200" w:rsidRPr="00CA2D14" w:rsidRDefault="005D5200" w:rsidP="00495FC1">
      <w:pPr>
        <w:pStyle w:val="Odstavecseseznamem"/>
        <w:numPr>
          <w:ilvl w:val="0"/>
          <w:numId w:val="106"/>
        </w:numPr>
        <w:jc w:val="left"/>
        <w:rPr>
          <w:rFonts w:cs="Times New Roman"/>
        </w:rPr>
      </w:pPr>
      <w:r w:rsidRPr="00CA2D14">
        <w:rPr>
          <w:rFonts w:cs="Times New Roman"/>
        </w:rPr>
        <w:t>veřejné výzkumné instituce</w:t>
      </w:r>
      <w:r w:rsidR="007B3671">
        <w:rPr>
          <w:rFonts w:cs="Times New Roman"/>
        </w:rPr>
        <w:t>,</w:t>
      </w:r>
    </w:p>
    <w:p w:rsidR="005D5200" w:rsidRPr="00CA2D14" w:rsidRDefault="005D5200" w:rsidP="00495FC1">
      <w:pPr>
        <w:pStyle w:val="Odstavecseseznamem"/>
        <w:numPr>
          <w:ilvl w:val="0"/>
          <w:numId w:val="106"/>
        </w:numPr>
        <w:jc w:val="left"/>
        <w:rPr>
          <w:rFonts w:cs="Times New Roman"/>
        </w:rPr>
      </w:pPr>
      <w:r w:rsidRPr="00CA2D14">
        <w:rPr>
          <w:rFonts w:cs="Times New Roman"/>
        </w:rPr>
        <w:t>spolky</w:t>
      </w:r>
      <w:r w:rsidR="007B3671">
        <w:rPr>
          <w:rFonts w:cs="Times New Roman"/>
        </w:rPr>
        <w:t>,</w:t>
      </w:r>
    </w:p>
    <w:p w:rsidR="005D5200" w:rsidRPr="00CA2D14" w:rsidRDefault="005D5200" w:rsidP="00495FC1">
      <w:pPr>
        <w:pStyle w:val="Odstavecseseznamem"/>
        <w:numPr>
          <w:ilvl w:val="0"/>
          <w:numId w:val="106"/>
        </w:numPr>
        <w:jc w:val="left"/>
        <w:rPr>
          <w:rFonts w:cs="Times New Roman"/>
        </w:rPr>
      </w:pPr>
      <w:r w:rsidRPr="00CA2D14">
        <w:rPr>
          <w:rFonts w:cs="Times New Roman"/>
        </w:rPr>
        <w:t>obecně prospěšné společnosti</w:t>
      </w:r>
      <w:r w:rsidR="007B3671">
        <w:rPr>
          <w:rFonts w:cs="Times New Roman"/>
        </w:rPr>
        <w:t>,</w:t>
      </w:r>
    </w:p>
    <w:p w:rsidR="005D5200" w:rsidRPr="00CA2D14" w:rsidRDefault="005D5200" w:rsidP="00495FC1">
      <w:pPr>
        <w:pStyle w:val="Odstavecseseznamem"/>
        <w:numPr>
          <w:ilvl w:val="0"/>
          <w:numId w:val="106"/>
        </w:numPr>
        <w:jc w:val="left"/>
        <w:rPr>
          <w:rFonts w:cs="Times New Roman"/>
        </w:rPr>
      </w:pPr>
      <w:r w:rsidRPr="00CA2D14">
        <w:rPr>
          <w:rFonts w:cs="Times New Roman"/>
        </w:rPr>
        <w:t>podnikatelské a nepodnikatelské subjekty</w:t>
      </w:r>
      <w:r w:rsidR="007B3671">
        <w:rPr>
          <w:rFonts w:cs="Times New Roman"/>
        </w:rPr>
        <w:t>.</w:t>
      </w:r>
    </w:p>
    <w:p w:rsidR="005D5200" w:rsidRPr="00CA2D14" w:rsidRDefault="005D5200" w:rsidP="005D5200">
      <w:pPr>
        <w:rPr>
          <w:rFonts w:cs="Times New Roman"/>
        </w:rPr>
      </w:pPr>
      <w:r w:rsidRPr="00CA2D14">
        <w:rPr>
          <w:rFonts w:cs="Times New Roman"/>
        </w:rPr>
        <w:t xml:space="preserve">Fyzické osoby </w:t>
      </w:r>
    </w:p>
    <w:p w:rsidR="005D5200" w:rsidRPr="00CA2D14" w:rsidRDefault="005D5200" w:rsidP="005D5200">
      <w:pPr>
        <w:rPr>
          <w:rFonts w:cs="Times New Roman"/>
        </w:rPr>
      </w:pPr>
      <w:r w:rsidRPr="00CA2D14">
        <w:rPr>
          <w:rFonts w:eastAsia="Times New Roman" w:cs="Arial"/>
        </w:rPr>
        <w:t>Pozn.: Okruh příjemců bude dále podrobněji definován v navazující dokumentaci.</w:t>
      </w:r>
    </w:p>
    <w:p w:rsidR="0012189A" w:rsidRPr="004314F4" w:rsidRDefault="0012189A" w:rsidP="00165854">
      <w:pPr>
        <w:pStyle w:val="Nadpis6"/>
      </w:pPr>
      <w:r w:rsidRPr="004314F4">
        <w:t xml:space="preserve">Specifický cíl </w:t>
      </w:r>
      <w:r w:rsidR="00ED2101">
        <w:t>4</w:t>
      </w:r>
      <w:r w:rsidRPr="004314F4">
        <w:t>: Zlepšit kvalitu prostředí v sídlech</w:t>
      </w:r>
    </w:p>
    <w:p w:rsidR="00674BC9" w:rsidRDefault="003B1A3E">
      <w:pPr>
        <w:spacing w:after="0" w:afterAutospacing="0"/>
      </w:pPr>
      <w:r w:rsidRPr="004314F4">
        <w:t>Podporované aktivity v rámci specifického cíle 4.</w:t>
      </w:r>
      <w:r w:rsidR="00ED2101">
        <w:t>4</w:t>
      </w:r>
      <w:r w:rsidR="00ED2101" w:rsidRPr="004314F4">
        <w:t xml:space="preserve"> </w:t>
      </w:r>
      <w:r w:rsidRPr="004314F4">
        <w:t>- budou:</w:t>
      </w:r>
    </w:p>
    <w:p w:rsidR="00674BC9" w:rsidRDefault="007B3671" w:rsidP="00495FC1">
      <w:pPr>
        <w:pStyle w:val="Odstavecseseznamem"/>
        <w:numPr>
          <w:ilvl w:val="0"/>
          <w:numId w:val="36"/>
        </w:numPr>
        <w:spacing w:after="0" w:afterAutospacing="0"/>
      </w:pPr>
      <w:r>
        <w:t>r</w:t>
      </w:r>
      <w:r w:rsidR="00235791" w:rsidRPr="00235791">
        <w:t>evitalizace funkčních ploch a prvků sídelní zeleně</w:t>
      </w:r>
      <w:r w:rsidR="00B71919">
        <w:t>.</w:t>
      </w:r>
      <w:r w:rsidR="00235791" w:rsidRPr="00235791">
        <w:t xml:space="preserve"> </w:t>
      </w:r>
    </w:p>
    <w:p w:rsidR="00674BC9" w:rsidRDefault="00674BC9">
      <w:pPr>
        <w:pStyle w:val="Odstavecseseznamem"/>
        <w:spacing w:after="0" w:afterAutospacing="0"/>
      </w:pPr>
    </w:p>
    <w:p w:rsidR="00674BC9" w:rsidRDefault="00C34CBC">
      <w:pPr>
        <w:spacing w:after="0" w:afterAutospacing="0"/>
      </w:pPr>
      <w:r w:rsidRPr="00235791">
        <w:t>Přínos k naplnění stanovených cílů:</w:t>
      </w:r>
    </w:p>
    <w:p w:rsidR="00674BC9" w:rsidRDefault="007B3671" w:rsidP="00495FC1">
      <w:pPr>
        <w:pStyle w:val="Odstavecseseznamem"/>
        <w:numPr>
          <w:ilvl w:val="0"/>
          <w:numId w:val="36"/>
        </w:numPr>
        <w:spacing w:after="0" w:afterAutospacing="0"/>
      </w:pPr>
      <w:r>
        <w:t>z</w:t>
      </w:r>
      <w:r w:rsidR="00235791" w:rsidRPr="00235791">
        <w:t xml:space="preserve">výšení efektivity plánování, péče a ochrany zeleně, </w:t>
      </w:r>
      <w:r w:rsidR="008E1FDF">
        <w:t xml:space="preserve">doprovodných </w:t>
      </w:r>
      <w:r w:rsidR="00235791" w:rsidRPr="00235791">
        <w:t>vodních ploch a</w:t>
      </w:r>
      <w:r w:rsidR="00FB396F">
        <w:t> </w:t>
      </w:r>
      <w:r w:rsidR="00235791" w:rsidRPr="00235791">
        <w:t>prvků v</w:t>
      </w:r>
      <w:r>
        <w:t> </w:t>
      </w:r>
      <w:r w:rsidR="00235791" w:rsidRPr="00235791">
        <w:t>sídlech</w:t>
      </w:r>
      <w:r>
        <w:t>,</w:t>
      </w:r>
    </w:p>
    <w:p w:rsidR="006F7D80" w:rsidRDefault="007B3671" w:rsidP="00495FC1">
      <w:pPr>
        <w:pStyle w:val="Odstavecseseznamem"/>
        <w:numPr>
          <w:ilvl w:val="0"/>
          <w:numId w:val="36"/>
        </w:numPr>
      </w:pPr>
      <w:r>
        <w:t>z</w:t>
      </w:r>
      <w:r w:rsidR="00235791" w:rsidRPr="00235791">
        <w:t>lepšení životního prostředí v</w:t>
      </w:r>
      <w:r w:rsidR="00B71919">
        <w:t> </w:t>
      </w:r>
      <w:r w:rsidR="00235791" w:rsidRPr="00235791">
        <w:t>sídlech</w:t>
      </w:r>
      <w:r w:rsidR="00B71919">
        <w:t>.</w:t>
      </w:r>
    </w:p>
    <w:p w:rsidR="006F7D80" w:rsidRPr="00C47308" w:rsidRDefault="00F4653A" w:rsidP="00495FC1">
      <w:pPr>
        <w:pStyle w:val="Odstavecseseznamem"/>
        <w:numPr>
          <w:ilvl w:val="0"/>
          <w:numId w:val="37"/>
        </w:numPr>
        <w:rPr>
          <w:rFonts w:ascii="Times New Roman" w:hAnsi="Times New Roman" w:cs="Times New Roman"/>
        </w:rPr>
      </w:pPr>
      <w:r w:rsidRPr="00C47308">
        <w:rPr>
          <w:rFonts w:ascii="Times New Roman" w:hAnsi="Times New Roman" w:cs="Times New Roman"/>
        </w:rPr>
        <w:t xml:space="preserve">Posílení </w:t>
      </w:r>
      <w:r w:rsidR="008E1FDF">
        <w:rPr>
          <w:rFonts w:ascii="Times New Roman" w:hAnsi="Times New Roman" w:cs="Times New Roman"/>
        </w:rPr>
        <w:t xml:space="preserve">ekosystémových funkcí v sídlech, resp. </w:t>
      </w:r>
      <w:r w:rsidRPr="00C47308">
        <w:rPr>
          <w:rFonts w:ascii="Times New Roman" w:hAnsi="Times New Roman" w:cs="Times New Roman"/>
        </w:rPr>
        <w:t>ekologické stability a biodiverzity sídelního prostředí</w:t>
      </w:r>
      <w:r w:rsidR="00B71919" w:rsidRPr="00C47308">
        <w:rPr>
          <w:rFonts w:ascii="Times New Roman" w:hAnsi="Times New Roman" w:cs="Times New Roman"/>
        </w:rPr>
        <w:t>.</w:t>
      </w:r>
    </w:p>
    <w:p w:rsidR="006F7D80" w:rsidRPr="00C47308" w:rsidRDefault="00F4653A" w:rsidP="00495FC1">
      <w:pPr>
        <w:pStyle w:val="Odstavecseseznamem"/>
        <w:numPr>
          <w:ilvl w:val="0"/>
          <w:numId w:val="37"/>
        </w:numPr>
        <w:rPr>
          <w:rFonts w:ascii="Times New Roman" w:hAnsi="Times New Roman" w:cs="Times New Roman"/>
        </w:rPr>
      </w:pPr>
      <w:r w:rsidRPr="00C47308">
        <w:rPr>
          <w:rFonts w:ascii="Times New Roman" w:hAnsi="Times New Roman" w:cs="Times New Roman"/>
        </w:rPr>
        <w:lastRenderedPageBreak/>
        <w:t>Zlepšení hospodaření se srážkovými vodami (zvýšení retence, vsaku a výparu srážek v území, zvýšení odolnosti území proti suchu a přívalovým dešťům) s využitím vegetačních a vodních ploch a prvků v</w:t>
      </w:r>
      <w:r w:rsidR="00B71919" w:rsidRPr="00C47308">
        <w:rPr>
          <w:rFonts w:ascii="Times New Roman" w:hAnsi="Times New Roman" w:cs="Times New Roman"/>
        </w:rPr>
        <w:t> </w:t>
      </w:r>
      <w:r w:rsidRPr="00C47308">
        <w:rPr>
          <w:rFonts w:ascii="Times New Roman" w:hAnsi="Times New Roman" w:cs="Times New Roman"/>
        </w:rPr>
        <w:t>sídlech</w:t>
      </w:r>
      <w:r w:rsidR="00B71919" w:rsidRPr="00C47308">
        <w:rPr>
          <w:rFonts w:ascii="Times New Roman" w:hAnsi="Times New Roman" w:cs="Times New Roman"/>
        </w:rPr>
        <w:t>.</w:t>
      </w:r>
    </w:p>
    <w:p w:rsidR="006F7D80" w:rsidRDefault="00235791" w:rsidP="00495FC1">
      <w:pPr>
        <w:pStyle w:val="Odstavecseseznamem"/>
        <w:numPr>
          <w:ilvl w:val="0"/>
          <w:numId w:val="37"/>
        </w:numPr>
      </w:pPr>
      <w:r w:rsidRPr="00235791">
        <w:t>Zlepšení klimatických podmínek v sídle (menší výky</w:t>
      </w:r>
      <w:r w:rsidR="00B71919">
        <w:t>vy teplot, snížení průměrných a </w:t>
      </w:r>
      <w:r w:rsidRPr="00235791">
        <w:t>maximálních teplot, zvýšení vlhkosti vzduchu, snížení prašnosti) díky zvýšení podílu a kvality vegetačních a vodních ploch a prvků v</w:t>
      </w:r>
      <w:r w:rsidR="00B71919">
        <w:t> </w:t>
      </w:r>
      <w:r w:rsidRPr="00235791">
        <w:t>sídlech</w:t>
      </w:r>
      <w:r w:rsidR="00B71919">
        <w:t>.</w:t>
      </w:r>
    </w:p>
    <w:p w:rsidR="00C34CBC" w:rsidRPr="004314F4" w:rsidRDefault="00235791" w:rsidP="00495FC1">
      <w:pPr>
        <w:pStyle w:val="Odstavecseseznamem"/>
        <w:numPr>
          <w:ilvl w:val="0"/>
          <w:numId w:val="37"/>
        </w:numPr>
      </w:pPr>
      <w:r w:rsidRPr="00235791">
        <w:t>Zvýšení faktoru pohody a zlepšení podmínek pro rekreaci člověka v sídle (snížení průměrných a maximálních teplot, snížení prašnosti, snížení množství alergenů atd.)</w:t>
      </w:r>
      <w:r w:rsidR="00B71919">
        <w:t>.</w:t>
      </w:r>
    </w:p>
    <w:p w:rsidR="00BE7616" w:rsidRPr="004314F4" w:rsidRDefault="003B1A3E" w:rsidP="00B66FDE">
      <w:r w:rsidRPr="004314F4">
        <w:t xml:space="preserve">Hlavní cílové skupiny: </w:t>
      </w:r>
      <w:r w:rsidR="00C34CBC" w:rsidRPr="004314F4">
        <w:t xml:space="preserve"> Orgány veřejné správy, vlastníci a správci pozemků</w:t>
      </w:r>
      <w:r w:rsidR="007B3671">
        <w:t>.</w:t>
      </w:r>
    </w:p>
    <w:p w:rsidR="00BE7616" w:rsidRPr="004314F4" w:rsidRDefault="003B1A3E" w:rsidP="00B66FDE">
      <w:bookmarkStart w:id="2777" w:name="_Toc384907473"/>
      <w:r w:rsidRPr="004314F4">
        <w:t xml:space="preserve">Cílová území: území celé </w:t>
      </w:r>
      <w:r w:rsidR="00084AC1">
        <w:t>České republiky</w:t>
      </w:r>
      <w:bookmarkEnd w:id="2777"/>
      <w:r w:rsidR="004A2843">
        <w:t>, mimo území hl. města Prahy.</w:t>
      </w:r>
    </w:p>
    <w:p w:rsidR="005D5200" w:rsidRPr="007B3671" w:rsidRDefault="0033290F" w:rsidP="005D5200">
      <w:pPr>
        <w:rPr>
          <w:rFonts w:cs="Times New Roman"/>
          <w:b/>
        </w:rPr>
      </w:pPr>
      <w:r w:rsidRPr="0033290F">
        <w:rPr>
          <w:b/>
        </w:rPr>
        <w:t>Typy příjemců:</w:t>
      </w:r>
    </w:p>
    <w:p w:rsidR="005D5200" w:rsidRPr="00CA2D14" w:rsidRDefault="005D5200" w:rsidP="005D5200">
      <w:pPr>
        <w:spacing w:after="0" w:afterAutospacing="0"/>
        <w:rPr>
          <w:rFonts w:cs="Times New Roman"/>
        </w:rPr>
      </w:pPr>
      <w:r w:rsidRPr="00CA2D14">
        <w:rPr>
          <w:rFonts w:cs="Times New Roman"/>
        </w:rPr>
        <w:t>Právnické osoby:</w:t>
      </w:r>
    </w:p>
    <w:p w:rsidR="005D5200" w:rsidRPr="00CA2D14" w:rsidRDefault="007B3671" w:rsidP="00495FC1">
      <w:pPr>
        <w:pStyle w:val="Odstavecseseznamem"/>
        <w:numPr>
          <w:ilvl w:val="0"/>
          <w:numId w:val="106"/>
        </w:numPr>
        <w:spacing w:after="0" w:afterAutospacing="0"/>
        <w:jc w:val="left"/>
        <w:rPr>
          <w:rFonts w:cs="Times New Roman"/>
        </w:rPr>
      </w:pPr>
      <w:r>
        <w:rPr>
          <w:rFonts w:cs="Times New Roman"/>
        </w:rPr>
        <w:t>o</w:t>
      </w:r>
      <w:r w:rsidR="005D5200" w:rsidRPr="00CA2D14">
        <w:rPr>
          <w:rFonts w:cs="Times New Roman"/>
        </w:rPr>
        <w:t>bce</w:t>
      </w:r>
      <w:r>
        <w:rPr>
          <w:rFonts w:cs="Times New Roman"/>
        </w:rPr>
        <w:t>,</w:t>
      </w:r>
    </w:p>
    <w:p w:rsidR="005D5200" w:rsidRPr="00CA2D14" w:rsidRDefault="007B3671" w:rsidP="00495FC1">
      <w:pPr>
        <w:pStyle w:val="Odstavecseseznamem"/>
        <w:numPr>
          <w:ilvl w:val="0"/>
          <w:numId w:val="106"/>
        </w:numPr>
        <w:spacing w:after="0" w:afterAutospacing="0"/>
        <w:jc w:val="left"/>
        <w:rPr>
          <w:rFonts w:cs="Times New Roman"/>
        </w:rPr>
      </w:pPr>
      <w:r>
        <w:rPr>
          <w:rFonts w:cs="Times New Roman"/>
        </w:rPr>
        <w:t>příspěvkové organizace,</w:t>
      </w:r>
    </w:p>
    <w:p w:rsidR="005D5200" w:rsidRPr="00CA2D14" w:rsidRDefault="005D5200" w:rsidP="00495FC1">
      <w:pPr>
        <w:pStyle w:val="Odstavecseseznamem"/>
        <w:numPr>
          <w:ilvl w:val="0"/>
          <w:numId w:val="106"/>
        </w:numPr>
        <w:jc w:val="left"/>
        <w:rPr>
          <w:rFonts w:cs="Times New Roman"/>
        </w:rPr>
      </w:pPr>
      <w:r w:rsidRPr="00CA2D14">
        <w:rPr>
          <w:rFonts w:cs="Times New Roman"/>
        </w:rPr>
        <w:t>spolky</w:t>
      </w:r>
      <w:r w:rsidR="007B3671">
        <w:rPr>
          <w:rFonts w:cs="Times New Roman"/>
        </w:rPr>
        <w:t>,</w:t>
      </w:r>
    </w:p>
    <w:p w:rsidR="005D5200" w:rsidRPr="00CA2D14" w:rsidRDefault="005D5200" w:rsidP="00495FC1">
      <w:pPr>
        <w:pStyle w:val="Odstavecseseznamem"/>
        <w:numPr>
          <w:ilvl w:val="0"/>
          <w:numId w:val="106"/>
        </w:numPr>
        <w:jc w:val="left"/>
        <w:rPr>
          <w:rFonts w:cs="Times New Roman"/>
        </w:rPr>
      </w:pPr>
      <w:r w:rsidRPr="00CA2D14">
        <w:rPr>
          <w:rFonts w:cs="Times New Roman"/>
        </w:rPr>
        <w:t>obecně prospěšné společnosti</w:t>
      </w:r>
      <w:r w:rsidR="007B3671">
        <w:rPr>
          <w:rFonts w:cs="Times New Roman"/>
        </w:rPr>
        <w:t>,</w:t>
      </w:r>
    </w:p>
    <w:p w:rsidR="005D5200" w:rsidRPr="00CA2D14" w:rsidRDefault="005D5200" w:rsidP="00495FC1">
      <w:pPr>
        <w:pStyle w:val="Odstavecseseznamem"/>
        <w:numPr>
          <w:ilvl w:val="0"/>
          <w:numId w:val="106"/>
        </w:numPr>
        <w:jc w:val="left"/>
        <w:rPr>
          <w:rFonts w:cs="Times New Roman"/>
        </w:rPr>
      </w:pPr>
      <w:r w:rsidRPr="00CA2D14">
        <w:rPr>
          <w:rFonts w:cs="Times New Roman"/>
        </w:rPr>
        <w:t>společenství vlastníků jednotek</w:t>
      </w:r>
      <w:r w:rsidR="007B3671">
        <w:rPr>
          <w:rFonts w:cs="Times New Roman"/>
        </w:rPr>
        <w:t>,</w:t>
      </w:r>
    </w:p>
    <w:p w:rsidR="005D5200" w:rsidRPr="00CA2D14" w:rsidRDefault="005D5200" w:rsidP="00495FC1">
      <w:pPr>
        <w:pStyle w:val="Odstavecseseznamem"/>
        <w:numPr>
          <w:ilvl w:val="0"/>
          <w:numId w:val="106"/>
        </w:numPr>
        <w:jc w:val="left"/>
        <w:rPr>
          <w:rFonts w:cs="Times New Roman"/>
        </w:rPr>
      </w:pPr>
      <w:r w:rsidRPr="00CA2D14">
        <w:rPr>
          <w:rFonts w:cs="Times New Roman"/>
        </w:rPr>
        <w:t>podnikatelské a nepodnikatelské subjekty</w:t>
      </w:r>
      <w:r w:rsidR="007B3671">
        <w:rPr>
          <w:rFonts w:cs="Times New Roman"/>
        </w:rPr>
        <w:t>.</w:t>
      </w:r>
    </w:p>
    <w:p w:rsidR="005D5200" w:rsidRPr="00CA2D14" w:rsidRDefault="005D5200" w:rsidP="005D5200">
      <w:pPr>
        <w:rPr>
          <w:rFonts w:cs="Times New Roman"/>
        </w:rPr>
      </w:pPr>
      <w:r w:rsidRPr="00CA2D14">
        <w:rPr>
          <w:rFonts w:cs="Times New Roman"/>
        </w:rPr>
        <w:t>Fyzické osoby</w:t>
      </w:r>
    </w:p>
    <w:p w:rsidR="005D5200" w:rsidRPr="00CA2D14" w:rsidRDefault="005D5200" w:rsidP="005D5200">
      <w:pPr>
        <w:rPr>
          <w:rFonts w:cs="Times New Roman"/>
        </w:rPr>
      </w:pPr>
      <w:r w:rsidRPr="00CA2D14">
        <w:rPr>
          <w:rFonts w:eastAsia="Times New Roman" w:cs="Arial"/>
        </w:rPr>
        <w:t>Pozn.: Okruh příjemců bude dále podrobněji definován v navazující dokumentaci.</w:t>
      </w:r>
    </w:p>
    <w:p w:rsidR="00BF593B" w:rsidRDefault="008139EB" w:rsidP="00165854">
      <w:pPr>
        <w:pStyle w:val="Nadpis5"/>
      </w:pPr>
      <w:bookmarkStart w:id="2778" w:name="_Toc392151045"/>
      <w:r>
        <w:t>Hlavní zásady</w:t>
      </w:r>
      <w:r w:rsidR="00BF593B" w:rsidRPr="004314F4">
        <w:t xml:space="preserve"> pro výběr operací</w:t>
      </w:r>
      <w:bookmarkEnd w:id="2778"/>
    </w:p>
    <w:p w:rsidR="00280760" w:rsidRPr="00712789" w:rsidRDefault="00280760" w:rsidP="008173D6">
      <w:bookmarkStart w:id="2779" w:name="_Toc389480122"/>
      <w:r>
        <w:rPr>
          <w:b/>
          <w:color w:val="FF0000"/>
        </w:rPr>
        <w:t> </w:t>
      </w:r>
      <w:bookmarkEnd w:id="2779"/>
      <w:r w:rsidRPr="00712789">
        <w:rPr>
          <w:rFonts w:cs="Times New Roman"/>
        </w:rPr>
        <w:t xml:space="preserve">Výběr projektů bude probíhat v souladu se závazným metodickým pokynem MMR pro řízení výzev, hodnocení a výběr projektů v programovém období 2014-2020. </w:t>
      </w:r>
    </w:p>
    <w:p w:rsidR="00280760" w:rsidRPr="00712789" w:rsidRDefault="00280760" w:rsidP="008173D6">
      <w:r w:rsidRPr="00712789">
        <w:rPr>
          <w:rFonts w:cs="Times New Roman"/>
        </w:rPr>
        <w:t>Projekty budou hodnoceny a vybírány odbornými hodnotiteli podle kritérií pro výběr projektů, která schválí Monitorovací výbor OPŽP.</w:t>
      </w:r>
    </w:p>
    <w:p w:rsidR="00280760" w:rsidRPr="00712789" w:rsidRDefault="00280760" w:rsidP="008173D6">
      <w:r w:rsidRPr="00712789">
        <w:rPr>
          <w:rFonts w:cs="Times New Roman"/>
        </w:rPr>
        <w:t>Při hodnocení a výběru projektů budou posuzována zejména kritéria ekolog</w:t>
      </w:r>
      <w:r w:rsidR="00CF7592">
        <w:rPr>
          <w:rFonts w:cs="Times New Roman"/>
        </w:rPr>
        <w:t>ická, technická a ekonomická. Vždy</w:t>
      </w:r>
      <w:r w:rsidRPr="00712789">
        <w:rPr>
          <w:rFonts w:cs="Times New Roman"/>
        </w:rPr>
        <w:t xml:space="preserve"> bude posuzován soul</w:t>
      </w:r>
      <w:r w:rsidR="007B3671">
        <w:rPr>
          <w:rFonts w:cs="Times New Roman"/>
        </w:rPr>
        <w:t>ad s příslušnými strategiemi na </w:t>
      </w:r>
      <w:r w:rsidR="000D4BCA">
        <w:rPr>
          <w:rFonts w:cs="Times New Roman"/>
        </w:rPr>
        <w:t>evropské, národní a </w:t>
      </w:r>
      <w:r w:rsidRPr="00712789">
        <w:rPr>
          <w:rFonts w:cs="Times New Roman"/>
        </w:rPr>
        <w:t>regionální úrovni.</w:t>
      </w:r>
    </w:p>
    <w:p w:rsidR="008173D6" w:rsidRDefault="00280760" w:rsidP="008173D6">
      <w:r w:rsidRPr="00712789">
        <w:rPr>
          <w:rFonts w:cs="Times New Roman"/>
        </w:rPr>
        <w:t>Při hodnocení a výběru projektů bude posuzována rovněž problematika horizontálních témat (rovné příležitosti a nediskriminace, rovnost žen a mužů a udržitelný rozvoj). Projekt, u kterého bude identifikován negativní dopad na uvedená horizontální témata, nebude moci být podpořen z prostředků OPŽP.</w:t>
      </w:r>
    </w:p>
    <w:p w:rsidR="00280760" w:rsidRPr="00712789" w:rsidRDefault="00280760" w:rsidP="008173D6">
      <w:r w:rsidRPr="008173D6">
        <w:rPr>
          <w:rFonts w:cs="Times New Roman"/>
        </w:rPr>
        <w:lastRenderedPageBreak/>
        <w:t>Podrobné informace o kritériích pro výběr projektů k podpoře budou uvedeny v návazné řídící dokumentaci.</w:t>
      </w:r>
    </w:p>
    <w:p w:rsidR="00BF593B" w:rsidRDefault="00BF593B" w:rsidP="00165854">
      <w:pPr>
        <w:pStyle w:val="Nadpis5"/>
      </w:pPr>
      <w:bookmarkStart w:id="2780" w:name="_Toc391014935"/>
      <w:bookmarkStart w:id="2781" w:name="_Toc391016086"/>
      <w:bookmarkStart w:id="2782" w:name="_Toc391017028"/>
      <w:bookmarkStart w:id="2783" w:name="_Toc391018141"/>
      <w:bookmarkStart w:id="2784" w:name="_Toc391019253"/>
      <w:bookmarkStart w:id="2785" w:name="_Toc391014936"/>
      <w:bookmarkStart w:id="2786" w:name="_Toc391016087"/>
      <w:bookmarkStart w:id="2787" w:name="_Toc391017029"/>
      <w:bookmarkStart w:id="2788" w:name="_Toc391018142"/>
      <w:bookmarkStart w:id="2789" w:name="_Toc391019254"/>
      <w:bookmarkStart w:id="2790" w:name="_Toc391014938"/>
      <w:bookmarkStart w:id="2791" w:name="_Toc391016089"/>
      <w:bookmarkStart w:id="2792" w:name="_Toc391017031"/>
      <w:bookmarkStart w:id="2793" w:name="_Toc391018144"/>
      <w:bookmarkStart w:id="2794" w:name="_Toc391019256"/>
      <w:bookmarkStart w:id="2795" w:name="_Toc391014939"/>
      <w:bookmarkStart w:id="2796" w:name="_Toc391016090"/>
      <w:bookmarkStart w:id="2797" w:name="_Toc391017032"/>
      <w:bookmarkStart w:id="2798" w:name="_Toc391018145"/>
      <w:bookmarkStart w:id="2799" w:name="_Toc391019257"/>
      <w:bookmarkStart w:id="2800" w:name="_Toc391014940"/>
      <w:bookmarkStart w:id="2801" w:name="_Toc391016091"/>
      <w:bookmarkStart w:id="2802" w:name="_Toc391017033"/>
      <w:bookmarkStart w:id="2803" w:name="_Toc391018146"/>
      <w:bookmarkStart w:id="2804" w:name="_Toc391019258"/>
      <w:bookmarkStart w:id="2805" w:name="_Toc391014941"/>
      <w:bookmarkStart w:id="2806" w:name="_Toc391016092"/>
      <w:bookmarkStart w:id="2807" w:name="_Toc391017034"/>
      <w:bookmarkStart w:id="2808" w:name="_Toc391018147"/>
      <w:bookmarkStart w:id="2809" w:name="_Toc391019259"/>
      <w:bookmarkStart w:id="2810" w:name="_Toc391014942"/>
      <w:bookmarkStart w:id="2811" w:name="_Toc391016093"/>
      <w:bookmarkStart w:id="2812" w:name="_Toc391017035"/>
      <w:bookmarkStart w:id="2813" w:name="_Toc391018148"/>
      <w:bookmarkStart w:id="2814" w:name="_Toc391019260"/>
      <w:bookmarkStart w:id="2815" w:name="_Toc391014943"/>
      <w:bookmarkStart w:id="2816" w:name="_Toc391016094"/>
      <w:bookmarkStart w:id="2817" w:name="_Toc391017036"/>
      <w:bookmarkStart w:id="2818" w:name="_Toc391018149"/>
      <w:bookmarkStart w:id="2819" w:name="_Toc391019261"/>
      <w:bookmarkStart w:id="2820" w:name="_Toc391014945"/>
      <w:bookmarkStart w:id="2821" w:name="_Toc391016096"/>
      <w:bookmarkStart w:id="2822" w:name="_Toc391017038"/>
      <w:bookmarkStart w:id="2823" w:name="_Toc391018151"/>
      <w:bookmarkStart w:id="2824" w:name="_Toc391019263"/>
      <w:bookmarkStart w:id="2825" w:name="_Toc391014946"/>
      <w:bookmarkStart w:id="2826" w:name="_Toc391016097"/>
      <w:bookmarkStart w:id="2827" w:name="_Toc391017039"/>
      <w:bookmarkStart w:id="2828" w:name="_Toc391018152"/>
      <w:bookmarkStart w:id="2829" w:name="_Toc391019264"/>
      <w:bookmarkStart w:id="2830" w:name="_Toc391014947"/>
      <w:bookmarkStart w:id="2831" w:name="_Toc391016098"/>
      <w:bookmarkStart w:id="2832" w:name="_Toc391017040"/>
      <w:bookmarkStart w:id="2833" w:name="_Toc391018153"/>
      <w:bookmarkStart w:id="2834" w:name="_Toc391019265"/>
      <w:bookmarkStart w:id="2835" w:name="_Toc391014948"/>
      <w:bookmarkStart w:id="2836" w:name="_Toc391016099"/>
      <w:bookmarkStart w:id="2837" w:name="_Toc391017041"/>
      <w:bookmarkStart w:id="2838" w:name="_Toc391018154"/>
      <w:bookmarkStart w:id="2839" w:name="_Toc391019266"/>
      <w:bookmarkStart w:id="2840" w:name="_Toc391014949"/>
      <w:bookmarkStart w:id="2841" w:name="_Toc391016100"/>
      <w:bookmarkStart w:id="2842" w:name="_Toc391017042"/>
      <w:bookmarkStart w:id="2843" w:name="_Toc391018155"/>
      <w:bookmarkStart w:id="2844" w:name="_Toc391019267"/>
      <w:bookmarkStart w:id="2845" w:name="_Toc391014950"/>
      <w:bookmarkStart w:id="2846" w:name="_Toc391016101"/>
      <w:bookmarkStart w:id="2847" w:name="_Toc391017043"/>
      <w:bookmarkStart w:id="2848" w:name="_Toc391018156"/>
      <w:bookmarkStart w:id="2849" w:name="_Toc391019268"/>
      <w:bookmarkStart w:id="2850" w:name="_Toc391014951"/>
      <w:bookmarkStart w:id="2851" w:name="_Toc391016102"/>
      <w:bookmarkStart w:id="2852" w:name="_Toc391017044"/>
      <w:bookmarkStart w:id="2853" w:name="_Toc391018157"/>
      <w:bookmarkStart w:id="2854" w:name="_Toc391019269"/>
      <w:bookmarkStart w:id="2855" w:name="_Toc392151046"/>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r w:rsidRPr="004314F4">
        <w:t>Plánované využití finančních nástrojů</w:t>
      </w:r>
      <w:bookmarkEnd w:id="2855"/>
    </w:p>
    <w:p w:rsidR="00BF593B" w:rsidRPr="004314F4" w:rsidRDefault="0066645D" w:rsidP="00B66FDE">
      <w:r>
        <w:t>Využití finančních nástrojů se v rámci prioritní osy 4 nepředpokládá.</w:t>
      </w:r>
    </w:p>
    <w:p w:rsidR="00BF593B" w:rsidRDefault="008139EB" w:rsidP="00165854">
      <w:pPr>
        <w:pStyle w:val="Nadpis5"/>
      </w:pPr>
      <w:bookmarkStart w:id="2856" w:name="_Toc392151047"/>
      <w:r>
        <w:t>Plánované využití</w:t>
      </w:r>
      <w:r w:rsidRPr="004314F4">
        <w:t xml:space="preserve"> </w:t>
      </w:r>
      <w:r w:rsidR="00BF593B" w:rsidRPr="004314F4">
        <w:t>velkých projektů</w:t>
      </w:r>
      <w:bookmarkEnd w:id="2856"/>
    </w:p>
    <w:p w:rsidR="00EA272B" w:rsidRPr="004314F4" w:rsidRDefault="00C0175C" w:rsidP="00B66FDE">
      <w:r w:rsidRPr="004314F4">
        <w:t>V prioritní ose 4 nebude velký projekt realizován.</w:t>
      </w:r>
    </w:p>
    <w:p w:rsidR="00BF593B" w:rsidRPr="004314F4" w:rsidRDefault="008139EB" w:rsidP="00165854">
      <w:pPr>
        <w:pStyle w:val="Nadpis5"/>
      </w:pPr>
      <w:bookmarkStart w:id="2857" w:name="_Toc392151048"/>
      <w:r>
        <w:t>Ukazatele výstupů podle investiční priority</w:t>
      </w:r>
      <w:r w:rsidR="00DA7B69">
        <w:t xml:space="preserve"> </w:t>
      </w:r>
      <w:r>
        <w:t>a případně podle kategorie regionů</w:t>
      </w:r>
      <w:bookmarkEnd w:id="2857"/>
    </w:p>
    <w:p w:rsidR="00BF593B" w:rsidRDefault="008224A0" w:rsidP="00165854">
      <w:pPr>
        <w:pStyle w:val="Titulek"/>
      </w:pPr>
      <w:bookmarkStart w:id="2858" w:name="_Toc384907481"/>
      <w:r w:rsidRPr="004314F4">
        <w:t xml:space="preserve">Společné a specifické </w:t>
      </w:r>
      <w:r w:rsidR="00BF73AF">
        <w:t xml:space="preserve">programové </w:t>
      </w:r>
      <w:r w:rsidR="008139EB">
        <w:t>ukazatele</w:t>
      </w:r>
      <w:r w:rsidRPr="004314F4">
        <w:t xml:space="preserve"> výstup</w:t>
      </w:r>
      <w:r w:rsidR="008139EB">
        <w:t>ů</w:t>
      </w:r>
      <w:r w:rsidRPr="004314F4">
        <w:t xml:space="preserve"> PO4</w:t>
      </w:r>
      <w:bookmarkEnd w:id="2858"/>
    </w:p>
    <w:tbl>
      <w:tblPr>
        <w:tblStyle w:val="Mkatabulky"/>
        <w:tblW w:w="9180" w:type="dxa"/>
        <w:tblLayout w:type="fixed"/>
        <w:tblLook w:val="04A0" w:firstRow="1" w:lastRow="0" w:firstColumn="1" w:lastColumn="0" w:noHBand="0" w:noVBand="1"/>
      </w:tblPr>
      <w:tblGrid>
        <w:gridCol w:w="817"/>
        <w:gridCol w:w="1701"/>
        <w:gridCol w:w="709"/>
        <w:gridCol w:w="709"/>
        <w:gridCol w:w="1134"/>
        <w:gridCol w:w="1134"/>
        <w:gridCol w:w="1701"/>
        <w:gridCol w:w="1275"/>
      </w:tblGrid>
      <w:tr w:rsidR="00F36442" w:rsidRPr="004D41D0" w:rsidTr="00B271F1">
        <w:tc>
          <w:tcPr>
            <w:tcW w:w="817" w:type="dxa"/>
            <w:tcBorders>
              <w:bottom w:val="single" w:sz="12" w:space="0" w:color="auto"/>
            </w:tcBorders>
            <w:shd w:val="clear" w:color="auto" w:fill="BFBFBF" w:themeFill="background1" w:themeFillShade="BF"/>
          </w:tcPr>
          <w:p w:rsidR="00F36442" w:rsidRPr="003A2CB2" w:rsidRDefault="0033290F" w:rsidP="00B66FDE">
            <w:pPr>
              <w:spacing w:line="276" w:lineRule="auto"/>
              <w:rPr>
                <w:b/>
                <w:sz w:val="20"/>
                <w:szCs w:val="20"/>
              </w:rPr>
            </w:pPr>
            <w:r w:rsidRPr="0033290F">
              <w:rPr>
                <w:b/>
                <w:sz w:val="20"/>
                <w:szCs w:val="20"/>
              </w:rPr>
              <w:t xml:space="preserve">ID </w:t>
            </w:r>
          </w:p>
        </w:tc>
        <w:tc>
          <w:tcPr>
            <w:tcW w:w="1701" w:type="dxa"/>
            <w:tcBorders>
              <w:bottom w:val="single" w:sz="12" w:space="0" w:color="auto"/>
            </w:tcBorders>
            <w:shd w:val="clear" w:color="auto" w:fill="BFBFBF" w:themeFill="background1" w:themeFillShade="BF"/>
          </w:tcPr>
          <w:p w:rsidR="00F36442" w:rsidRPr="003A2CB2" w:rsidRDefault="0033290F" w:rsidP="00B66FDE">
            <w:pPr>
              <w:spacing w:line="276" w:lineRule="auto"/>
              <w:rPr>
                <w:b/>
                <w:sz w:val="20"/>
                <w:szCs w:val="20"/>
              </w:rPr>
            </w:pPr>
            <w:r w:rsidRPr="0033290F">
              <w:rPr>
                <w:b/>
                <w:sz w:val="20"/>
                <w:szCs w:val="20"/>
              </w:rPr>
              <w:t>Ukazatele</w:t>
            </w:r>
          </w:p>
        </w:tc>
        <w:tc>
          <w:tcPr>
            <w:tcW w:w="709" w:type="dxa"/>
            <w:tcBorders>
              <w:bottom w:val="single" w:sz="12" w:space="0" w:color="auto"/>
            </w:tcBorders>
            <w:shd w:val="clear" w:color="auto" w:fill="BFBFBF" w:themeFill="background1" w:themeFillShade="BF"/>
          </w:tcPr>
          <w:p w:rsidR="00F36442" w:rsidRPr="003A2CB2" w:rsidRDefault="0033290F" w:rsidP="00B66FDE">
            <w:pPr>
              <w:spacing w:line="276" w:lineRule="auto"/>
              <w:rPr>
                <w:b/>
                <w:sz w:val="20"/>
                <w:szCs w:val="20"/>
              </w:rPr>
            </w:pPr>
            <w:r w:rsidRPr="0033290F">
              <w:rPr>
                <w:b/>
                <w:sz w:val="20"/>
                <w:szCs w:val="20"/>
              </w:rPr>
              <w:t>Měrná jednotka</w:t>
            </w:r>
          </w:p>
        </w:tc>
        <w:tc>
          <w:tcPr>
            <w:tcW w:w="709" w:type="dxa"/>
            <w:tcBorders>
              <w:bottom w:val="single" w:sz="12" w:space="0" w:color="auto"/>
            </w:tcBorders>
            <w:shd w:val="clear" w:color="auto" w:fill="BFBFBF" w:themeFill="background1" w:themeFillShade="BF"/>
          </w:tcPr>
          <w:p w:rsidR="00F36442" w:rsidRPr="003A2CB2" w:rsidRDefault="0033290F" w:rsidP="00B66FDE">
            <w:pPr>
              <w:spacing w:line="276" w:lineRule="auto"/>
              <w:rPr>
                <w:b/>
                <w:sz w:val="20"/>
                <w:szCs w:val="20"/>
              </w:rPr>
            </w:pPr>
            <w:r w:rsidRPr="0033290F">
              <w:rPr>
                <w:b/>
                <w:sz w:val="20"/>
                <w:szCs w:val="20"/>
              </w:rPr>
              <w:t>Fond</w:t>
            </w:r>
          </w:p>
        </w:tc>
        <w:tc>
          <w:tcPr>
            <w:tcW w:w="1134" w:type="dxa"/>
            <w:tcBorders>
              <w:bottom w:val="single" w:sz="12" w:space="0" w:color="auto"/>
            </w:tcBorders>
            <w:shd w:val="clear" w:color="auto" w:fill="BFBFBF" w:themeFill="background1" w:themeFillShade="BF"/>
          </w:tcPr>
          <w:p w:rsidR="00F36442" w:rsidRPr="003A2CB2" w:rsidRDefault="0033290F" w:rsidP="00B66FDE">
            <w:pPr>
              <w:spacing w:line="276" w:lineRule="auto"/>
              <w:rPr>
                <w:b/>
                <w:sz w:val="20"/>
                <w:szCs w:val="20"/>
              </w:rPr>
            </w:pPr>
            <w:r w:rsidRPr="0033290F">
              <w:rPr>
                <w:b/>
                <w:sz w:val="20"/>
                <w:szCs w:val="20"/>
              </w:rPr>
              <w:t>Kategorie regionů</w:t>
            </w:r>
          </w:p>
        </w:tc>
        <w:tc>
          <w:tcPr>
            <w:tcW w:w="1134" w:type="dxa"/>
            <w:tcBorders>
              <w:bottom w:val="single" w:sz="12" w:space="0" w:color="auto"/>
            </w:tcBorders>
            <w:shd w:val="clear" w:color="auto" w:fill="BFBFBF" w:themeFill="background1" w:themeFillShade="BF"/>
          </w:tcPr>
          <w:p w:rsidR="00F36442" w:rsidRPr="003A2CB2" w:rsidRDefault="0033290F" w:rsidP="00B66FDE">
            <w:pPr>
              <w:spacing w:line="276" w:lineRule="auto"/>
              <w:rPr>
                <w:b/>
                <w:sz w:val="20"/>
                <w:szCs w:val="20"/>
              </w:rPr>
            </w:pPr>
            <w:r w:rsidRPr="0033290F">
              <w:rPr>
                <w:b/>
                <w:sz w:val="20"/>
                <w:szCs w:val="20"/>
              </w:rPr>
              <w:t>Cílová hodnota (2023)</w:t>
            </w:r>
          </w:p>
        </w:tc>
        <w:tc>
          <w:tcPr>
            <w:tcW w:w="1701" w:type="dxa"/>
            <w:tcBorders>
              <w:bottom w:val="single" w:sz="12" w:space="0" w:color="auto"/>
            </w:tcBorders>
            <w:shd w:val="clear" w:color="auto" w:fill="BFBFBF" w:themeFill="background1" w:themeFillShade="BF"/>
          </w:tcPr>
          <w:p w:rsidR="00F36442" w:rsidRPr="003A2CB2" w:rsidRDefault="0033290F" w:rsidP="00B66FDE">
            <w:pPr>
              <w:spacing w:line="276" w:lineRule="auto"/>
              <w:rPr>
                <w:b/>
                <w:sz w:val="20"/>
                <w:szCs w:val="20"/>
              </w:rPr>
            </w:pPr>
            <w:r w:rsidRPr="0033290F">
              <w:rPr>
                <w:b/>
                <w:sz w:val="20"/>
                <w:szCs w:val="20"/>
              </w:rPr>
              <w:t>Zdroj údajů</w:t>
            </w:r>
          </w:p>
        </w:tc>
        <w:tc>
          <w:tcPr>
            <w:tcW w:w="1275" w:type="dxa"/>
            <w:tcBorders>
              <w:bottom w:val="single" w:sz="12" w:space="0" w:color="auto"/>
            </w:tcBorders>
            <w:shd w:val="clear" w:color="auto" w:fill="BFBFBF" w:themeFill="background1" w:themeFillShade="BF"/>
          </w:tcPr>
          <w:p w:rsidR="00F36442" w:rsidRPr="003A2CB2" w:rsidRDefault="0033290F" w:rsidP="00B66FDE">
            <w:pPr>
              <w:spacing w:line="276" w:lineRule="auto"/>
              <w:rPr>
                <w:b/>
                <w:sz w:val="20"/>
                <w:szCs w:val="20"/>
              </w:rPr>
            </w:pPr>
            <w:r w:rsidRPr="0033290F">
              <w:rPr>
                <w:b/>
                <w:sz w:val="20"/>
                <w:szCs w:val="20"/>
              </w:rPr>
              <w:t>Četnost podávání zpráv</w:t>
            </w:r>
          </w:p>
        </w:tc>
      </w:tr>
      <w:tr w:rsidR="00F36442" w:rsidRPr="004D41D0" w:rsidTr="00B271F1">
        <w:tc>
          <w:tcPr>
            <w:tcW w:w="817" w:type="dxa"/>
          </w:tcPr>
          <w:p w:rsidR="00F36442" w:rsidRPr="003A2CB2" w:rsidRDefault="00140915" w:rsidP="00B66FDE">
            <w:pPr>
              <w:spacing w:line="276" w:lineRule="auto"/>
              <w:rPr>
                <w:sz w:val="20"/>
                <w:szCs w:val="20"/>
              </w:rPr>
            </w:pPr>
            <w:r>
              <w:rPr>
                <w:sz w:val="20"/>
                <w:szCs w:val="20"/>
              </w:rPr>
              <w:t>452</w:t>
            </w:r>
            <w:r w:rsidRPr="00140915">
              <w:rPr>
                <w:sz w:val="20"/>
                <w:szCs w:val="20"/>
              </w:rPr>
              <w:t>01</w:t>
            </w:r>
          </w:p>
        </w:tc>
        <w:tc>
          <w:tcPr>
            <w:tcW w:w="1701" w:type="dxa"/>
          </w:tcPr>
          <w:p w:rsidR="00F36442" w:rsidRPr="003A2CB2" w:rsidRDefault="0033290F" w:rsidP="00B66FDE">
            <w:pPr>
              <w:spacing w:line="276" w:lineRule="auto"/>
              <w:rPr>
                <w:rFonts w:cs="Arial"/>
                <w:sz w:val="20"/>
                <w:szCs w:val="20"/>
              </w:rPr>
            </w:pPr>
            <w:r w:rsidRPr="0033290F">
              <w:rPr>
                <w:rFonts w:cs="Arial"/>
                <w:sz w:val="20"/>
                <w:szCs w:val="20"/>
              </w:rPr>
              <w:t>Celkový počet opatření (včetně mapovaní či monitoringu) pro podporu druhů a stanovišť</w:t>
            </w:r>
          </w:p>
        </w:tc>
        <w:tc>
          <w:tcPr>
            <w:tcW w:w="709" w:type="dxa"/>
          </w:tcPr>
          <w:p w:rsidR="00F36442" w:rsidRPr="003A2CB2" w:rsidRDefault="00140915" w:rsidP="00B66FDE">
            <w:pPr>
              <w:spacing w:line="276" w:lineRule="auto"/>
              <w:rPr>
                <w:sz w:val="20"/>
                <w:szCs w:val="20"/>
              </w:rPr>
            </w:pPr>
            <w:r>
              <w:rPr>
                <w:sz w:val="20"/>
                <w:szCs w:val="20"/>
              </w:rPr>
              <w:t>opatření</w:t>
            </w:r>
          </w:p>
        </w:tc>
        <w:tc>
          <w:tcPr>
            <w:tcW w:w="709" w:type="dxa"/>
          </w:tcPr>
          <w:p w:rsidR="00F36442" w:rsidRPr="003A2CB2" w:rsidRDefault="0033290F" w:rsidP="00B66FDE">
            <w:pPr>
              <w:spacing w:line="276" w:lineRule="auto"/>
              <w:rPr>
                <w:sz w:val="20"/>
                <w:szCs w:val="20"/>
              </w:rPr>
            </w:pPr>
            <w:r w:rsidRPr="0033290F">
              <w:rPr>
                <w:sz w:val="20"/>
                <w:szCs w:val="20"/>
              </w:rPr>
              <w:t>EFRR</w:t>
            </w:r>
          </w:p>
        </w:tc>
        <w:tc>
          <w:tcPr>
            <w:tcW w:w="1134" w:type="dxa"/>
          </w:tcPr>
          <w:p w:rsidR="00F36442" w:rsidRPr="003A2CB2" w:rsidRDefault="009B444D" w:rsidP="00E57381">
            <w:pPr>
              <w:spacing w:line="276" w:lineRule="auto"/>
              <w:rPr>
                <w:sz w:val="20"/>
                <w:szCs w:val="20"/>
              </w:rPr>
            </w:pPr>
            <w:r w:rsidRPr="003A2CB2">
              <w:rPr>
                <w:sz w:val="20"/>
                <w:szCs w:val="20"/>
              </w:rPr>
              <w:t xml:space="preserve">Méně </w:t>
            </w:r>
            <w:r w:rsidR="0033290F" w:rsidRPr="0033290F">
              <w:rPr>
                <w:sz w:val="20"/>
                <w:szCs w:val="20"/>
              </w:rPr>
              <w:t>rozvinuté regiony</w:t>
            </w:r>
          </w:p>
        </w:tc>
        <w:tc>
          <w:tcPr>
            <w:tcW w:w="1134" w:type="dxa"/>
          </w:tcPr>
          <w:p w:rsidR="00F36442" w:rsidRPr="003A2CB2" w:rsidRDefault="0033290F" w:rsidP="00B66FDE">
            <w:pPr>
              <w:spacing w:line="276" w:lineRule="auto"/>
              <w:rPr>
                <w:sz w:val="20"/>
                <w:szCs w:val="20"/>
              </w:rPr>
            </w:pPr>
            <w:r w:rsidRPr="0033290F">
              <w:rPr>
                <w:sz w:val="20"/>
                <w:szCs w:val="20"/>
              </w:rPr>
              <w:t xml:space="preserve"> 1 600</w:t>
            </w:r>
          </w:p>
        </w:tc>
        <w:tc>
          <w:tcPr>
            <w:tcW w:w="1701" w:type="dxa"/>
          </w:tcPr>
          <w:p w:rsidR="00F36442" w:rsidRPr="003A2CB2" w:rsidRDefault="0033290F" w:rsidP="00B66FDE">
            <w:pPr>
              <w:spacing w:line="276" w:lineRule="auto"/>
              <w:rPr>
                <w:sz w:val="20"/>
                <w:szCs w:val="20"/>
              </w:rPr>
            </w:pPr>
            <w:r w:rsidRPr="0033290F">
              <w:rPr>
                <w:sz w:val="20"/>
                <w:szCs w:val="20"/>
              </w:rPr>
              <w:t>žadatel/příjemce</w:t>
            </w:r>
          </w:p>
        </w:tc>
        <w:tc>
          <w:tcPr>
            <w:tcW w:w="1275" w:type="dxa"/>
          </w:tcPr>
          <w:p w:rsidR="00F36442" w:rsidRPr="003A2CB2" w:rsidRDefault="0033290F" w:rsidP="00B66FDE">
            <w:pPr>
              <w:spacing w:line="276" w:lineRule="auto"/>
              <w:rPr>
                <w:sz w:val="20"/>
                <w:szCs w:val="20"/>
              </w:rPr>
            </w:pPr>
            <w:r w:rsidRPr="0033290F">
              <w:rPr>
                <w:sz w:val="20"/>
                <w:szCs w:val="20"/>
              </w:rPr>
              <w:t>průběžně</w:t>
            </w:r>
          </w:p>
        </w:tc>
      </w:tr>
      <w:tr w:rsidR="00F36442" w:rsidRPr="004D41D0" w:rsidTr="00B271F1">
        <w:tc>
          <w:tcPr>
            <w:tcW w:w="817" w:type="dxa"/>
          </w:tcPr>
          <w:p w:rsidR="00F36442" w:rsidRPr="003A2CB2" w:rsidRDefault="00140915" w:rsidP="00B66FDE">
            <w:pPr>
              <w:spacing w:line="276" w:lineRule="auto"/>
              <w:rPr>
                <w:sz w:val="20"/>
                <w:szCs w:val="20"/>
              </w:rPr>
            </w:pPr>
            <w:r>
              <w:rPr>
                <w:sz w:val="20"/>
                <w:szCs w:val="20"/>
              </w:rPr>
              <w:t>456</w:t>
            </w:r>
            <w:r w:rsidRPr="00140915">
              <w:rPr>
                <w:sz w:val="20"/>
                <w:szCs w:val="20"/>
              </w:rPr>
              <w:t>01</w:t>
            </w:r>
          </w:p>
        </w:tc>
        <w:tc>
          <w:tcPr>
            <w:tcW w:w="1701" w:type="dxa"/>
          </w:tcPr>
          <w:p w:rsidR="00F36442" w:rsidRPr="003A2CB2" w:rsidRDefault="0033290F" w:rsidP="00DF590F">
            <w:pPr>
              <w:spacing w:line="276" w:lineRule="auto"/>
              <w:rPr>
                <w:sz w:val="20"/>
                <w:szCs w:val="20"/>
              </w:rPr>
            </w:pPr>
            <w:r w:rsidRPr="0033290F">
              <w:rPr>
                <w:rFonts w:cs="Arial"/>
                <w:sz w:val="20"/>
                <w:szCs w:val="20"/>
              </w:rPr>
              <w:t>Celková plocha vytvořené návštěvnické infrastruktury</w:t>
            </w:r>
          </w:p>
        </w:tc>
        <w:tc>
          <w:tcPr>
            <w:tcW w:w="709" w:type="dxa"/>
          </w:tcPr>
          <w:p w:rsidR="00F36442" w:rsidRPr="003A2CB2" w:rsidRDefault="00F36442" w:rsidP="00B66FDE">
            <w:pPr>
              <w:spacing w:line="276" w:lineRule="auto"/>
              <w:rPr>
                <w:sz w:val="20"/>
                <w:szCs w:val="20"/>
              </w:rPr>
            </w:pPr>
          </w:p>
          <w:p w:rsidR="00F36442" w:rsidRPr="003A2CB2" w:rsidRDefault="0033290F" w:rsidP="00B66FDE">
            <w:pPr>
              <w:spacing w:line="276" w:lineRule="auto"/>
              <w:rPr>
                <w:sz w:val="20"/>
                <w:szCs w:val="20"/>
              </w:rPr>
            </w:pPr>
            <w:r w:rsidRPr="0033290F">
              <w:rPr>
                <w:sz w:val="20"/>
                <w:szCs w:val="20"/>
              </w:rPr>
              <w:t>ha</w:t>
            </w:r>
          </w:p>
        </w:tc>
        <w:tc>
          <w:tcPr>
            <w:tcW w:w="709" w:type="dxa"/>
          </w:tcPr>
          <w:p w:rsidR="00F36442" w:rsidRPr="003A2CB2" w:rsidRDefault="0033290F" w:rsidP="00B66FDE">
            <w:pPr>
              <w:spacing w:line="276" w:lineRule="auto"/>
              <w:rPr>
                <w:sz w:val="20"/>
                <w:szCs w:val="20"/>
              </w:rPr>
            </w:pPr>
            <w:r w:rsidRPr="0033290F">
              <w:rPr>
                <w:sz w:val="20"/>
                <w:szCs w:val="20"/>
              </w:rPr>
              <w:t>EFRR</w:t>
            </w:r>
          </w:p>
        </w:tc>
        <w:tc>
          <w:tcPr>
            <w:tcW w:w="1134" w:type="dxa"/>
          </w:tcPr>
          <w:p w:rsidR="00F36442" w:rsidRPr="003A2CB2" w:rsidRDefault="009B444D" w:rsidP="00E57381">
            <w:pPr>
              <w:spacing w:line="276" w:lineRule="auto"/>
              <w:rPr>
                <w:sz w:val="20"/>
                <w:szCs w:val="20"/>
              </w:rPr>
            </w:pPr>
            <w:r w:rsidRPr="003A2CB2">
              <w:rPr>
                <w:sz w:val="20"/>
                <w:szCs w:val="20"/>
              </w:rPr>
              <w:t xml:space="preserve">Méně </w:t>
            </w:r>
            <w:r w:rsidR="00E57381" w:rsidRPr="003A2CB2">
              <w:rPr>
                <w:sz w:val="20"/>
                <w:szCs w:val="20"/>
              </w:rPr>
              <w:t>rozvinuté</w:t>
            </w:r>
            <w:r w:rsidR="0033290F" w:rsidRPr="0033290F">
              <w:rPr>
                <w:sz w:val="20"/>
                <w:szCs w:val="20"/>
              </w:rPr>
              <w:t xml:space="preserve"> regiony</w:t>
            </w:r>
          </w:p>
        </w:tc>
        <w:tc>
          <w:tcPr>
            <w:tcW w:w="1134" w:type="dxa"/>
          </w:tcPr>
          <w:p w:rsidR="00F36442" w:rsidRPr="003A2CB2" w:rsidRDefault="00F36442" w:rsidP="00B66FDE">
            <w:pPr>
              <w:spacing w:line="276" w:lineRule="auto"/>
              <w:rPr>
                <w:sz w:val="20"/>
                <w:szCs w:val="20"/>
              </w:rPr>
            </w:pPr>
          </w:p>
          <w:p w:rsidR="00F36442" w:rsidRPr="003A2CB2" w:rsidRDefault="0033290F" w:rsidP="00B66FDE">
            <w:pPr>
              <w:spacing w:line="276" w:lineRule="auto"/>
              <w:rPr>
                <w:sz w:val="20"/>
                <w:szCs w:val="20"/>
              </w:rPr>
            </w:pPr>
            <w:r w:rsidRPr="0033290F">
              <w:rPr>
                <w:sz w:val="20"/>
                <w:szCs w:val="20"/>
              </w:rPr>
              <w:t>35</w:t>
            </w:r>
          </w:p>
        </w:tc>
        <w:tc>
          <w:tcPr>
            <w:tcW w:w="1701" w:type="dxa"/>
          </w:tcPr>
          <w:p w:rsidR="00F36442" w:rsidRPr="003A2CB2" w:rsidRDefault="0033290F" w:rsidP="00B66FDE">
            <w:pPr>
              <w:spacing w:line="276" w:lineRule="auto"/>
              <w:rPr>
                <w:sz w:val="20"/>
                <w:szCs w:val="20"/>
              </w:rPr>
            </w:pPr>
            <w:r w:rsidRPr="0033290F">
              <w:rPr>
                <w:sz w:val="20"/>
                <w:szCs w:val="20"/>
              </w:rPr>
              <w:t>žadatel/příjemce</w:t>
            </w:r>
          </w:p>
        </w:tc>
        <w:tc>
          <w:tcPr>
            <w:tcW w:w="1275" w:type="dxa"/>
          </w:tcPr>
          <w:p w:rsidR="00F36442" w:rsidRPr="003A2CB2" w:rsidRDefault="0033290F" w:rsidP="00B66FDE">
            <w:pPr>
              <w:spacing w:line="276" w:lineRule="auto"/>
              <w:rPr>
                <w:sz w:val="20"/>
                <w:szCs w:val="20"/>
              </w:rPr>
            </w:pPr>
            <w:r w:rsidRPr="0033290F">
              <w:rPr>
                <w:sz w:val="20"/>
                <w:szCs w:val="20"/>
              </w:rPr>
              <w:t>průběžně</w:t>
            </w:r>
          </w:p>
        </w:tc>
      </w:tr>
      <w:tr w:rsidR="00F36442" w:rsidRPr="004D41D0" w:rsidTr="00B271F1">
        <w:tc>
          <w:tcPr>
            <w:tcW w:w="817" w:type="dxa"/>
          </w:tcPr>
          <w:p w:rsidR="00F36442" w:rsidRPr="003A2CB2" w:rsidRDefault="00140915" w:rsidP="00B66FDE">
            <w:pPr>
              <w:spacing w:line="276" w:lineRule="auto"/>
              <w:rPr>
                <w:sz w:val="20"/>
                <w:szCs w:val="20"/>
              </w:rPr>
            </w:pPr>
            <w:r>
              <w:rPr>
                <w:sz w:val="20"/>
                <w:szCs w:val="20"/>
              </w:rPr>
              <w:t>457</w:t>
            </w:r>
            <w:r w:rsidRPr="00140915">
              <w:rPr>
                <w:sz w:val="20"/>
                <w:szCs w:val="20"/>
              </w:rPr>
              <w:t>01</w:t>
            </w:r>
          </w:p>
        </w:tc>
        <w:tc>
          <w:tcPr>
            <w:tcW w:w="1701" w:type="dxa"/>
          </w:tcPr>
          <w:p w:rsidR="00F36442" w:rsidRPr="003A2CB2" w:rsidRDefault="0033290F" w:rsidP="00B66FDE">
            <w:pPr>
              <w:spacing w:line="276" w:lineRule="auto"/>
              <w:rPr>
                <w:sz w:val="20"/>
                <w:szCs w:val="20"/>
              </w:rPr>
            </w:pPr>
            <w:r w:rsidRPr="0033290F">
              <w:rPr>
                <w:sz w:val="20"/>
                <w:szCs w:val="20"/>
              </w:rPr>
              <w:t>Celkový počet opatření na podporu ZCHÚ a soustavy Natura 2000</w:t>
            </w:r>
          </w:p>
        </w:tc>
        <w:tc>
          <w:tcPr>
            <w:tcW w:w="709" w:type="dxa"/>
          </w:tcPr>
          <w:p w:rsidR="00F36442" w:rsidRPr="003A2CB2" w:rsidRDefault="00140915" w:rsidP="00DF590F">
            <w:pPr>
              <w:spacing w:line="276" w:lineRule="auto"/>
              <w:rPr>
                <w:sz w:val="20"/>
                <w:szCs w:val="20"/>
              </w:rPr>
            </w:pPr>
            <w:r>
              <w:rPr>
                <w:sz w:val="20"/>
                <w:szCs w:val="20"/>
              </w:rPr>
              <w:t>opatření</w:t>
            </w:r>
            <w:r w:rsidR="0033290F" w:rsidRPr="0033290F">
              <w:rPr>
                <w:sz w:val="20"/>
                <w:szCs w:val="20"/>
              </w:rPr>
              <w:t xml:space="preserve"> </w:t>
            </w:r>
          </w:p>
        </w:tc>
        <w:tc>
          <w:tcPr>
            <w:tcW w:w="709" w:type="dxa"/>
          </w:tcPr>
          <w:p w:rsidR="00F36442" w:rsidRPr="003A2CB2" w:rsidRDefault="0033290F" w:rsidP="00B66FDE">
            <w:pPr>
              <w:spacing w:line="276" w:lineRule="auto"/>
              <w:rPr>
                <w:sz w:val="20"/>
                <w:szCs w:val="20"/>
              </w:rPr>
            </w:pPr>
            <w:r w:rsidRPr="0033290F">
              <w:rPr>
                <w:sz w:val="20"/>
                <w:szCs w:val="20"/>
              </w:rPr>
              <w:t>EFRR</w:t>
            </w:r>
          </w:p>
        </w:tc>
        <w:tc>
          <w:tcPr>
            <w:tcW w:w="1134" w:type="dxa"/>
          </w:tcPr>
          <w:p w:rsidR="00F36442" w:rsidRPr="003A2CB2" w:rsidRDefault="009B444D" w:rsidP="00E57381">
            <w:pPr>
              <w:spacing w:line="276" w:lineRule="auto"/>
              <w:rPr>
                <w:sz w:val="20"/>
                <w:szCs w:val="20"/>
              </w:rPr>
            </w:pPr>
            <w:r w:rsidRPr="003A2CB2">
              <w:rPr>
                <w:sz w:val="20"/>
                <w:szCs w:val="20"/>
              </w:rPr>
              <w:t xml:space="preserve">Méně </w:t>
            </w:r>
            <w:r w:rsidR="0033290F" w:rsidRPr="0033290F">
              <w:rPr>
                <w:sz w:val="20"/>
                <w:szCs w:val="20"/>
              </w:rPr>
              <w:t>rozvinuté regiony</w:t>
            </w:r>
          </w:p>
        </w:tc>
        <w:tc>
          <w:tcPr>
            <w:tcW w:w="1134" w:type="dxa"/>
          </w:tcPr>
          <w:p w:rsidR="00F36442" w:rsidRPr="003A2CB2" w:rsidRDefault="0033290F" w:rsidP="00B66FDE">
            <w:pPr>
              <w:spacing w:line="276" w:lineRule="auto"/>
              <w:rPr>
                <w:sz w:val="20"/>
                <w:szCs w:val="20"/>
              </w:rPr>
            </w:pPr>
            <w:r w:rsidRPr="0033290F">
              <w:rPr>
                <w:sz w:val="20"/>
                <w:szCs w:val="20"/>
              </w:rPr>
              <w:t>5 500</w:t>
            </w:r>
          </w:p>
        </w:tc>
        <w:tc>
          <w:tcPr>
            <w:tcW w:w="1701" w:type="dxa"/>
          </w:tcPr>
          <w:p w:rsidR="00F36442" w:rsidRPr="003A2CB2" w:rsidRDefault="0033290F" w:rsidP="00B66FDE">
            <w:pPr>
              <w:spacing w:line="276" w:lineRule="auto"/>
              <w:rPr>
                <w:sz w:val="20"/>
                <w:szCs w:val="20"/>
              </w:rPr>
            </w:pPr>
            <w:r w:rsidRPr="0033290F">
              <w:rPr>
                <w:sz w:val="20"/>
                <w:szCs w:val="20"/>
              </w:rPr>
              <w:t>žadatel/příjemce</w:t>
            </w:r>
          </w:p>
        </w:tc>
        <w:tc>
          <w:tcPr>
            <w:tcW w:w="1275" w:type="dxa"/>
          </w:tcPr>
          <w:p w:rsidR="00F36442" w:rsidRPr="003A2CB2" w:rsidRDefault="0033290F" w:rsidP="00B66FDE">
            <w:pPr>
              <w:spacing w:line="276" w:lineRule="auto"/>
              <w:rPr>
                <w:sz w:val="20"/>
                <w:szCs w:val="20"/>
              </w:rPr>
            </w:pPr>
            <w:r w:rsidRPr="0033290F">
              <w:rPr>
                <w:sz w:val="20"/>
                <w:szCs w:val="20"/>
              </w:rPr>
              <w:t>průběžně</w:t>
            </w:r>
          </w:p>
        </w:tc>
      </w:tr>
      <w:tr w:rsidR="00F36442" w:rsidRPr="004D41D0" w:rsidTr="00B271F1">
        <w:tc>
          <w:tcPr>
            <w:tcW w:w="817" w:type="dxa"/>
          </w:tcPr>
          <w:p w:rsidR="00F36442" w:rsidRPr="003A2CB2" w:rsidRDefault="00140915" w:rsidP="00B66FDE">
            <w:pPr>
              <w:spacing w:line="276" w:lineRule="auto"/>
              <w:rPr>
                <w:sz w:val="20"/>
                <w:szCs w:val="20"/>
              </w:rPr>
            </w:pPr>
            <w:r>
              <w:rPr>
                <w:sz w:val="20"/>
                <w:szCs w:val="20"/>
              </w:rPr>
              <w:t>451</w:t>
            </w:r>
            <w:r w:rsidRPr="00140915">
              <w:rPr>
                <w:sz w:val="20"/>
                <w:szCs w:val="20"/>
              </w:rPr>
              <w:t>01</w:t>
            </w:r>
          </w:p>
        </w:tc>
        <w:tc>
          <w:tcPr>
            <w:tcW w:w="1701" w:type="dxa"/>
          </w:tcPr>
          <w:p w:rsidR="00F36442" w:rsidRPr="003A2CB2" w:rsidRDefault="00F36442" w:rsidP="00B66FDE">
            <w:pPr>
              <w:spacing w:line="276" w:lineRule="auto"/>
              <w:rPr>
                <w:sz w:val="20"/>
                <w:szCs w:val="20"/>
              </w:rPr>
            </w:pPr>
          </w:p>
          <w:p w:rsidR="00F36442" w:rsidRPr="003A2CB2" w:rsidRDefault="0033290F" w:rsidP="00B66FDE">
            <w:pPr>
              <w:spacing w:line="276" w:lineRule="auto"/>
              <w:rPr>
                <w:sz w:val="20"/>
                <w:szCs w:val="20"/>
              </w:rPr>
            </w:pPr>
            <w:r w:rsidRPr="0033290F">
              <w:rPr>
                <w:sz w:val="20"/>
                <w:szCs w:val="20"/>
              </w:rPr>
              <w:t>Počet opatření k omezení nepůvodních druhů (včetně mapovaní či monitoringu)</w:t>
            </w:r>
          </w:p>
        </w:tc>
        <w:tc>
          <w:tcPr>
            <w:tcW w:w="709" w:type="dxa"/>
          </w:tcPr>
          <w:p w:rsidR="00F36442" w:rsidRPr="003A2CB2" w:rsidRDefault="0033290F" w:rsidP="00140915">
            <w:pPr>
              <w:spacing w:line="276" w:lineRule="auto"/>
              <w:rPr>
                <w:sz w:val="20"/>
                <w:szCs w:val="20"/>
              </w:rPr>
            </w:pPr>
            <w:r w:rsidRPr="0033290F">
              <w:rPr>
                <w:sz w:val="20"/>
                <w:szCs w:val="20"/>
              </w:rPr>
              <w:t xml:space="preserve"> </w:t>
            </w:r>
            <w:r w:rsidR="00140915">
              <w:rPr>
                <w:sz w:val="20"/>
                <w:szCs w:val="20"/>
              </w:rPr>
              <w:t>opatření</w:t>
            </w:r>
          </w:p>
        </w:tc>
        <w:tc>
          <w:tcPr>
            <w:tcW w:w="709" w:type="dxa"/>
          </w:tcPr>
          <w:p w:rsidR="00F36442" w:rsidRPr="003A2CB2" w:rsidRDefault="0033290F" w:rsidP="00B66FDE">
            <w:pPr>
              <w:spacing w:line="276" w:lineRule="auto"/>
              <w:rPr>
                <w:sz w:val="20"/>
                <w:szCs w:val="20"/>
              </w:rPr>
            </w:pPr>
            <w:r w:rsidRPr="0033290F">
              <w:rPr>
                <w:sz w:val="20"/>
                <w:szCs w:val="20"/>
              </w:rPr>
              <w:t>EFRR</w:t>
            </w:r>
          </w:p>
        </w:tc>
        <w:tc>
          <w:tcPr>
            <w:tcW w:w="1134" w:type="dxa"/>
          </w:tcPr>
          <w:p w:rsidR="00F36442" w:rsidRPr="003A2CB2" w:rsidRDefault="009B444D" w:rsidP="00B66FDE">
            <w:pPr>
              <w:spacing w:line="276" w:lineRule="auto"/>
              <w:rPr>
                <w:sz w:val="20"/>
                <w:szCs w:val="20"/>
              </w:rPr>
            </w:pPr>
            <w:r w:rsidRPr="003A2CB2">
              <w:rPr>
                <w:sz w:val="20"/>
                <w:szCs w:val="20"/>
              </w:rPr>
              <w:t xml:space="preserve">Méně </w:t>
            </w:r>
            <w:r w:rsidR="00E57381" w:rsidRPr="003A2CB2">
              <w:rPr>
                <w:sz w:val="20"/>
                <w:szCs w:val="20"/>
              </w:rPr>
              <w:t>rozvinuté</w:t>
            </w:r>
            <w:r w:rsidR="0033290F" w:rsidRPr="0033290F">
              <w:rPr>
                <w:sz w:val="20"/>
                <w:szCs w:val="20"/>
              </w:rPr>
              <w:t xml:space="preserve"> regiony</w:t>
            </w:r>
          </w:p>
        </w:tc>
        <w:tc>
          <w:tcPr>
            <w:tcW w:w="1134" w:type="dxa"/>
          </w:tcPr>
          <w:p w:rsidR="00F36442" w:rsidRPr="003A2CB2" w:rsidRDefault="00F36442" w:rsidP="00B66FDE">
            <w:pPr>
              <w:spacing w:line="276" w:lineRule="auto"/>
              <w:rPr>
                <w:sz w:val="20"/>
                <w:szCs w:val="20"/>
              </w:rPr>
            </w:pPr>
          </w:p>
          <w:p w:rsidR="00F36442" w:rsidRPr="003A2CB2" w:rsidRDefault="0033290F" w:rsidP="00B66FDE">
            <w:pPr>
              <w:spacing w:line="276" w:lineRule="auto"/>
              <w:rPr>
                <w:sz w:val="20"/>
                <w:szCs w:val="20"/>
              </w:rPr>
            </w:pPr>
            <w:r w:rsidRPr="0033290F">
              <w:rPr>
                <w:sz w:val="20"/>
                <w:szCs w:val="20"/>
              </w:rPr>
              <w:t>1 200</w:t>
            </w:r>
          </w:p>
        </w:tc>
        <w:tc>
          <w:tcPr>
            <w:tcW w:w="1701" w:type="dxa"/>
          </w:tcPr>
          <w:p w:rsidR="00F36442" w:rsidRPr="003A2CB2" w:rsidRDefault="0033290F" w:rsidP="00B66FDE">
            <w:pPr>
              <w:spacing w:line="276" w:lineRule="auto"/>
              <w:rPr>
                <w:sz w:val="20"/>
                <w:szCs w:val="20"/>
              </w:rPr>
            </w:pPr>
            <w:r w:rsidRPr="0033290F">
              <w:rPr>
                <w:sz w:val="20"/>
                <w:szCs w:val="20"/>
              </w:rPr>
              <w:t>žadatel/příjemce</w:t>
            </w:r>
          </w:p>
        </w:tc>
        <w:tc>
          <w:tcPr>
            <w:tcW w:w="1275" w:type="dxa"/>
          </w:tcPr>
          <w:p w:rsidR="00F36442" w:rsidRPr="003A2CB2" w:rsidRDefault="0033290F" w:rsidP="00B66FDE">
            <w:pPr>
              <w:spacing w:line="276" w:lineRule="auto"/>
              <w:rPr>
                <w:sz w:val="20"/>
                <w:szCs w:val="20"/>
              </w:rPr>
            </w:pPr>
            <w:r w:rsidRPr="0033290F">
              <w:rPr>
                <w:sz w:val="20"/>
                <w:szCs w:val="20"/>
              </w:rPr>
              <w:t>průběžně</w:t>
            </w:r>
          </w:p>
        </w:tc>
      </w:tr>
      <w:tr w:rsidR="00F36442" w:rsidRPr="004D41D0" w:rsidTr="00B271F1">
        <w:tc>
          <w:tcPr>
            <w:tcW w:w="817" w:type="dxa"/>
          </w:tcPr>
          <w:p w:rsidR="00F36442" w:rsidRPr="003A2CB2" w:rsidRDefault="00140915" w:rsidP="00B66FDE">
            <w:pPr>
              <w:spacing w:line="276" w:lineRule="auto"/>
              <w:rPr>
                <w:sz w:val="20"/>
                <w:szCs w:val="20"/>
              </w:rPr>
            </w:pPr>
            <w:r>
              <w:rPr>
                <w:sz w:val="20"/>
                <w:szCs w:val="20"/>
              </w:rPr>
              <w:t>454</w:t>
            </w:r>
            <w:r w:rsidRPr="00140915">
              <w:rPr>
                <w:sz w:val="20"/>
                <w:szCs w:val="20"/>
              </w:rPr>
              <w:t>05</w:t>
            </w:r>
          </w:p>
        </w:tc>
        <w:tc>
          <w:tcPr>
            <w:tcW w:w="1701" w:type="dxa"/>
          </w:tcPr>
          <w:p w:rsidR="00F36442" w:rsidRPr="003A2CB2" w:rsidRDefault="0033290F" w:rsidP="00B66FDE">
            <w:pPr>
              <w:spacing w:line="276" w:lineRule="auto"/>
              <w:rPr>
                <w:sz w:val="20"/>
                <w:szCs w:val="20"/>
              </w:rPr>
            </w:pPr>
            <w:r w:rsidRPr="0033290F">
              <w:rPr>
                <w:sz w:val="20"/>
                <w:szCs w:val="20"/>
              </w:rPr>
              <w:t xml:space="preserve">Počet opatření k předcházení, minimalizaci a nápravě škod působených zvláště </w:t>
            </w:r>
            <w:r w:rsidRPr="0033290F">
              <w:rPr>
                <w:sz w:val="20"/>
                <w:szCs w:val="20"/>
              </w:rPr>
              <w:lastRenderedPageBreak/>
              <w:t>chráněnými druhy</w:t>
            </w:r>
          </w:p>
        </w:tc>
        <w:tc>
          <w:tcPr>
            <w:tcW w:w="709" w:type="dxa"/>
          </w:tcPr>
          <w:p w:rsidR="00F36442" w:rsidRPr="003A2CB2" w:rsidRDefault="00140915" w:rsidP="00B66FDE">
            <w:pPr>
              <w:spacing w:line="276" w:lineRule="auto"/>
              <w:rPr>
                <w:sz w:val="20"/>
                <w:szCs w:val="20"/>
              </w:rPr>
            </w:pPr>
            <w:r>
              <w:rPr>
                <w:sz w:val="20"/>
                <w:szCs w:val="20"/>
              </w:rPr>
              <w:lastRenderedPageBreak/>
              <w:t>opatření</w:t>
            </w:r>
          </w:p>
        </w:tc>
        <w:tc>
          <w:tcPr>
            <w:tcW w:w="709" w:type="dxa"/>
          </w:tcPr>
          <w:p w:rsidR="00F36442" w:rsidRPr="003A2CB2" w:rsidRDefault="0033290F" w:rsidP="00B66FDE">
            <w:pPr>
              <w:spacing w:line="276" w:lineRule="auto"/>
              <w:rPr>
                <w:sz w:val="20"/>
                <w:szCs w:val="20"/>
              </w:rPr>
            </w:pPr>
            <w:r w:rsidRPr="0033290F">
              <w:rPr>
                <w:sz w:val="20"/>
                <w:szCs w:val="20"/>
              </w:rPr>
              <w:t>EFRR</w:t>
            </w:r>
          </w:p>
        </w:tc>
        <w:tc>
          <w:tcPr>
            <w:tcW w:w="1134" w:type="dxa"/>
          </w:tcPr>
          <w:p w:rsidR="00F36442" w:rsidRPr="003A2CB2" w:rsidRDefault="009B444D" w:rsidP="00B66FDE">
            <w:pPr>
              <w:spacing w:line="276" w:lineRule="auto"/>
              <w:rPr>
                <w:sz w:val="20"/>
                <w:szCs w:val="20"/>
              </w:rPr>
            </w:pPr>
            <w:r w:rsidRPr="003A2CB2">
              <w:rPr>
                <w:sz w:val="20"/>
                <w:szCs w:val="20"/>
              </w:rPr>
              <w:t xml:space="preserve">Méně </w:t>
            </w:r>
            <w:r w:rsidR="00E57381" w:rsidRPr="003A2CB2">
              <w:rPr>
                <w:sz w:val="20"/>
                <w:szCs w:val="20"/>
              </w:rPr>
              <w:t>rozvinuté</w:t>
            </w:r>
            <w:r w:rsidR="0033290F" w:rsidRPr="0033290F">
              <w:rPr>
                <w:sz w:val="20"/>
                <w:szCs w:val="20"/>
              </w:rPr>
              <w:t xml:space="preserve"> regiony</w:t>
            </w:r>
          </w:p>
        </w:tc>
        <w:tc>
          <w:tcPr>
            <w:tcW w:w="1134" w:type="dxa"/>
          </w:tcPr>
          <w:p w:rsidR="00F36442" w:rsidRPr="003A2CB2" w:rsidRDefault="0033290F" w:rsidP="00B66FDE">
            <w:pPr>
              <w:spacing w:line="276" w:lineRule="auto"/>
              <w:rPr>
                <w:sz w:val="20"/>
                <w:szCs w:val="20"/>
              </w:rPr>
            </w:pPr>
            <w:r w:rsidRPr="0033290F">
              <w:rPr>
                <w:sz w:val="20"/>
                <w:szCs w:val="20"/>
              </w:rPr>
              <w:t>800</w:t>
            </w:r>
          </w:p>
        </w:tc>
        <w:tc>
          <w:tcPr>
            <w:tcW w:w="1701" w:type="dxa"/>
          </w:tcPr>
          <w:p w:rsidR="00F36442" w:rsidRPr="003A2CB2" w:rsidRDefault="0033290F" w:rsidP="00B66FDE">
            <w:pPr>
              <w:spacing w:line="276" w:lineRule="auto"/>
              <w:rPr>
                <w:sz w:val="20"/>
                <w:szCs w:val="20"/>
              </w:rPr>
            </w:pPr>
            <w:r w:rsidRPr="0033290F">
              <w:rPr>
                <w:sz w:val="20"/>
                <w:szCs w:val="20"/>
              </w:rPr>
              <w:t>žadatel/příjemce</w:t>
            </w:r>
          </w:p>
        </w:tc>
        <w:tc>
          <w:tcPr>
            <w:tcW w:w="1275" w:type="dxa"/>
          </w:tcPr>
          <w:p w:rsidR="00F36442" w:rsidRPr="003A2CB2" w:rsidRDefault="0033290F" w:rsidP="00B66FDE">
            <w:pPr>
              <w:spacing w:line="276" w:lineRule="auto"/>
              <w:rPr>
                <w:sz w:val="20"/>
                <w:szCs w:val="20"/>
              </w:rPr>
            </w:pPr>
            <w:r w:rsidRPr="0033290F">
              <w:rPr>
                <w:sz w:val="20"/>
                <w:szCs w:val="20"/>
              </w:rPr>
              <w:t>průběžně</w:t>
            </w:r>
          </w:p>
        </w:tc>
      </w:tr>
      <w:tr w:rsidR="00F36442" w:rsidRPr="004D41D0" w:rsidTr="00DF590F">
        <w:trPr>
          <w:trHeight w:val="2212"/>
        </w:trPr>
        <w:tc>
          <w:tcPr>
            <w:tcW w:w="817" w:type="dxa"/>
          </w:tcPr>
          <w:p w:rsidR="00F36442" w:rsidRPr="003A2CB2" w:rsidRDefault="00140915" w:rsidP="00B66FDE">
            <w:pPr>
              <w:spacing w:line="276" w:lineRule="auto"/>
              <w:rPr>
                <w:sz w:val="20"/>
                <w:szCs w:val="20"/>
              </w:rPr>
            </w:pPr>
            <w:r>
              <w:rPr>
                <w:sz w:val="20"/>
                <w:szCs w:val="20"/>
              </w:rPr>
              <w:lastRenderedPageBreak/>
              <w:t>463</w:t>
            </w:r>
            <w:r w:rsidRPr="00140915">
              <w:rPr>
                <w:sz w:val="20"/>
                <w:szCs w:val="20"/>
              </w:rPr>
              <w:t>10</w:t>
            </w:r>
          </w:p>
        </w:tc>
        <w:tc>
          <w:tcPr>
            <w:tcW w:w="1701" w:type="dxa"/>
          </w:tcPr>
          <w:p w:rsidR="00F36442" w:rsidRPr="003A2CB2" w:rsidRDefault="0033290F" w:rsidP="00DF590F">
            <w:pPr>
              <w:spacing w:line="276" w:lineRule="auto"/>
              <w:rPr>
                <w:sz w:val="20"/>
                <w:szCs w:val="20"/>
              </w:rPr>
            </w:pPr>
            <w:r w:rsidRPr="0033290F">
              <w:rPr>
                <w:sz w:val="20"/>
                <w:szCs w:val="20"/>
              </w:rPr>
              <w:t xml:space="preserve">Počet </w:t>
            </w:r>
            <w:proofErr w:type="gramStart"/>
            <w:r w:rsidRPr="0033290F">
              <w:rPr>
                <w:sz w:val="20"/>
                <w:szCs w:val="20"/>
              </w:rPr>
              <w:t>opatření  snížení</w:t>
            </w:r>
            <w:proofErr w:type="gramEnd"/>
            <w:r w:rsidRPr="0033290F">
              <w:rPr>
                <w:sz w:val="20"/>
                <w:szCs w:val="20"/>
              </w:rPr>
              <w:t xml:space="preserve"> mortality živočichů na technické infrastruktuře</w:t>
            </w:r>
          </w:p>
        </w:tc>
        <w:tc>
          <w:tcPr>
            <w:tcW w:w="709" w:type="dxa"/>
          </w:tcPr>
          <w:p w:rsidR="00F36442" w:rsidRPr="003A2CB2" w:rsidRDefault="0033290F" w:rsidP="00140915">
            <w:pPr>
              <w:spacing w:line="276" w:lineRule="auto"/>
              <w:rPr>
                <w:sz w:val="20"/>
                <w:szCs w:val="20"/>
              </w:rPr>
            </w:pPr>
            <w:r w:rsidRPr="0033290F">
              <w:rPr>
                <w:sz w:val="20"/>
                <w:szCs w:val="20"/>
              </w:rPr>
              <w:t xml:space="preserve"> </w:t>
            </w:r>
            <w:r w:rsidR="00140915">
              <w:rPr>
                <w:sz w:val="20"/>
                <w:szCs w:val="20"/>
              </w:rPr>
              <w:t>opatření</w:t>
            </w:r>
          </w:p>
        </w:tc>
        <w:tc>
          <w:tcPr>
            <w:tcW w:w="709" w:type="dxa"/>
          </w:tcPr>
          <w:p w:rsidR="00F36442" w:rsidRPr="003A2CB2" w:rsidRDefault="0033290F" w:rsidP="00B66FDE">
            <w:pPr>
              <w:spacing w:line="276" w:lineRule="auto"/>
              <w:rPr>
                <w:sz w:val="20"/>
                <w:szCs w:val="20"/>
              </w:rPr>
            </w:pPr>
            <w:r w:rsidRPr="0033290F">
              <w:rPr>
                <w:sz w:val="20"/>
                <w:szCs w:val="20"/>
              </w:rPr>
              <w:t>EFRR</w:t>
            </w:r>
          </w:p>
        </w:tc>
        <w:tc>
          <w:tcPr>
            <w:tcW w:w="1134" w:type="dxa"/>
          </w:tcPr>
          <w:p w:rsidR="00F36442" w:rsidRPr="003A2CB2" w:rsidRDefault="009B444D" w:rsidP="00B66FDE">
            <w:pPr>
              <w:spacing w:line="276" w:lineRule="auto"/>
              <w:rPr>
                <w:sz w:val="20"/>
                <w:szCs w:val="20"/>
              </w:rPr>
            </w:pPr>
            <w:r w:rsidRPr="003A2CB2">
              <w:rPr>
                <w:sz w:val="20"/>
                <w:szCs w:val="20"/>
              </w:rPr>
              <w:t xml:space="preserve">Méně </w:t>
            </w:r>
            <w:r w:rsidR="00E57381" w:rsidRPr="003A2CB2">
              <w:rPr>
                <w:sz w:val="20"/>
                <w:szCs w:val="20"/>
              </w:rPr>
              <w:t>rozvinuté</w:t>
            </w:r>
            <w:r w:rsidR="0033290F" w:rsidRPr="0033290F">
              <w:rPr>
                <w:sz w:val="20"/>
                <w:szCs w:val="20"/>
              </w:rPr>
              <w:t xml:space="preserve"> regiony</w:t>
            </w:r>
          </w:p>
        </w:tc>
        <w:tc>
          <w:tcPr>
            <w:tcW w:w="1134" w:type="dxa"/>
          </w:tcPr>
          <w:p w:rsidR="00F36442" w:rsidRPr="003A2CB2" w:rsidRDefault="0033290F" w:rsidP="00B66FDE">
            <w:pPr>
              <w:spacing w:line="276" w:lineRule="auto"/>
              <w:rPr>
                <w:sz w:val="20"/>
                <w:szCs w:val="20"/>
              </w:rPr>
            </w:pPr>
            <w:r w:rsidRPr="0033290F">
              <w:rPr>
                <w:sz w:val="20"/>
                <w:szCs w:val="20"/>
              </w:rPr>
              <w:t xml:space="preserve">75 </w:t>
            </w:r>
          </w:p>
        </w:tc>
        <w:tc>
          <w:tcPr>
            <w:tcW w:w="1701" w:type="dxa"/>
          </w:tcPr>
          <w:p w:rsidR="00F36442" w:rsidRPr="003A2CB2" w:rsidRDefault="0033290F" w:rsidP="00B66FDE">
            <w:pPr>
              <w:spacing w:line="276" w:lineRule="auto"/>
              <w:rPr>
                <w:sz w:val="20"/>
                <w:szCs w:val="20"/>
              </w:rPr>
            </w:pPr>
            <w:r w:rsidRPr="0033290F">
              <w:rPr>
                <w:sz w:val="20"/>
                <w:szCs w:val="20"/>
              </w:rPr>
              <w:t>žadatel/příjemce</w:t>
            </w:r>
          </w:p>
        </w:tc>
        <w:tc>
          <w:tcPr>
            <w:tcW w:w="1275" w:type="dxa"/>
          </w:tcPr>
          <w:p w:rsidR="00F36442" w:rsidRPr="003A2CB2" w:rsidRDefault="0033290F" w:rsidP="00B66FDE">
            <w:pPr>
              <w:spacing w:line="276" w:lineRule="auto"/>
              <w:rPr>
                <w:sz w:val="20"/>
                <w:szCs w:val="20"/>
              </w:rPr>
            </w:pPr>
            <w:r w:rsidRPr="0033290F">
              <w:rPr>
                <w:sz w:val="20"/>
                <w:szCs w:val="20"/>
              </w:rPr>
              <w:t>průběžně</w:t>
            </w:r>
          </w:p>
        </w:tc>
      </w:tr>
      <w:tr w:rsidR="00F36442" w:rsidRPr="004D41D0" w:rsidTr="00B271F1">
        <w:tc>
          <w:tcPr>
            <w:tcW w:w="817" w:type="dxa"/>
          </w:tcPr>
          <w:p w:rsidR="00F36442" w:rsidRPr="003A2CB2" w:rsidRDefault="00140915" w:rsidP="00B66FDE">
            <w:pPr>
              <w:spacing w:line="276" w:lineRule="auto"/>
              <w:rPr>
                <w:sz w:val="20"/>
                <w:szCs w:val="20"/>
              </w:rPr>
            </w:pPr>
            <w:r>
              <w:rPr>
                <w:sz w:val="20"/>
                <w:szCs w:val="20"/>
              </w:rPr>
              <w:t>463</w:t>
            </w:r>
            <w:r w:rsidRPr="00140915">
              <w:rPr>
                <w:sz w:val="20"/>
                <w:szCs w:val="20"/>
              </w:rPr>
              <w:t>01</w:t>
            </w:r>
          </w:p>
        </w:tc>
        <w:tc>
          <w:tcPr>
            <w:tcW w:w="1701" w:type="dxa"/>
          </w:tcPr>
          <w:p w:rsidR="00F36442" w:rsidRPr="003A2CB2" w:rsidRDefault="0033290F" w:rsidP="00DF590F">
            <w:pPr>
              <w:spacing w:line="276" w:lineRule="auto"/>
              <w:rPr>
                <w:sz w:val="20"/>
                <w:szCs w:val="20"/>
              </w:rPr>
            </w:pPr>
            <w:r w:rsidRPr="0033290F">
              <w:rPr>
                <w:sz w:val="20"/>
                <w:szCs w:val="20"/>
              </w:rPr>
              <w:t xml:space="preserve">Počet zprůchodněných migračních překážek pro živočichy </w:t>
            </w:r>
          </w:p>
        </w:tc>
        <w:tc>
          <w:tcPr>
            <w:tcW w:w="709" w:type="dxa"/>
          </w:tcPr>
          <w:p w:rsidR="00F36442" w:rsidRPr="003A2CB2" w:rsidRDefault="0033290F" w:rsidP="00B66FDE">
            <w:pPr>
              <w:spacing w:line="276" w:lineRule="auto"/>
              <w:rPr>
                <w:sz w:val="20"/>
                <w:szCs w:val="20"/>
              </w:rPr>
            </w:pPr>
            <w:r w:rsidRPr="0033290F">
              <w:rPr>
                <w:sz w:val="20"/>
                <w:szCs w:val="20"/>
              </w:rPr>
              <w:t xml:space="preserve"> ks</w:t>
            </w:r>
          </w:p>
        </w:tc>
        <w:tc>
          <w:tcPr>
            <w:tcW w:w="709" w:type="dxa"/>
          </w:tcPr>
          <w:p w:rsidR="00F36442" w:rsidRPr="003A2CB2" w:rsidRDefault="0033290F" w:rsidP="00B66FDE">
            <w:pPr>
              <w:spacing w:line="276" w:lineRule="auto"/>
              <w:rPr>
                <w:sz w:val="20"/>
                <w:szCs w:val="20"/>
              </w:rPr>
            </w:pPr>
            <w:r w:rsidRPr="0033290F">
              <w:rPr>
                <w:sz w:val="20"/>
                <w:szCs w:val="20"/>
              </w:rPr>
              <w:t>EFRR</w:t>
            </w:r>
          </w:p>
        </w:tc>
        <w:tc>
          <w:tcPr>
            <w:tcW w:w="1134" w:type="dxa"/>
          </w:tcPr>
          <w:p w:rsidR="00F36442" w:rsidRPr="003A2CB2" w:rsidRDefault="009B444D" w:rsidP="00B66FDE">
            <w:pPr>
              <w:spacing w:line="276" w:lineRule="auto"/>
              <w:rPr>
                <w:sz w:val="20"/>
                <w:szCs w:val="20"/>
              </w:rPr>
            </w:pPr>
            <w:r w:rsidRPr="003A2CB2">
              <w:rPr>
                <w:sz w:val="20"/>
                <w:szCs w:val="20"/>
              </w:rPr>
              <w:t xml:space="preserve">Méně </w:t>
            </w:r>
            <w:r w:rsidR="00E57381" w:rsidRPr="003A2CB2">
              <w:rPr>
                <w:sz w:val="20"/>
                <w:szCs w:val="20"/>
              </w:rPr>
              <w:t>rozvinuté</w:t>
            </w:r>
            <w:r w:rsidR="0033290F" w:rsidRPr="0033290F">
              <w:rPr>
                <w:sz w:val="20"/>
                <w:szCs w:val="20"/>
              </w:rPr>
              <w:t xml:space="preserve"> regiony</w:t>
            </w:r>
          </w:p>
        </w:tc>
        <w:tc>
          <w:tcPr>
            <w:tcW w:w="1134" w:type="dxa"/>
          </w:tcPr>
          <w:p w:rsidR="00F36442" w:rsidRPr="003A2CB2" w:rsidRDefault="0033290F" w:rsidP="00B66FDE">
            <w:pPr>
              <w:spacing w:line="276" w:lineRule="auto"/>
              <w:rPr>
                <w:sz w:val="20"/>
                <w:szCs w:val="20"/>
              </w:rPr>
            </w:pPr>
            <w:r w:rsidRPr="0033290F">
              <w:rPr>
                <w:sz w:val="20"/>
                <w:szCs w:val="20"/>
              </w:rPr>
              <w:t>295</w:t>
            </w:r>
          </w:p>
        </w:tc>
        <w:tc>
          <w:tcPr>
            <w:tcW w:w="1701" w:type="dxa"/>
          </w:tcPr>
          <w:p w:rsidR="00F36442" w:rsidRPr="003A2CB2" w:rsidRDefault="0033290F" w:rsidP="00B66FDE">
            <w:pPr>
              <w:spacing w:line="276" w:lineRule="auto"/>
              <w:rPr>
                <w:sz w:val="20"/>
                <w:szCs w:val="20"/>
              </w:rPr>
            </w:pPr>
            <w:r w:rsidRPr="0033290F">
              <w:rPr>
                <w:sz w:val="20"/>
                <w:szCs w:val="20"/>
              </w:rPr>
              <w:t>žadatel/příjemce</w:t>
            </w:r>
          </w:p>
        </w:tc>
        <w:tc>
          <w:tcPr>
            <w:tcW w:w="1275" w:type="dxa"/>
          </w:tcPr>
          <w:p w:rsidR="00F36442" w:rsidRPr="003A2CB2" w:rsidRDefault="0033290F" w:rsidP="00B66FDE">
            <w:pPr>
              <w:spacing w:line="276" w:lineRule="auto"/>
              <w:rPr>
                <w:sz w:val="20"/>
                <w:szCs w:val="20"/>
              </w:rPr>
            </w:pPr>
            <w:r w:rsidRPr="0033290F">
              <w:rPr>
                <w:sz w:val="20"/>
                <w:szCs w:val="20"/>
              </w:rPr>
              <w:t>průběžně</w:t>
            </w:r>
          </w:p>
        </w:tc>
      </w:tr>
      <w:tr w:rsidR="00F36442" w:rsidRPr="004D41D0" w:rsidTr="00B271F1">
        <w:tc>
          <w:tcPr>
            <w:tcW w:w="817" w:type="dxa"/>
          </w:tcPr>
          <w:p w:rsidR="00F36442" w:rsidRPr="003A2CB2" w:rsidRDefault="00140915" w:rsidP="00B66FDE">
            <w:pPr>
              <w:spacing w:line="276" w:lineRule="auto"/>
              <w:rPr>
                <w:sz w:val="20"/>
                <w:szCs w:val="20"/>
              </w:rPr>
            </w:pPr>
            <w:r>
              <w:rPr>
                <w:sz w:val="20"/>
                <w:szCs w:val="20"/>
              </w:rPr>
              <w:t>465</w:t>
            </w:r>
            <w:r w:rsidRPr="00140915">
              <w:rPr>
                <w:sz w:val="20"/>
                <w:szCs w:val="20"/>
              </w:rPr>
              <w:t>03</w:t>
            </w:r>
          </w:p>
        </w:tc>
        <w:tc>
          <w:tcPr>
            <w:tcW w:w="1701" w:type="dxa"/>
          </w:tcPr>
          <w:p w:rsidR="00F36442" w:rsidRPr="003A2CB2" w:rsidRDefault="0033290F" w:rsidP="00B66FDE">
            <w:pPr>
              <w:spacing w:line="276" w:lineRule="auto"/>
              <w:rPr>
                <w:sz w:val="20"/>
                <w:szCs w:val="20"/>
              </w:rPr>
            </w:pPr>
            <w:r w:rsidRPr="0033290F">
              <w:rPr>
                <w:sz w:val="20"/>
                <w:szCs w:val="20"/>
              </w:rPr>
              <w:t>Počet realizovaných opatření k obnově krajinných struktur</w:t>
            </w:r>
          </w:p>
        </w:tc>
        <w:tc>
          <w:tcPr>
            <w:tcW w:w="709" w:type="dxa"/>
          </w:tcPr>
          <w:p w:rsidR="00F36442" w:rsidRPr="003A2CB2" w:rsidRDefault="0033290F" w:rsidP="00140915">
            <w:pPr>
              <w:spacing w:line="276" w:lineRule="auto"/>
              <w:rPr>
                <w:sz w:val="20"/>
                <w:szCs w:val="20"/>
              </w:rPr>
            </w:pPr>
            <w:r w:rsidRPr="0033290F">
              <w:rPr>
                <w:sz w:val="20"/>
                <w:szCs w:val="20"/>
              </w:rPr>
              <w:t xml:space="preserve"> </w:t>
            </w:r>
            <w:r w:rsidR="00140915">
              <w:rPr>
                <w:sz w:val="20"/>
                <w:szCs w:val="20"/>
              </w:rPr>
              <w:t>opatření</w:t>
            </w:r>
          </w:p>
        </w:tc>
        <w:tc>
          <w:tcPr>
            <w:tcW w:w="709" w:type="dxa"/>
          </w:tcPr>
          <w:p w:rsidR="00F36442" w:rsidRPr="003A2CB2" w:rsidRDefault="0033290F" w:rsidP="00B66FDE">
            <w:pPr>
              <w:spacing w:line="276" w:lineRule="auto"/>
              <w:rPr>
                <w:sz w:val="20"/>
                <w:szCs w:val="20"/>
              </w:rPr>
            </w:pPr>
            <w:r w:rsidRPr="0033290F">
              <w:rPr>
                <w:sz w:val="20"/>
                <w:szCs w:val="20"/>
              </w:rPr>
              <w:t>EFRR</w:t>
            </w:r>
          </w:p>
        </w:tc>
        <w:tc>
          <w:tcPr>
            <w:tcW w:w="1134" w:type="dxa"/>
          </w:tcPr>
          <w:p w:rsidR="00F36442" w:rsidRPr="003A2CB2" w:rsidRDefault="009B444D" w:rsidP="00B66FDE">
            <w:pPr>
              <w:spacing w:line="276" w:lineRule="auto"/>
              <w:rPr>
                <w:sz w:val="20"/>
                <w:szCs w:val="20"/>
              </w:rPr>
            </w:pPr>
            <w:r w:rsidRPr="003A2CB2">
              <w:rPr>
                <w:sz w:val="20"/>
                <w:szCs w:val="20"/>
              </w:rPr>
              <w:t xml:space="preserve">Méně </w:t>
            </w:r>
            <w:r w:rsidR="00E57381" w:rsidRPr="003A2CB2">
              <w:rPr>
                <w:sz w:val="20"/>
                <w:szCs w:val="20"/>
              </w:rPr>
              <w:t>rozvinuté</w:t>
            </w:r>
            <w:r w:rsidR="0033290F" w:rsidRPr="0033290F">
              <w:rPr>
                <w:sz w:val="20"/>
                <w:szCs w:val="20"/>
              </w:rPr>
              <w:t xml:space="preserve"> regiony</w:t>
            </w:r>
          </w:p>
        </w:tc>
        <w:tc>
          <w:tcPr>
            <w:tcW w:w="1134" w:type="dxa"/>
          </w:tcPr>
          <w:p w:rsidR="00F36442" w:rsidRPr="003A2CB2" w:rsidRDefault="0033290F" w:rsidP="00B66FDE">
            <w:pPr>
              <w:spacing w:line="276" w:lineRule="auto"/>
              <w:rPr>
                <w:sz w:val="20"/>
                <w:szCs w:val="20"/>
              </w:rPr>
            </w:pPr>
            <w:r w:rsidRPr="0033290F">
              <w:rPr>
                <w:sz w:val="20"/>
                <w:szCs w:val="20"/>
              </w:rPr>
              <w:t>3 500</w:t>
            </w:r>
          </w:p>
        </w:tc>
        <w:tc>
          <w:tcPr>
            <w:tcW w:w="1701" w:type="dxa"/>
          </w:tcPr>
          <w:p w:rsidR="00F36442" w:rsidRPr="003A2CB2" w:rsidRDefault="0033290F" w:rsidP="00B66FDE">
            <w:pPr>
              <w:spacing w:line="276" w:lineRule="auto"/>
              <w:rPr>
                <w:sz w:val="20"/>
                <w:szCs w:val="20"/>
              </w:rPr>
            </w:pPr>
            <w:r w:rsidRPr="0033290F">
              <w:rPr>
                <w:sz w:val="20"/>
                <w:szCs w:val="20"/>
              </w:rPr>
              <w:t>žadatel/příjemce</w:t>
            </w:r>
          </w:p>
        </w:tc>
        <w:tc>
          <w:tcPr>
            <w:tcW w:w="1275" w:type="dxa"/>
          </w:tcPr>
          <w:p w:rsidR="00F36442" w:rsidRPr="003A2CB2" w:rsidRDefault="0033290F" w:rsidP="00B66FDE">
            <w:pPr>
              <w:spacing w:line="276" w:lineRule="auto"/>
              <w:rPr>
                <w:sz w:val="20"/>
                <w:szCs w:val="20"/>
              </w:rPr>
            </w:pPr>
            <w:r w:rsidRPr="0033290F">
              <w:rPr>
                <w:sz w:val="20"/>
                <w:szCs w:val="20"/>
              </w:rPr>
              <w:t>průběžně</w:t>
            </w:r>
          </w:p>
        </w:tc>
      </w:tr>
      <w:tr w:rsidR="00F36442" w:rsidRPr="004D41D0" w:rsidTr="00B271F1">
        <w:tc>
          <w:tcPr>
            <w:tcW w:w="817" w:type="dxa"/>
          </w:tcPr>
          <w:p w:rsidR="00F36442" w:rsidRPr="003A2CB2" w:rsidRDefault="0077324E" w:rsidP="00B66FDE">
            <w:pPr>
              <w:spacing w:line="276" w:lineRule="auto"/>
              <w:rPr>
                <w:sz w:val="20"/>
                <w:szCs w:val="20"/>
              </w:rPr>
            </w:pPr>
            <w:r>
              <w:rPr>
                <w:sz w:val="20"/>
                <w:szCs w:val="20"/>
              </w:rPr>
              <w:t>450</w:t>
            </w:r>
            <w:r w:rsidRPr="0077324E">
              <w:rPr>
                <w:sz w:val="20"/>
                <w:szCs w:val="20"/>
              </w:rPr>
              <w:t>01</w:t>
            </w:r>
          </w:p>
        </w:tc>
        <w:tc>
          <w:tcPr>
            <w:tcW w:w="1701" w:type="dxa"/>
          </w:tcPr>
          <w:p w:rsidR="00F36442" w:rsidRPr="003A2CB2" w:rsidRDefault="0033290F" w:rsidP="00B66FDE">
            <w:pPr>
              <w:spacing w:line="276" w:lineRule="auto"/>
              <w:rPr>
                <w:sz w:val="20"/>
                <w:szCs w:val="20"/>
              </w:rPr>
            </w:pPr>
            <w:r w:rsidRPr="0033290F">
              <w:rPr>
                <w:rFonts w:cs="Arial"/>
                <w:sz w:val="20"/>
                <w:szCs w:val="20"/>
              </w:rPr>
              <w:t>Celková výměra revitalizovaných přírodních ploch v zastavěném území obce</w:t>
            </w:r>
          </w:p>
        </w:tc>
        <w:tc>
          <w:tcPr>
            <w:tcW w:w="709" w:type="dxa"/>
          </w:tcPr>
          <w:p w:rsidR="00F36442" w:rsidRPr="003A2CB2" w:rsidRDefault="0033290F" w:rsidP="00B66FDE">
            <w:pPr>
              <w:spacing w:line="276" w:lineRule="auto"/>
              <w:rPr>
                <w:sz w:val="20"/>
                <w:szCs w:val="20"/>
              </w:rPr>
            </w:pPr>
            <w:r w:rsidRPr="0033290F">
              <w:rPr>
                <w:sz w:val="20"/>
                <w:szCs w:val="20"/>
              </w:rPr>
              <w:t>ha</w:t>
            </w:r>
          </w:p>
        </w:tc>
        <w:tc>
          <w:tcPr>
            <w:tcW w:w="709" w:type="dxa"/>
          </w:tcPr>
          <w:p w:rsidR="00F36442" w:rsidRPr="003A2CB2" w:rsidRDefault="0033290F" w:rsidP="00B66FDE">
            <w:pPr>
              <w:spacing w:line="276" w:lineRule="auto"/>
              <w:rPr>
                <w:sz w:val="20"/>
                <w:szCs w:val="20"/>
              </w:rPr>
            </w:pPr>
            <w:r w:rsidRPr="0033290F">
              <w:rPr>
                <w:sz w:val="20"/>
                <w:szCs w:val="20"/>
              </w:rPr>
              <w:t>EFRR</w:t>
            </w:r>
          </w:p>
        </w:tc>
        <w:tc>
          <w:tcPr>
            <w:tcW w:w="1134" w:type="dxa"/>
          </w:tcPr>
          <w:p w:rsidR="00F36442" w:rsidRPr="003A2CB2" w:rsidRDefault="009B444D" w:rsidP="00B66FDE">
            <w:pPr>
              <w:spacing w:line="276" w:lineRule="auto"/>
              <w:rPr>
                <w:sz w:val="20"/>
                <w:szCs w:val="20"/>
              </w:rPr>
            </w:pPr>
            <w:r w:rsidRPr="003A2CB2">
              <w:rPr>
                <w:sz w:val="20"/>
                <w:szCs w:val="20"/>
              </w:rPr>
              <w:t xml:space="preserve">Méně </w:t>
            </w:r>
            <w:r w:rsidR="00E57381" w:rsidRPr="003A2CB2">
              <w:rPr>
                <w:sz w:val="20"/>
                <w:szCs w:val="20"/>
              </w:rPr>
              <w:t>rozvinuté</w:t>
            </w:r>
            <w:r w:rsidR="0033290F" w:rsidRPr="0033290F">
              <w:rPr>
                <w:sz w:val="20"/>
                <w:szCs w:val="20"/>
              </w:rPr>
              <w:t xml:space="preserve"> regiony</w:t>
            </w:r>
          </w:p>
        </w:tc>
        <w:tc>
          <w:tcPr>
            <w:tcW w:w="1134" w:type="dxa"/>
          </w:tcPr>
          <w:p w:rsidR="00F36442" w:rsidRPr="003A2CB2" w:rsidRDefault="0033290F" w:rsidP="00B66FDE">
            <w:pPr>
              <w:spacing w:line="276" w:lineRule="auto"/>
              <w:rPr>
                <w:sz w:val="20"/>
                <w:szCs w:val="20"/>
              </w:rPr>
            </w:pPr>
            <w:r w:rsidRPr="0033290F">
              <w:rPr>
                <w:sz w:val="20"/>
                <w:szCs w:val="20"/>
              </w:rPr>
              <w:t xml:space="preserve">875  </w:t>
            </w:r>
          </w:p>
        </w:tc>
        <w:tc>
          <w:tcPr>
            <w:tcW w:w="1701" w:type="dxa"/>
          </w:tcPr>
          <w:p w:rsidR="00F36442" w:rsidRPr="003A2CB2" w:rsidRDefault="0033290F" w:rsidP="00B66FDE">
            <w:pPr>
              <w:spacing w:line="276" w:lineRule="auto"/>
              <w:rPr>
                <w:sz w:val="20"/>
                <w:szCs w:val="20"/>
              </w:rPr>
            </w:pPr>
            <w:r w:rsidRPr="0033290F">
              <w:rPr>
                <w:sz w:val="20"/>
                <w:szCs w:val="20"/>
              </w:rPr>
              <w:t>žadatel/příjemce</w:t>
            </w:r>
          </w:p>
        </w:tc>
        <w:tc>
          <w:tcPr>
            <w:tcW w:w="1275" w:type="dxa"/>
          </w:tcPr>
          <w:p w:rsidR="00F36442" w:rsidRPr="003A2CB2" w:rsidRDefault="0033290F" w:rsidP="00B66FDE">
            <w:pPr>
              <w:spacing w:line="276" w:lineRule="auto"/>
              <w:rPr>
                <w:sz w:val="20"/>
                <w:szCs w:val="20"/>
              </w:rPr>
            </w:pPr>
            <w:r w:rsidRPr="0033290F">
              <w:rPr>
                <w:sz w:val="20"/>
                <w:szCs w:val="20"/>
              </w:rPr>
              <w:t>průběžně</w:t>
            </w:r>
          </w:p>
        </w:tc>
      </w:tr>
    </w:tbl>
    <w:p w:rsidR="00F625C4" w:rsidRDefault="00F625C4" w:rsidP="0085768E"/>
    <w:p w:rsidR="00F625C4" w:rsidRDefault="00F625C4" w:rsidP="00F625C4"/>
    <w:p w:rsidR="00F625C4" w:rsidRDefault="00F625C4" w:rsidP="00F625C4"/>
    <w:p w:rsidR="00F625C4" w:rsidRDefault="00F625C4" w:rsidP="00F625C4"/>
    <w:p w:rsidR="00F625C4" w:rsidRDefault="00F625C4" w:rsidP="00F625C4"/>
    <w:p w:rsidR="00F625C4" w:rsidRDefault="00F625C4" w:rsidP="00F625C4"/>
    <w:p w:rsidR="00F625C4" w:rsidRDefault="00F625C4" w:rsidP="00F625C4"/>
    <w:p w:rsidR="00F625C4" w:rsidRDefault="00F625C4" w:rsidP="00F625C4"/>
    <w:p w:rsidR="00F625C4" w:rsidRDefault="00F625C4" w:rsidP="00F625C4"/>
    <w:p w:rsidR="0085768E" w:rsidRPr="00F625C4" w:rsidRDefault="0085768E" w:rsidP="00F625C4"/>
    <w:p w:rsidR="00D71FB3" w:rsidRDefault="00BF593B" w:rsidP="00B66FDE">
      <w:pPr>
        <w:pStyle w:val="Nadpis3"/>
      </w:pPr>
      <w:bookmarkStart w:id="2859" w:name="_Toc392151049"/>
      <w:r w:rsidRPr="004314F4">
        <w:lastRenderedPageBreak/>
        <w:t>Výkon</w:t>
      </w:r>
      <w:r w:rsidR="00C241C6" w:rsidRPr="004314F4">
        <w:t>n</w:t>
      </w:r>
      <w:r w:rsidRPr="004314F4">
        <w:t>ostní rámec</w:t>
      </w:r>
      <w:bookmarkStart w:id="2860" w:name="_Toc384907483"/>
      <w:bookmarkEnd w:id="2859"/>
    </w:p>
    <w:p w:rsidR="00D6201B" w:rsidRPr="00D6201B" w:rsidRDefault="00031179" w:rsidP="00165854">
      <w:pPr>
        <w:pStyle w:val="Titulek"/>
      </w:pPr>
      <w:r w:rsidRPr="004314F4">
        <w:t>Výkon</w:t>
      </w:r>
      <w:r w:rsidR="00B31EAF" w:rsidRPr="004314F4">
        <w:t>n</w:t>
      </w:r>
      <w:r w:rsidRPr="004314F4">
        <w:t>ostní rámec PO</w:t>
      </w:r>
      <w:r w:rsidR="008139EB">
        <w:t xml:space="preserve"> </w:t>
      </w:r>
      <w:r w:rsidRPr="004314F4">
        <w:t>4</w:t>
      </w:r>
      <w:bookmarkEnd w:id="2860"/>
    </w:p>
    <w:tbl>
      <w:tblPr>
        <w:tblStyle w:val="Mkatabulky"/>
        <w:tblW w:w="9180" w:type="dxa"/>
        <w:tblLayout w:type="fixed"/>
        <w:tblLook w:val="04A0" w:firstRow="1" w:lastRow="0" w:firstColumn="1" w:lastColumn="0" w:noHBand="0" w:noVBand="1"/>
      </w:tblPr>
      <w:tblGrid>
        <w:gridCol w:w="675"/>
        <w:gridCol w:w="1276"/>
        <w:gridCol w:w="567"/>
        <w:gridCol w:w="851"/>
        <w:gridCol w:w="850"/>
        <w:gridCol w:w="425"/>
        <w:gridCol w:w="1134"/>
        <w:gridCol w:w="851"/>
        <w:gridCol w:w="850"/>
        <w:gridCol w:w="851"/>
        <w:gridCol w:w="850"/>
      </w:tblGrid>
      <w:tr w:rsidR="00FB396F" w:rsidRPr="00F03BCB" w:rsidTr="00FB396F">
        <w:tc>
          <w:tcPr>
            <w:tcW w:w="675" w:type="dxa"/>
            <w:tcBorders>
              <w:bottom w:val="single" w:sz="12" w:space="0" w:color="auto"/>
            </w:tcBorders>
            <w:shd w:val="clear" w:color="auto" w:fill="BFBFBF" w:themeFill="background1" w:themeFillShade="BF"/>
          </w:tcPr>
          <w:p w:rsidR="008139EB" w:rsidRPr="003A2CB2" w:rsidRDefault="008139EB" w:rsidP="00B66FDE">
            <w:pPr>
              <w:rPr>
                <w:b/>
                <w:sz w:val="20"/>
                <w:szCs w:val="20"/>
              </w:rPr>
            </w:pPr>
            <w:r w:rsidRPr="003A2CB2">
              <w:rPr>
                <w:b/>
                <w:sz w:val="20"/>
                <w:szCs w:val="20"/>
              </w:rPr>
              <w:t>Prioritní osa</w:t>
            </w:r>
          </w:p>
        </w:tc>
        <w:tc>
          <w:tcPr>
            <w:tcW w:w="1276" w:type="dxa"/>
            <w:tcBorders>
              <w:bottom w:val="single" w:sz="12" w:space="0" w:color="auto"/>
            </w:tcBorders>
            <w:shd w:val="clear" w:color="auto" w:fill="BFBFBF" w:themeFill="background1" w:themeFillShade="BF"/>
          </w:tcPr>
          <w:p w:rsidR="008139EB" w:rsidRPr="003A2CB2" w:rsidRDefault="0033290F" w:rsidP="00B66FDE">
            <w:pPr>
              <w:spacing w:line="276" w:lineRule="auto"/>
              <w:rPr>
                <w:b/>
                <w:sz w:val="20"/>
                <w:szCs w:val="20"/>
              </w:rPr>
            </w:pPr>
            <w:r w:rsidRPr="0033290F">
              <w:rPr>
                <w:b/>
                <w:sz w:val="20"/>
                <w:szCs w:val="20"/>
              </w:rPr>
              <w:t>Typ ukazatele (klíčový krok provádění, finanční výstup nebo popřípadě ukazatel výsledků)</w:t>
            </w:r>
          </w:p>
        </w:tc>
        <w:tc>
          <w:tcPr>
            <w:tcW w:w="567" w:type="dxa"/>
            <w:tcBorders>
              <w:bottom w:val="single" w:sz="12" w:space="0" w:color="auto"/>
            </w:tcBorders>
            <w:shd w:val="clear" w:color="auto" w:fill="BFBFBF" w:themeFill="background1" w:themeFillShade="BF"/>
          </w:tcPr>
          <w:p w:rsidR="008139EB" w:rsidRPr="003A2CB2" w:rsidRDefault="0033290F" w:rsidP="00B66FDE">
            <w:pPr>
              <w:spacing w:line="276" w:lineRule="auto"/>
              <w:rPr>
                <w:b/>
                <w:sz w:val="20"/>
                <w:szCs w:val="20"/>
              </w:rPr>
            </w:pPr>
            <w:r w:rsidRPr="0033290F">
              <w:rPr>
                <w:b/>
                <w:sz w:val="20"/>
                <w:szCs w:val="20"/>
              </w:rPr>
              <w:t>ID</w:t>
            </w:r>
          </w:p>
        </w:tc>
        <w:tc>
          <w:tcPr>
            <w:tcW w:w="851" w:type="dxa"/>
            <w:tcBorders>
              <w:bottom w:val="single" w:sz="12" w:space="0" w:color="auto"/>
            </w:tcBorders>
            <w:shd w:val="clear" w:color="auto" w:fill="BFBFBF" w:themeFill="background1" w:themeFillShade="BF"/>
          </w:tcPr>
          <w:p w:rsidR="008139EB" w:rsidRPr="003A2CB2" w:rsidRDefault="0033290F" w:rsidP="00B66FDE">
            <w:pPr>
              <w:spacing w:line="276" w:lineRule="auto"/>
              <w:rPr>
                <w:b/>
                <w:sz w:val="20"/>
                <w:szCs w:val="20"/>
              </w:rPr>
            </w:pPr>
            <w:r w:rsidRPr="0033290F">
              <w:rPr>
                <w:b/>
                <w:sz w:val="20"/>
                <w:szCs w:val="20"/>
              </w:rPr>
              <w:t>Ukazatel nebo klíčový krok provádění</w:t>
            </w:r>
          </w:p>
        </w:tc>
        <w:tc>
          <w:tcPr>
            <w:tcW w:w="850" w:type="dxa"/>
            <w:tcBorders>
              <w:bottom w:val="single" w:sz="12" w:space="0" w:color="auto"/>
            </w:tcBorders>
            <w:shd w:val="clear" w:color="auto" w:fill="BFBFBF" w:themeFill="background1" w:themeFillShade="BF"/>
          </w:tcPr>
          <w:p w:rsidR="008139EB" w:rsidRPr="003A2CB2" w:rsidRDefault="0033290F" w:rsidP="00B66FDE">
            <w:pPr>
              <w:spacing w:line="276" w:lineRule="auto"/>
              <w:rPr>
                <w:b/>
                <w:sz w:val="20"/>
                <w:szCs w:val="20"/>
              </w:rPr>
            </w:pPr>
            <w:r w:rsidRPr="0033290F">
              <w:rPr>
                <w:b/>
                <w:sz w:val="20"/>
                <w:szCs w:val="20"/>
              </w:rPr>
              <w:t>Měrná jednotka</w:t>
            </w:r>
          </w:p>
        </w:tc>
        <w:tc>
          <w:tcPr>
            <w:tcW w:w="425" w:type="dxa"/>
            <w:tcBorders>
              <w:bottom w:val="single" w:sz="12" w:space="0" w:color="auto"/>
            </w:tcBorders>
            <w:shd w:val="clear" w:color="auto" w:fill="BFBFBF" w:themeFill="background1" w:themeFillShade="BF"/>
          </w:tcPr>
          <w:p w:rsidR="008139EB" w:rsidRPr="003A2CB2" w:rsidRDefault="0033290F" w:rsidP="00B66FDE">
            <w:pPr>
              <w:spacing w:line="276" w:lineRule="auto"/>
              <w:rPr>
                <w:b/>
                <w:sz w:val="20"/>
                <w:szCs w:val="20"/>
              </w:rPr>
            </w:pPr>
            <w:r w:rsidRPr="0033290F">
              <w:rPr>
                <w:b/>
                <w:sz w:val="20"/>
                <w:szCs w:val="20"/>
              </w:rPr>
              <w:t>Fond</w:t>
            </w:r>
          </w:p>
        </w:tc>
        <w:tc>
          <w:tcPr>
            <w:tcW w:w="1134" w:type="dxa"/>
            <w:tcBorders>
              <w:bottom w:val="single" w:sz="12" w:space="0" w:color="auto"/>
            </w:tcBorders>
            <w:shd w:val="clear" w:color="auto" w:fill="BFBFBF" w:themeFill="background1" w:themeFillShade="BF"/>
          </w:tcPr>
          <w:p w:rsidR="008139EB" w:rsidRPr="003A2CB2" w:rsidRDefault="0033290F" w:rsidP="00B66FDE">
            <w:pPr>
              <w:spacing w:line="276" w:lineRule="auto"/>
              <w:rPr>
                <w:b/>
                <w:sz w:val="20"/>
                <w:szCs w:val="20"/>
              </w:rPr>
            </w:pPr>
            <w:r w:rsidRPr="0033290F">
              <w:rPr>
                <w:b/>
                <w:sz w:val="20"/>
                <w:szCs w:val="20"/>
              </w:rPr>
              <w:t>Kategorie regionů</w:t>
            </w:r>
          </w:p>
        </w:tc>
        <w:tc>
          <w:tcPr>
            <w:tcW w:w="851" w:type="dxa"/>
            <w:tcBorders>
              <w:bottom w:val="single" w:sz="12" w:space="0" w:color="auto"/>
            </w:tcBorders>
            <w:shd w:val="clear" w:color="auto" w:fill="BFBFBF" w:themeFill="background1" w:themeFillShade="BF"/>
          </w:tcPr>
          <w:p w:rsidR="008139EB" w:rsidRPr="003A2CB2" w:rsidRDefault="0033290F" w:rsidP="00B66FDE">
            <w:pPr>
              <w:spacing w:line="276" w:lineRule="auto"/>
              <w:rPr>
                <w:b/>
                <w:sz w:val="20"/>
                <w:szCs w:val="20"/>
              </w:rPr>
            </w:pPr>
            <w:r w:rsidRPr="0033290F">
              <w:rPr>
                <w:b/>
                <w:sz w:val="20"/>
                <w:szCs w:val="20"/>
              </w:rPr>
              <w:t>Milník pro rok 2018</w:t>
            </w:r>
          </w:p>
        </w:tc>
        <w:tc>
          <w:tcPr>
            <w:tcW w:w="850" w:type="dxa"/>
            <w:tcBorders>
              <w:bottom w:val="single" w:sz="12" w:space="0" w:color="auto"/>
            </w:tcBorders>
            <w:shd w:val="clear" w:color="auto" w:fill="BFBFBF" w:themeFill="background1" w:themeFillShade="BF"/>
          </w:tcPr>
          <w:p w:rsidR="008139EB" w:rsidRPr="003A2CB2" w:rsidRDefault="0033290F" w:rsidP="00B66FDE">
            <w:pPr>
              <w:spacing w:line="276" w:lineRule="auto"/>
              <w:rPr>
                <w:b/>
                <w:sz w:val="20"/>
                <w:szCs w:val="20"/>
              </w:rPr>
            </w:pPr>
            <w:r w:rsidRPr="0033290F">
              <w:rPr>
                <w:b/>
                <w:sz w:val="20"/>
                <w:szCs w:val="20"/>
              </w:rPr>
              <w:t>Konečný cíl (2023)</w:t>
            </w:r>
          </w:p>
        </w:tc>
        <w:tc>
          <w:tcPr>
            <w:tcW w:w="851" w:type="dxa"/>
            <w:tcBorders>
              <w:bottom w:val="single" w:sz="12" w:space="0" w:color="auto"/>
            </w:tcBorders>
            <w:shd w:val="clear" w:color="auto" w:fill="BFBFBF" w:themeFill="background1" w:themeFillShade="BF"/>
          </w:tcPr>
          <w:p w:rsidR="008139EB" w:rsidRPr="003A2CB2" w:rsidRDefault="0033290F" w:rsidP="00B66FDE">
            <w:pPr>
              <w:spacing w:line="276" w:lineRule="auto"/>
              <w:rPr>
                <w:b/>
                <w:sz w:val="20"/>
                <w:szCs w:val="20"/>
              </w:rPr>
            </w:pPr>
            <w:r w:rsidRPr="0033290F">
              <w:rPr>
                <w:b/>
                <w:sz w:val="20"/>
                <w:szCs w:val="20"/>
              </w:rPr>
              <w:t>Zdroj údajů</w:t>
            </w:r>
          </w:p>
        </w:tc>
        <w:tc>
          <w:tcPr>
            <w:tcW w:w="850" w:type="dxa"/>
            <w:tcBorders>
              <w:bottom w:val="single" w:sz="12" w:space="0" w:color="auto"/>
            </w:tcBorders>
            <w:shd w:val="clear" w:color="auto" w:fill="BFBFBF" w:themeFill="background1" w:themeFillShade="BF"/>
          </w:tcPr>
          <w:p w:rsidR="008139EB" w:rsidRPr="003A2CB2" w:rsidRDefault="0033290F" w:rsidP="00B66FDE">
            <w:pPr>
              <w:spacing w:line="276" w:lineRule="auto"/>
              <w:rPr>
                <w:b/>
                <w:sz w:val="20"/>
                <w:szCs w:val="20"/>
              </w:rPr>
            </w:pPr>
            <w:r w:rsidRPr="0033290F">
              <w:rPr>
                <w:b/>
                <w:sz w:val="20"/>
                <w:szCs w:val="20"/>
              </w:rPr>
              <w:t>Popřípadě vysvětlení relevantnosti ukazatele</w:t>
            </w:r>
          </w:p>
        </w:tc>
      </w:tr>
      <w:tr w:rsidR="00B55CE9" w:rsidRPr="00F03BCB" w:rsidTr="00FB396F">
        <w:tc>
          <w:tcPr>
            <w:tcW w:w="675" w:type="dxa"/>
            <w:tcBorders>
              <w:top w:val="single" w:sz="12" w:space="0" w:color="auto"/>
            </w:tcBorders>
          </w:tcPr>
          <w:p w:rsidR="00B55CE9" w:rsidRPr="003A2CB2" w:rsidRDefault="00B55CE9" w:rsidP="00B66FDE">
            <w:pPr>
              <w:rPr>
                <w:sz w:val="20"/>
                <w:szCs w:val="20"/>
              </w:rPr>
            </w:pPr>
            <w:r>
              <w:rPr>
                <w:sz w:val="20"/>
                <w:szCs w:val="20"/>
              </w:rPr>
              <w:t>PO 4</w:t>
            </w:r>
          </w:p>
        </w:tc>
        <w:tc>
          <w:tcPr>
            <w:tcW w:w="1276" w:type="dxa"/>
            <w:tcBorders>
              <w:top w:val="single" w:sz="12" w:space="0" w:color="auto"/>
            </w:tcBorders>
          </w:tcPr>
          <w:p w:rsidR="00B55CE9" w:rsidRPr="003A2CB2" w:rsidDel="008D6FD8" w:rsidRDefault="00B55CE9" w:rsidP="00B66FDE">
            <w:pPr>
              <w:rPr>
                <w:sz w:val="20"/>
                <w:szCs w:val="20"/>
              </w:rPr>
            </w:pPr>
            <w:r>
              <w:rPr>
                <w:sz w:val="20"/>
                <w:szCs w:val="20"/>
              </w:rPr>
              <w:t>finanční ukazatel</w:t>
            </w:r>
          </w:p>
        </w:tc>
        <w:tc>
          <w:tcPr>
            <w:tcW w:w="567" w:type="dxa"/>
            <w:tcBorders>
              <w:top w:val="single" w:sz="12" w:space="0" w:color="auto"/>
            </w:tcBorders>
          </w:tcPr>
          <w:p w:rsidR="00B55CE9" w:rsidRDefault="00B55CE9" w:rsidP="00B66FDE">
            <w:pPr>
              <w:rPr>
                <w:sz w:val="20"/>
                <w:szCs w:val="20"/>
              </w:rPr>
            </w:pPr>
            <w:r>
              <w:rPr>
                <w:sz w:val="20"/>
                <w:szCs w:val="20"/>
              </w:rPr>
              <w:t>-</w:t>
            </w:r>
          </w:p>
        </w:tc>
        <w:tc>
          <w:tcPr>
            <w:tcW w:w="851" w:type="dxa"/>
            <w:tcBorders>
              <w:top w:val="single" w:sz="12" w:space="0" w:color="auto"/>
            </w:tcBorders>
          </w:tcPr>
          <w:p w:rsidR="00B55CE9" w:rsidRPr="00CF41E1" w:rsidRDefault="00B55CE9" w:rsidP="00B66FDE">
            <w:pPr>
              <w:rPr>
                <w:sz w:val="20"/>
                <w:szCs w:val="20"/>
              </w:rPr>
            </w:pPr>
            <w:r>
              <w:rPr>
                <w:sz w:val="20"/>
                <w:szCs w:val="20"/>
              </w:rPr>
              <w:t>Celkové certifikované způsobilé výdaje</w:t>
            </w:r>
          </w:p>
        </w:tc>
        <w:tc>
          <w:tcPr>
            <w:tcW w:w="850" w:type="dxa"/>
            <w:tcBorders>
              <w:top w:val="single" w:sz="12" w:space="0" w:color="auto"/>
            </w:tcBorders>
          </w:tcPr>
          <w:p w:rsidR="00B55CE9" w:rsidRPr="00CF41E1" w:rsidRDefault="00B55CE9" w:rsidP="00B66FDE">
            <w:pPr>
              <w:rPr>
                <w:sz w:val="20"/>
                <w:szCs w:val="20"/>
              </w:rPr>
            </w:pPr>
            <w:r>
              <w:rPr>
                <w:sz w:val="20"/>
                <w:szCs w:val="20"/>
              </w:rPr>
              <w:t>EUR</w:t>
            </w:r>
          </w:p>
        </w:tc>
        <w:tc>
          <w:tcPr>
            <w:tcW w:w="425" w:type="dxa"/>
            <w:tcBorders>
              <w:top w:val="single" w:sz="12" w:space="0" w:color="auto"/>
            </w:tcBorders>
          </w:tcPr>
          <w:p w:rsidR="00B55CE9" w:rsidRPr="00CF41E1" w:rsidRDefault="00B55CE9" w:rsidP="00B66FDE">
            <w:pPr>
              <w:rPr>
                <w:sz w:val="20"/>
                <w:szCs w:val="20"/>
              </w:rPr>
            </w:pPr>
            <w:r>
              <w:rPr>
                <w:sz w:val="20"/>
                <w:szCs w:val="20"/>
              </w:rPr>
              <w:t>EFRR</w:t>
            </w:r>
          </w:p>
        </w:tc>
        <w:tc>
          <w:tcPr>
            <w:tcW w:w="1134" w:type="dxa"/>
            <w:tcBorders>
              <w:top w:val="single" w:sz="12" w:space="0" w:color="auto"/>
            </w:tcBorders>
          </w:tcPr>
          <w:p w:rsidR="00B55CE9" w:rsidRPr="00CF41E1" w:rsidRDefault="00B55CE9" w:rsidP="00B66FDE">
            <w:pPr>
              <w:rPr>
                <w:rFonts w:asciiTheme="majorHAnsi" w:hAnsiTheme="majorHAnsi"/>
                <w:sz w:val="20"/>
                <w:szCs w:val="20"/>
              </w:rPr>
            </w:pPr>
            <w:r w:rsidRPr="00CF41E1">
              <w:rPr>
                <w:rFonts w:asciiTheme="majorHAnsi" w:hAnsiTheme="majorHAnsi"/>
                <w:sz w:val="20"/>
                <w:szCs w:val="20"/>
              </w:rPr>
              <w:t xml:space="preserve">Méně </w:t>
            </w:r>
            <w:r w:rsidRPr="00CF41E1">
              <w:rPr>
                <w:sz w:val="20"/>
                <w:szCs w:val="20"/>
              </w:rPr>
              <w:t>rozvinuté</w:t>
            </w:r>
            <w:r w:rsidRPr="00CF41E1">
              <w:rPr>
                <w:rFonts w:asciiTheme="majorHAnsi" w:hAnsiTheme="majorHAnsi"/>
                <w:sz w:val="20"/>
                <w:szCs w:val="20"/>
              </w:rPr>
              <w:t xml:space="preserve"> regiony</w:t>
            </w:r>
          </w:p>
        </w:tc>
        <w:tc>
          <w:tcPr>
            <w:tcW w:w="851" w:type="dxa"/>
            <w:tcBorders>
              <w:top w:val="single" w:sz="12" w:space="0" w:color="auto"/>
            </w:tcBorders>
          </w:tcPr>
          <w:p w:rsidR="00B55CE9" w:rsidRPr="00B55CE9" w:rsidRDefault="00B55CE9" w:rsidP="00B55CE9">
            <w:pPr>
              <w:rPr>
                <w:sz w:val="20"/>
                <w:szCs w:val="20"/>
              </w:rPr>
            </w:pPr>
            <w:r w:rsidRPr="00B55CE9">
              <w:rPr>
                <w:sz w:val="20"/>
                <w:szCs w:val="20"/>
              </w:rPr>
              <w:t>89833716</w:t>
            </w:r>
          </w:p>
          <w:p w:rsidR="00B55CE9" w:rsidRPr="00CF41E1" w:rsidRDefault="00B55CE9" w:rsidP="00B66FDE">
            <w:pPr>
              <w:rPr>
                <w:sz w:val="20"/>
                <w:szCs w:val="20"/>
              </w:rPr>
            </w:pPr>
          </w:p>
        </w:tc>
        <w:tc>
          <w:tcPr>
            <w:tcW w:w="850" w:type="dxa"/>
            <w:tcBorders>
              <w:top w:val="single" w:sz="12" w:space="0" w:color="auto"/>
            </w:tcBorders>
          </w:tcPr>
          <w:p w:rsidR="00B55CE9" w:rsidRPr="00B55CE9" w:rsidRDefault="00B55CE9" w:rsidP="00B55CE9">
            <w:pPr>
              <w:rPr>
                <w:sz w:val="20"/>
                <w:szCs w:val="20"/>
              </w:rPr>
            </w:pPr>
            <w:r w:rsidRPr="00B55CE9">
              <w:rPr>
                <w:sz w:val="20"/>
                <w:szCs w:val="20"/>
              </w:rPr>
              <w:t>351735068,9</w:t>
            </w:r>
          </w:p>
          <w:p w:rsidR="00B55CE9" w:rsidRPr="00CF41E1" w:rsidRDefault="00B55CE9" w:rsidP="00B66FDE">
            <w:pPr>
              <w:rPr>
                <w:sz w:val="20"/>
                <w:szCs w:val="20"/>
              </w:rPr>
            </w:pPr>
          </w:p>
        </w:tc>
        <w:tc>
          <w:tcPr>
            <w:tcW w:w="851" w:type="dxa"/>
            <w:tcBorders>
              <w:top w:val="single" w:sz="12" w:space="0" w:color="auto"/>
            </w:tcBorders>
          </w:tcPr>
          <w:p w:rsidR="00B55CE9" w:rsidRPr="00CF41E1" w:rsidRDefault="00B55CE9" w:rsidP="00B66FDE">
            <w:pPr>
              <w:rPr>
                <w:sz w:val="20"/>
                <w:szCs w:val="20"/>
              </w:rPr>
            </w:pPr>
            <w:r>
              <w:rPr>
                <w:sz w:val="20"/>
                <w:szCs w:val="20"/>
              </w:rPr>
              <w:t>ŘO</w:t>
            </w:r>
          </w:p>
        </w:tc>
        <w:tc>
          <w:tcPr>
            <w:tcW w:w="850" w:type="dxa"/>
            <w:tcBorders>
              <w:top w:val="single" w:sz="12" w:space="0" w:color="auto"/>
            </w:tcBorders>
          </w:tcPr>
          <w:p w:rsidR="00B55CE9" w:rsidRPr="003A2CB2" w:rsidRDefault="00B55CE9" w:rsidP="00B66FDE">
            <w:pPr>
              <w:rPr>
                <w:sz w:val="20"/>
                <w:szCs w:val="20"/>
              </w:rPr>
            </w:pPr>
            <w:r>
              <w:rPr>
                <w:sz w:val="20"/>
                <w:szCs w:val="20"/>
              </w:rPr>
              <w:t>-</w:t>
            </w:r>
          </w:p>
        </w:tc>
      </w:tr>
      <w:tr w:rsidR="00FB396F" w:rsidRPr="00F03BCB" w:rsidTr="00FB396F">
        <w:tc>
          <w:tcPr>
            <w:tcW w:w="675" w:type="dxa"/>
            <w:tcBorders>
              <w:top w:val="single" w:sz="12" w:space="0" w:color="auto"/>
            </w:tcBorders>
          </w:tcPr>
          <w:p w:rsidR="008139EB" w:rsidRPr="003A2CB2" w:rsidRDefault="008139EB" w:rsidP="00B66FDE">
            <w:pPr>
              <w:rPr>
                <w:sz w:val="20"/>
                <w:szCs w:val="20"/>
              </w:rPr>
            </w:pPr>
            <w:r w:rsidRPr="003A2CB2">
              <w:rPr>
                <w:sz w:val="20"/>
                <w:szCs w:val="20"/>
              </w:rPr>
              <w:t>PO 4</w:t>
            </w:r>
          </w:p>
        </w:tc>
        <w:tc>
          <w:tcPr>
            <w:tcW w:w="1276" w:type="dxa"/>
            <w:tcBorders>
              <w:top w:val="single" w:sz="12" w:space="0" w:color="auto"/>
            </w:tcBorders>
          </w:tcPr>
          <w:p w:rsidR="008139EB" w:rsidRPr="003A2CB2" w:rsidRDefault="008643C2" w:rsidP="00B66FDE">
            <w:pPr>
              <w:rPr>
                <w:sz w:val="20"/>
                <w:szCs w:val="20"/>
              </w:rPr>
            </w:pPr>
            <w:r>
              <w:rPr>
                <w:sz w:val="20"/>
                <w:szCs w:val="20"/>
              </w:rPr>
              <w:t>výsledkový</w:t>
            </w:r>
          </w:p>
        </w:tc>
        <w:tc>
          <w:tcPr>
            <w:tcW w:w="567" w:type="dxa"/>
            <w:tcBorders>
              <w:top w:val="single" w:sz="12" w:space="0" w:color="auto"/>
            </w:tcBorders>
          </w:tcPr>
          <w:p w:rsidR="008139EB" w:rsidRPr="003A2CB2" w:rsidRDefault="0077324E" w:rsidP="00B66FDE">
            <w:pPr>
              <w:spacing w:line="276" w:lineRule="auto"/>
              <w:rPr>
                <w:sz w:val="20"/>
                <w:szCs w:val="20"/>
              </w:rPr>
            </w:pPr>
            <w:r>
              <w:rPr>
                <w:sz w:val="20"/>
                <w:szCs w:val="20"/>
              </w:rPr>
              <w:t>454</w:t>
            </w:r>
            <w:r w:rsidRPr="0077324E">
              <w:rPr>
                <w:sz w:val="20"/>
                <w:szCs w:val="20"/>
              </w:rPr>
              <w:t>10</w:t>
            </w:r>
          </w:p>
        </w:tc>
        <w:tc>
          <w:tcPr>
            <w:tcW w:w="851" w:type="dxa"/>
            <w:tcBorders>
              <w:top w:val="single" w:sz="12" w:space="0" w:color="auto"/>
            </w:tcBorders>
          </w:tcPr>
          <w:p w:rsidR="008139EB" w:rsidRPr="003A2CB2" w:rsidRDefault="0033290F" w:rsidP="00B66FDE">
            <w:pPr>
              <w:spacing w:line="276" w:lineRule="auto"/>
              <w:rPr>
                <w:sz w:val="20"/>
                <w:szCs w:val="20"/>
              </w:rPr>
            </w:pPr>
            <w:r w:rsidRPr="0033290F">
              <w:rPr>
                <w:sz w:val="20"/>
                <w:szCs w:val="20"/>
              </w:rPr>
              <w:t xml:space="preserve">Plocha revitalizovaného území  </w:t>
            </w:r>
          </w:p>
        </w:tc>
        <w:tc>
          <w:tcPr>
            <w:tcW w:w="850" w:type="dxa"/>
            <w:tcBorders>
              <w:top w:val="single" w:sz="12" w:space="0" w:color="auto"/>
            </w:tcBorders>
          </w:tcPr>
          <w:p w:rsidR="008139EB" w:rsidRPr="003A2CB2" w:rsidRDefault="0033290F" w:rsidP="00B66FDE">
            <w:pPr>
              <w:spacing w:line="276" w:lineRule="auto"/>
              <w:rPr>
                <w:sz w:val="20"/>
                <w:szCs w:val="20"/>
              </w:rPr>
            </w:pPr>
            <w:r w:rsidRPr="0033290F">
              <w:rPr>
                <w:sz w:val="20"/>
                <w:szCs w:val="20"/>
              </w:rPr>
              <w:t>ha</w:t>
            </w:r>
          </w:p>
        </w:tc>
        <w:tc>
          <w:tcPr>
            <w:tcW w:w="425" w:type="dxa"/>
            <w:tcBorders>
              <w:top w:val="single" w:sz="12" w:space="0" w:color="auto"/>
            </w:tcBorders>
          </w:tcPr>
          <w:p w:rsidR="008139EB" w:rsidRPr="003A2CB2" w:rsidRDefault="0033290F" w:rsidP="00B66FDE">
            <w:pPr>
              <w:spacing w:line="276" w:lineRule="auto"/>
              <w:rPr>
                <w:sz w:val="20"/>
                <w:szCs w:val="20"/>
              </w:rPr>
            </w:pPr>
            <w:r w:rsidRPr="0033290F">
              <w:rPr>
                <w:sz w:val="20"/>
                <w:szCs w:val="20"/>
              </w:rPr>
              <w:t>EFRR</w:t>
            </w:r>
          </w:p>
        </w:tc>
        <w:tc>
          <w:tcPr>
            <w:tcW w:w="1134" w:type="dxa"/>
            <w:tcBorders>
              <w:top w:val="single" w:sz="12" w:space="0" w:color="auto"/>
            </w:tcBorders>
          </w:tcPr>
          <w:p w:rsidR="008139EB" w:rsidRPr="003A2CB2" w:rsidRDefault="0033290F" w:rsidP="00B66FDE">
            <w:pPr>
              <w:spacing w:line="276" w:lineRule="auto"/>
              <w:rPr>
                <w:sz w:val="20"/>
                <w:szCs w:val="20"/>
              </w:rPr>
            </w:pPr>
            <w:r w:rsidRPr="0033290F">
              <w:rPr>
                <w:rFonts w:asciiTheme="majorHAnsi" w:hAnsiTheme="majorHAnsi"/>
                <w:sz w:val="20"/>
                <w:szCs w:val="20"/>
              </w:rPr>
              <w:t xml:space="preserve">Méně </w:t>
            </w:r>
            <w:r w:rsidRPr="0033290F">
              <w:rPr>
                <w:sz w:val="20"/>
                <w:szCs w:val="20"/>
              </w:rPr>
              <w:t>rozvinuté</w:t>
            </w:r>
            <w:r w:rsidRPr="0033290F">
              <w:rPr>
                <w:rFonts w:asciiTheme="majorHAnsi" w:hAnsiTheme="majorHAnsi"/>
                <w:sz w:val="20"/>
                <w:szCs w:val="20"/>
              </w:rPr>
              <w:t xml:space="preserve"> regiony</w:t>
            </w:r>
          </w:p>
        </w:tc>
        <w:tc>
          <w:tcPr>
            <w:tcW w:w="851" w:type="dxa"/>
            <w:tcBorders>
              <w:top w:val="single" w:sz="12" w:space="0" w:color="auto"/>
            </w:tcBorders>
          </w:tcPr>
          <w:p w:rsidR="008139EB" w:rsidRPr="003A2CB2" w:rsidRDefault="0033290F" w:rsidP="00B66FDE">
            <w:pPr>
              <w:spacing w:line="276" w:lineRule="auto"/>
              <w:rPr>
                <w:sz w:val="20"/>
                <w:szCs w:val="20"/>
              </w:rPr>
            </w:pPr>
            <w:r w:rsidRPr="0033290F">
              <w:rPr>
                <w:sz w:val="20"/>
                <w:szCs w:val="20"/>
              </w:rPr>
              <w:t>41378</w:t>
            </w:r>
          </w:p>
        </w:tc>
        <w:tc>
          <w:tcPr>
            <w:tcW w:w="850" w:type="dxa"/>
            <w:tcBorders>
              <w:top w:val="single" w:sz="12" w:space="0" w:color="auto"/>
            </w:tcBorders>
          </w:tcPr>
          <w:p w:rsidR="008139EB" w:rsidRPr="003A2CB2" w:rsidRDefault="0033290F" w:rsidP="00B66FDE">
            <w:pPr>
              <w:spacing w:line="276" w:lineRule="auto"/>
              <w:rPr>
                <w:sz w:val="20"/>
                <w:szCs w:val="20"/>
              </w:rPr>
            </w:pPr>
            <w:r w:rsidRPr="0033290F">
              <w:rPr>
                <w:sz w:val="20"/>
                <w:szCs w:val="20"/>
              </w:rPr>
              <w:t xml:space="preserve"> 49 820</w:t>
            </w:r>
          </w:p>
        </w:tc>
        <w:tc>
          <w:tcPr>
            <w:tcW w:w="851" w:type="dxa"/>
            <w:tcBorders>
              <w:top w:val="single" w:sz="12" w:space="0" w:color="auto"/>
            </w:tcBorders>
          </w:tcPr>
          <w:p w:rsidR="008139EB" w:rsidRPr="003A2CB2" w:rsidRDefault="0033290F" w:rsidP="00B66FDE">
            <w:pPr>
              <w:spacing w:line="276" w:lineRule="auto"/>
              <w:rPr>
                <w:sz w:val="20"/>
                <w:szCs w:val="20"/>
              </w:rPr>
            </w:pPr>
            <w:r w:rsidRPr="0033290F">
              <w:rPr>
                <w:sz w:val="20"/>
                <w:szCs w:val="20"/>
              </w:rPr>
              <w:t>Žadatel/příjemce</w:t>
            </w:r>
          </w:p>
        </w:tc>
        <w:tc>
          <w:tcPr>
            <w:tcW w:w="850" w:type="dxa"/>
            <w:tcBorders>
              <w:top w:val="single" w:sz="12" w:space="0" w:color="auto"/>
            </w:tcBorders>
          </w:tcPr>
          <w:p w:rsidR="008139EB" w:rsidRPr="003A2CB2" w:rsidRDefault="005F0C81" w:rsidP="00B66FDE">
            <w:pPr>
              <w:spacing w:line="276" w:lineRule="auto"/>
              <w:rPr>
                <w:sz w:val="20"/>
                <w:szCs w:val="20"/>
              </w:rPr>
            </w:pPr>
            <w:r>
              <w:rPr>
                <w:sz w:val="20"/>
                <w:szCs w:val="20"/>
              </w:rPr>
              <w:t>-</w:t>
            </w:r>
          </w:p>
        </w:tc>
      </w:tr>
    </w:tbl>
    <w:p w:rsidR="00D60E37" w:rsidRDefault="00D60E37" w:rsidP="00B66FDE"/>
    <w:p w:rsidR="00BF593B" w:rsidRPr="004314F4" w:rsidRDefault="00BF593B" w:rsidP="00165854">
      <w:pPr>
        <w:pStyle w:val="Nadpis3"/>
      </w:pPr>
      <w:bookmarkStart w:id="2861" w:name="_Toc392151050"/>
      <w:r w:rsidRPr="004314F4">
        <w:t xml:space="preserve">Kategorie </w:t>
      </w:r>
      <w:r w:rsidR="008139EB">
        <w:t>zásahů</w:t>
      </w:r>
      <w:bookmarkEnd w:id="2861"/>
    </w:p>
    <w:p w:rsidR="00FA2B9D" w:rsidRPr="004314F4" w:rsidRDefault="00F45EA7" w:rsidP="00165854">
      <w:pPr>
        <w:pStyle w:val="Titulek"/>
      </w:pPr>
      <w:bookmarkStart w:id="2862" w:name="_Toc384907485"/>
      <w:r>
        <w:t>Dimenze 1 – Oblast zásahu</w:t>
      </w:r>
      <w:bookmarkEnd w:id="2862"/>
    </w:p>
    <w:tbl>
      <w:tblPr>
        <w:tblStyle w:val="Mkatabulky"/>
        <w:tblW w:w="0" w:type="auto"/>
        <w:tblLook w:val="04A0" w:firstRow="1" w:lastRow="0" w:firstColumn="1" w:lastColumn="0" w:noHBand="0" w:noVBand="1"/>
      </w:tblPr>
      <w:tblGrid>
        <w:gridCol w:w="3070"/>
        <w:gridCol w:w="3070"/>
        <w:gridCol w:w="2899"/>
      </w:tblGrid>
      <w:tr w:rsidR="00F45EA7" w:rsidTr="00FB396F">
        <w:tc>
          <w:tcPr>
            <w:tcW w:w="3070" w:type="dxa"/>
          </w:tcPr>
          <w:p w:rsidR="00F45EA7" w:rsidRDefault="00F45EA7" w:rsidP="00867818">
            <w:r>
              <w:t>Fond</w:t>
            </w:r>
          </w:p>
        </w:tc>
        <w:tc>
          <w:tcPr>
            <w:tcW w:w="5969" w:type="dxa"/>
            <w:gridSpan w:val="2"/>
          </w:tcPr>
          <w:p w:rsidR="00F45EA7" w:rsidRDefault="00F45EA7" w:rsidP="00867818">
            <w:r>
              <w:t>Evropský fond pro regionální rozvoj</w:t>
            </w:r>
          </w:p>
        </w:tc>
      </w:tr>
      <w:tr w:rsidR="00F45EA7" w:rsidTr="00FB396F">
        <w:tc>
          <w:tcPr>
            <w:tcW w:w="3070" w:type="dxa"/>
          </w:tcPr>
          <w:p w:rsidR="00F45EA7" w:rsidRDefault="00F45EA7" w:rsidP="00867818">
            <w:r>
              <w:t>Kategorie regionů</w:t>
            </w:r>
          </w:p>
        </w:tc>
        <w:tc>
          <w:tcPr>
            <w:tcW w:w="5969" w:type="dxa"/>
            <w:gridSpan w:val="2"/>
          </w:tcPr>
          <w:p w:rsidR="00F45EA7" w:rsidRDefault="00F45EA7" w:rsidP="00867818">
            <w:r>
              <w:t>Méně rozvinuté regiony</w:t>
            </w:r>
          </w:p>
        </w:tc>
      </w:tr>
      <w:tr w:rsidR="00F45EA7" w:rsidTr="00FB396F">
        <w:tc>
          <w:tcPr>
            <w:tcW w:w="3070" w:type="dxa"/>
          </w:tcPr>
          <w:p w:rsidR="00F45EA7" w:rsidRDefault="00F45EA7" w:rsidP="00867818">
            <w:r>
              <w:t>Prioritní osa</w:t>
            </w:r>
          </w:p>
        </w:tc>
        <w:tc>
          <w:tcPr>
            <w:tcW w:w="3070" w:type="dxa"/>
          </w:tcPr>
          <w:p w:rsidR="00F45EA7" w:rsidRDefault="00F45EA7" w:rsidP="00867818">
            <w:r>
              <w:t xml:space="preserve">Kód </w:t>
            </w:r>
          </w:p>
        </w:tc>
        <w:tc>
          <w:tcPr>
            <w:tcW w:w="2899" w:type="dxa"/>
          </w:tcPr>
          <w:p w:rsidR="00F45EA7" w:rsidRDefault="00F45EA7" w:rsidP="00867818">
            <w:r>
              <w:t xml:space="preserve">Částka (v </w:t>
            </w:r>
            <w:proofErr w:type="gramStart"/>
            <w:r>
              <w:t>EUR</w:t>
            </w:r>
            <w:proofErr w:type="gramEnd"/>
            <w:r>
              <w:t>)</w:t>
            </w:r>
          </w:p>
        </w:tc>
      </w:tr>
      <w:tr w:rsidR="00F45EA7" w:rsidTr="00FB396F">
        <w:tc>
          <w:tcPr>
            <w:tcW w:w="3070" w:type="dxa"/>
          </w:tcPr>
          <w:p w:rsidR="00F45EA7" w:rsidRDefault="00F45EA7" w:rsidP="00867818">
            <w:r>
              <w:t>Prioritní osa 4</w:t>
            </w:r>
          </w:p>
        </w:tc>
        <w:tc>
          <w:tcPr>
            <w:tcW w:w="3070" w:type="dxa"/>
          </w:tcPr>
          <w:p w:rsidR="00F45EA7" w:rsidRPr="00560A76" w:rsidRDefault="00F45EA7" w:rsidP="00867818">
            <w:r w:rsidRPr="00560A76">
              <w:rPr>
                <w:color w:val="000000"/>
              </w:rPr>
              <w:t>085</w:t>
            </w:r>
          </w:p>
        </w:tc>
        <w:tc>
          <w:tcPr>
            <w:tcW w:w="2899" w:type="dxa"/>
            <w:vAlign w:val="bottom"/>
          </w:tcPr>
          <w:p w:rsidR="00F45EA7" w:rsidRPr="00560A76" w:rsidRDefault="0033290F" w:rsidP="00867818">
            <w:r w:rsidRPr="0033290F">
              <w:rPr>
                <w:color w:val="000000"/>
              </w:rPr>
              <w:t>333 507 072</w:t>
            </w:r>
          </w:p>
        </w:tc>
      </w:tr>
      <w:tr w:rsidR="00F45EA7" w:rsidTr="00560A76">
        <w:trPr>
          <w:trHeight w:val="301"/>
        </w:trPr>
        <w:tc>
          <w:tcPr>
            <w:tcW w:w="3070" w:type="dxa"/>
          </w:tcPr>
          <w:p w:rsidR="00F45EA7" w:rsidRDefault="00F45EA7" w:rsidP="00867818">
            <w:r>
              <w:t>Prioritní osa 4</w:t>
            </w:r>
          </w:p>
        </w:tc>
        <w:tc>
          <w:tcPr>
            <w:tcW w:w="3070" w:type="dxa"/>
          </w:tcPr>
          <w:p w:rsidR="00F45EA7" w:rsidRPr="00560A76" w:rsidRDefault="00F45EA7" w:rsidP="00867818">
            <w:pPr>
              <w:rPr>
                <w:color w:val="000000"/>
              </w:rPr>
            </w:pPr>
            <w:r w:rsidRPr="00560A76">
              <w:rPr>
                <w:color w:val="000000"/>
              </w:rPr>
              <w:t>086</w:t>
            </w:r>
          </w:p>
        </w:tc>
        <w:tc>
          <w:tcPr>
            <w:tcW w:w="2899" w:type="dxa"/>
            <w:vAlign w:val="bottom"/>
          </w:tcPr>
          <w:p w:rsidR="00F45EA7" w:rsidRPr="00560A76" w:rsidRDefault="0033290F" w:rsidP="00867818">
            <w:pPr>
              <w:rPr>
                <w:color w:val="000000"/>
              </w:rPr>
            </w:pPr>
            <w:r w:rsidRPr="0033290F">
              <w:rPr>
                <w:color w:val="000000"/>
              </w:rPr>
              <w:t>70 703 500</w:t>
            </w:r>
          </w:p>
        </w:tc>
      </w:tr>
    </w:tbl>
    <w:p w:rsidR="00F45EA7" w:rsidRDefault="00F45EA7" w:rsidP="00B66FDE"/>
    <w:p w:rsidR="00674BC9" w:rsidRDefault="00F45EA7">
      <w:pPr>
        <w:pStyle w:val="Titulek"/>
      </w:pPr>
      <w:r>
        <w:t>Dimenze 2 – Forma financování</w:t>
      </w:r>
    </w:p>
    <w:tbl>
      <w:tblPr>
        <w:tblStyle w:val="Mkatabulky"/>
        <w:tblW w:w="0" w:type="auto"/>
        <w:tblLook w:val="04A0" w:firstRow="1" w:lastRow="0" w:firstColumn="1" w:lastColumn="0" w:noHBand="0" w:noVBand="1"/>
      </w:tblPr>
      <w:tblGrid>
        <w:gridCol w:w="3070"/>
        <w:gridCol w:w="3070"/>
        <w:gridCol w:w="2899"/>
      </w:tblGrid>
      <w:tr w:rsidR="00F45EA7" w:rsidRPr="00560A76" w:rsidTr="00FB396F">
        <w:tc>
          <w:tcPr>
            <w:tcW w:w="3070" w:type="dxa"/>
          </w:tcPr>
          <w:p w:rsidR="00F45EA7" w:rsidRPr="00560A76" w:rsidRDefault="00F45EA7" w:rsidP="00867818">
            <w:r w:rsidRPr="00560A76">
              <w:t>Fond</w:t>
            </w:r>
          </w:p>
        </w:tc>
        <w:tc>
          <w:tcPr>
            <w:tcW w:w="5969" w:type="dxa"/>
            <w:gridSpan w:val="2"/>
          </w:tcPr>
          <w:p w:rsidR="00F45EA7" w:rsidRPr="00560A76" w:rsidRDefault="00F45EA7" w:rsidP="00867818">
            <w:r w:rsidRPr="00560A76">
              <w:t>Evropský fond pro regionální rozvoj</w:t>
            </w:r>
          </w:p>
        </w:tc>
      </w:tr>
      <w:tr w:rsidR="00F45EA7" w:rsidRPr="00560A76" w:rsidTr="00FB396F">
        <w:tc>
          <w:tcPr>
            <w:tcW w:w="3070" w:type="dxa"/>
          </w:tcPr>
          <w:p w:rsidR="00F45EA7" w:rsidRPr="00560A76" w:rsidRDefault="0033290F" w:rsidP="00867818">
            <w:pPr>
              <w:spacing w:line="276" w:lineRule="auto"/>
            </w:pPr>
            <w:r w:rsidRPr="0033290F">
              <w:t>Kategorie regionů</w:t>
            </w:r>
          </w:p>
        </w:tc>
        <w:tc>
          <w:tcPr>
            <w:tcW w:w="5969" w:type="dxa"/>
            <w:gridSpan w:val="2"/>
          </w:tcPr>
          <w:p w:rsidR="00F45EA7" w:rsidRPr="00560A76" w:rsidRDefault="0033290F" w:rsidP="00867818">
            <w:pPr>
              <w:spacing w:line="276" w:lineRule="auto"/>
            </w:pPr>
            <w:r w:rsidRPr="0033290F">
              <w:t>Méně rozvinuté regiony</w:t>
            </w:r>
          </w:p>
        </w:tc>
      </w:tr>
      <w:tr w:rsidR="00F45EA7" w:rsidRPr="00560A76" w:rsidTr="00FB396F">
        <w:tc>
          <w:tcPr>
            <w:tcW w:w="3070" w:type="dxa"/>
          </w:tcPr>
          <w:p w:rsidR="00F45EA7" w:rsidRPr="00560A76" w:rsidRDefault="0033290F" w:rsidP="00867818">
            <w:pPr>
              <w:spacing w:line="276" w:lineRule="auto"/>
            </w:pPr>
            <w:r w:rsidRPr="0033290F">
              <w:t>Prioritní osa</w:t>
            </w:r>
          </w:p>
        </w:tc>
        <w:tc>
          <w:tcPr>
            <w:tcW w:w="3070" w:type="dxa"/>
          </w:tcPr>
          <w:p w:rsidR="00F45EA7" w:rsidRPr="00560A76" w:rsidRDefault="0033290F" w:rsidP="00867818">
            <w:pPr>
              <w:spacing w:line="276" w:lineRule="auto"/>
            </w:pPr>
            <w:r w:rsidRPr="0033290F">
              <w:t xml:space="preserve">Kód </w:t>
            </w:r>
          </w:p>
        </w:tc>
        <w:tc>
          <w:tcPr>
            <w:tcW w:w="2899" w:type="dxa"/>
          </w:tcPr>
          <w:p w:rsidR="00F45EA7" w:rsidRPr="00560A76" w:rsidRDefault="0033290F" w:rsidP="00867818">
            <w:pPr>
              <w:spacing w:line="276" w:lineRule="auto"/>
            </w:pPr>
            <w:r w:rsidRPr="0033290F">
              <w:t xml:space="preserve">Částka (v </w:t>
            </w:r>
            <w:proofErr w:type="gramStart"/>
            <w:r w:rsidRPr="0033290F">
              <w:t>EUR</w:t>
            </w:r>
            <w:proofErr w:type="gramEnd"/>
            <w:r w:rsidRPr="0033290F">
              <w:t>)</w:t>
            </w:r>
          </w:p>
        </w:tc>
      </w:tr>
      <w:tr w:rsidR="00F45EA7" w:rsidRPr="00560A76" w:rsidTr="00FB396F">
        <w:tc>
          <w:tcPr>
            <w:tcW w:w="3070" w:type="dxa"/>
          </w:tcPr>
          <w:p w:rsidR="00F45EA7" w:rsidRPr="00560A76" w:rsidRDefault="0033290F" w:rsidP="00867818">
            <w:pPr>
              <w:spacing w:line="276" w:lineRule="auto"/>
            </w:pPr>
            <w:r w:rsidRPr="0033290F">
              <w:t>Prioritní osa 4</w:t>
            </w:r>
          </w:p>
        </w:tc>
        <w:tc>
          <w:tcPr>
            <w:tcW w:w="3070" w:type="dxa"/>
          </w:tcPr>
          <w:p w:rsidR="00F45EA7" w:rsidRPr="00560A76" w:rsidRDefault="0033290F" w:rsidP="00867818">
            <w:pPr>
              <w:spacing w:line="276" w:lineRule="auto"/>
            </w:pPr>
            <w:r w:rsidRPr="0033290F">
              <w:rPr>
                <w:color w:val="000000"/>
              </w:rPr>
              <w:t>01</w:t>
            </w:r>
          </w:p>
        </w:tc>
        <w:tc>
          <w:tcPr>
            <w:tcW w:w="2899" w:type="dxa"/>
            <w:vAlign w:val="bottom"/>
          </w:tcPr>
          <w:p w:rsidR="00F45EA7" w:rsidRPr="00560A76" w:rsidRDefault="0033290F" w:rsidP="00867818">
            <w:r w:rsidRPr="0033290F">
              <w:rPr>
                <w:color w:val="000000"/>
              </w:rPr>
              <w:t>351 735 069</w:t>
            </w:r>
          </w:p>
        </w:tc>
      </w:tr>
    </w:tbl>
    <w:p w:rsidR="00F45EA7" w:rsidRDefault="00F45EA7" w:rsidP="00F45EA7"/>
    <w:p w:rsidR="00F625C4" w:rsidRDefault="00F625C4" w:rsidP="00F45EA7"/>
    <w:p w:rsidR="00F625C4" w:rsidRPr="00560A76" w:rsidRDefault="00F625C4" w:rsidP="00F45EA7"/>
    <w:p w:rsidR="00674BC9" w:rsidRDefault="0033290F">
      <w:pPr>
        <w:pStyle w:val="Titulek"/>
      </w:pPr>
      <w:r w:rsidRPr="0033290F">
        <w:lastRenderedPageBreak/>
        <w:t xml:space="preserve">Dimenze 3 – Typ území </w:t>
      </w:r>
    </w:p>
    <w:tbl>
      <w:tblPr>
        <w:tblStyle w:val="Mkatabulky"/>
        <w:tblW w:w="0" w:type="auto"/>
        <w:tblLook w:val="04A0" w:firstRow="1" w:lastRow="0" w:firstColumn="1" w:lastColumn="0" w:noHBand="0" w:noVBand="1"/>
      </w:tblPr>
      <w:tblGrid>
        <w:gridCol w:w="3070"/>
        <w:gridCol w:w="3070"/>
        <w:gridCol w:w="2899"/>
      </w:tblGrid>
      <w:tr w:rsidR="00F45EA7" w:rsidRPr="00560A76" w:rsidTr="00FB396F">
        <w:tc>
          <w:tcPr>
            <w:tcW w:w="3070" w:type="dxa"/>
          </w:tcPr>
          <w:p w:rsidR="00F45EA7" w:rsidRPr="00560A76" w:rsidRDefault="0033290F" w:rsidP="00867818">
            <w:pPr>
              <w:spacing w:line="276" w:lineRule="auto"/>
            </w:pPr>
            <w:r w:rsidRPr="0033290F">
              <w:t>Fond</w:t>
            </w:r>
          </w:p>
        </w:tc>
        <w:tc>
          <w:tcPr>
            <w:tcW w:w="5969" w:type="dxa"/>
            <w:gridSpan w:val="2"/>
          </w:tcPr>
          <w:p w:rsidR="00F45EA7" w:rsidRPr="00560A76" w:rsidRDefault="0033290F" w:rsidP="00867818">
            <w:pPr>
              <w:spacing w:line="276" w:lineRule="auto"/>
            </w:pPr>
            <w:r w:rsidRPr="0033290F">
              <w:t>Evropský fond pro regionální rozvoj</w:t>
            </w:r>
          </w:p>
        </w:tc>
      </w:tr>
      <w:tr w:rsidR="00F45EA7" w:rsidRPr="00560A76" w:rsidTr="00FB396F">
        <w:tc>
          <w:tcPr>
            <w:tcW w:w="3070" w:type="dxa"/>
          </w:tcPr>
          <w:p w:rsidR="00F45EA7" w:rsidRPr="00560A76" w:rsidRDefault="0033290F" w:rsidP="00867818">
            <w:pPr>
              <w:spacing w:line="276" w:lineRule="auto"/>
            </w:pPr>
            <w:r w:rsidRPr="0033290F">
              <w:t>Kategorie regionů</w:t>
            </w:r>
          </w:p>
        </w:tc>
        <w:tc>
          <w:tcPr>
            <w:tcW w:w="5969" w:type="dxa"/>
            <w:gridSpan w:val="2"/>
          </w:tcPr>
          <w:p w:rsidR="00F45EA7" w:rsidRPr="00560A76" w:rsidRDefault="0033290F" w:rsidP="00867818">
            <w:pPr>
              <w:spacing w:line="276" w:lineRule="auto"/>
            </w:pPr>
            <w:r w:rsidRPr="0033290F">
              <w:t>Méně rozvinuté regiony</w:t>
            </w:r>
          </w:p>
        </w:tc>
      </w:tr>
      <w:tr w:rsidR="00F45EA7" w:rsidRPr="00560A76" w:rsidTr="00FB396F">
        <w:tc>
          <w:tcPr>
            <w:tcW w:w="3070" w:type="dxa"/>
          </w:tcPr>
          <w:p w:rsidR="00F45EA7" w:rsidRPr="00560A76" w:rsidRDefault="0033290F" w:rsidP="00867818">
            <w:pPr>
              <w:spacing w:line="276" w:lineRule="auto"/>
            </w:pPr>
            <w:r w:rsidRPr="0033290F">
              <w:t>Prioritní osa</w:t>
            </w:r>
          </w:p>
        </w:tc>
        <w:tc>
          <w:tcPr>
            <w:tcW w:w="3070" w:type="dxa"/>
          </w:tcPr>
          <w:p w:rsidR="00F45EA7" w:rsidRPr="00560A76" w:rsidRDefault="0033290F" w:rsidP="00867818">
            <w:pPr>
              <w:spacing w:line="276" w:lineRule="auto"/>
            </w:pPr>
            <w:r w:rsidRPr="0033290F">
              <w:t xml:space="preserve">Kód </w:t>
            </w:r>
          </w:p>
        </w:tc>
        <w:tc>
          <w:tcPr>
            <w:tcW w:w="2899" w:type="dxa"/>
          </w:tcPr>
          <w:p w:rsidR="00F45EA7" w:rsidRPr="00560A76" w:rsidRDefault="0033290F" w:rsidP="00867818">
            <w:pPr>
              <w:spacing w:line="276" w:lineRule="auto"/>
            </w:pPr>
            <w:r w:rsidRPr="0033290F">
              <w:t xml:space="preserve">Částka (v </w:t>
            </w:r>
            <w:proofErr w:type="gramStart"/>
            <w:r w:rsidRPr="0033290F">
              <w:t>EUR</w:t>
            </w:r>
            <w:proofErr w:type="gramEnd"/>
            <w:r w:rsidRPr="0033290F">
              <w:t>)</w:t>
            </w:r>
          </w:p>
        </w:tc>
      </w:tr>
      <w:tr w:rsidR="00F45EA7" w:rsidRPr="00560A76" w:rsidTr="00FB396F">
        <w:tc>
          <w:tcPr>
            <w:tcW w:w="3070" w:type="dxa"/>
          </w:tcPr>
          <w:p w:rsidR="00F45EA7" w:rsidRPr="00560A76" w:rsidRDefault="0033290F" w:rsidP="00867818">
            <w:pPr>
              <w:spacing w:line="276" w:lineRule="auto"/>
            </w:pPr>
            <w:r w:rsidRPr="0033290F">
              <w:t>Prioritní osa 4</w:t>
            </w:r>
          </w:p>
        </w:tc>
        <w:tc>
          <w:tcPr>
            <w:tcW w:w="3070" w:type="dxa"/>
          </w:tcPr>
          <w:p w:rsidR="00F45EA7" w:rsidRPr="00560A76" w:rsidRDefault="0033290F" w:rsidP="00867818">
            <w:pPr>
              <w:spacing w:line="276" w:lineRule="auto"/>
            </w:pPr>
            <w:r w:rsidRPr="0033290F">
              <w:rPr>
                <w:color w:val="000000"/>
              </w:rPr>
              <w:t>01</w:t>
            </w:r>
          </w:p>
        </w:tc>
        <w:tc>
          <w:tcPr>
            <w:tcW w:w="2899" w:type="dxa"/>
            <w:vAlign w:val="bottom"/>
          </w:tcPr>
          <w:p w:rsidR="00F45EA7" w:rsidRPr="00560A76" w:rsidRDefault="0033290F" w:rsidP="00867818">
            <w:r w:rsidRPr="0033290F">
              <w:rPr>
                <w:color w:val="000000"/>
              </w:rPr>
              <w:t>66 701 414</w:t>
            </w:r>
          </w:p>
        </w:tc>
      </w:tr>
      <w:tr w:rsidR="00F45EA7" w:rsidRPr="00560A76" w:rsidTr="00FB396F">
        <w:tc>
          <w:tcPr>
            <w:tcW w:w="3070" w:type="dxa"/>
          </w:tcPr>
          <w:p w:rsidR="00F45EA7" w:rsidRPr="00560A76" w:rsidRDefault="0033290F" w:rsidP="00867818">
            <w:pPr>
              <w:spacing w:line="276" w:lineRule="auto"/>
            </w:pPr>
            <w:r w:rsidRPr="0033290F">
              <w:t>Prioritní osa 4</w:t>
            </w:r>
          </w:p>
        </w:tc>
        <w:tc>
          <w:tcPr>
            <w:tcW w:w="3070" w:type="dxa"/>
          </w:tcPr>
          <w:p w:rsidR="00F45EA7" w:rsidRPr="00560A76" w:rsidRDefault="0033290F" w:rsidP="00867818">
            <w:pPr>
              <w:spacing w:line="276" w:lineRule="auto"/>
              <w:rPr>
                <w:color w:val="000000"/>
              </w:rPr>
            </w:pPr>
            <w:r w:rsidRPr="0033290F">
              <w:rPr>
                <w:color w:val="000000"/>
              </w:rPr>
              <w:t>02</w:t>
            </w:r>
          </w:p>
        </w:tc>
        <w:tc>
          <w:tcPr>
            <w:tcW w:w="2899" w:type="dxa"/>
            <w:vAlign w:val="bottom"/>
          </w:tcPr>
          <w:p w:rsidR="00F45EA7" w:rsidRPr="00560A76" w:rsidRDefault="0033290F" w:rsidP="00867818">
            <w:pPr>
              <w:spacing w:line="276" w:lineRule="auto"/>
              <w:rPr>
                <w:color w:val="000000"/>
              </w:rPr>
            </w:pPr>
            <w:r w:rsidRPr="0033290F">
              <w:rPr>
                <w:color w:val="000000"/>
              </w:rPr>
              <w:t>66 701 414</w:t>
            </w:r>
          </w:p>
        </w:tc>
      </w:tr>
      <w:tr w:rsidR="00F45EA7" w:rsidRPr="00560A76" w:rsidTr="00FB396F">
        <w:tc>
          <w:tcPr>
            <w:tcW w:w="3070" w:type="dxa"/>
          </w:tcPr>
          <w:p w:rsidR="00F45EA7" w:rsidRPr="00560A76" w:rsidRDefault="0033290F" w:rsidP="00867818">
            <w:pPr>
              <w:spacing w:line="276" w:lineRule="auto"/>
            </w:pPr>
            <w:r w:rsidRPr="0033290F">
              <w:t>Prioritní osa 4</w:t>
            </w:r>
          </w:p>
        </w:tc>
        <w:tc>
          <w:tcPr>
            <w:tcW w:w="3070" w:type="dxa"/>
          </w:tcPr>
          <w:p w:rsidR="00F45EA7" w:rsidRPr="00560A76" w:rsidRDefault="0033290F" w:rsidP="00867818">
            <w:pPr>
              <w:spacing w:line="276" w:lineRule="auto"/>
              <w:rPr>
                <w:color w:val="000000"/>
              </w:rPr>
            </w:pPr>
            <w:r w:rsidRPr="0033290F">
              <w:rPr>
                <w:color w:val="000000"/>
              </w:rPr>
              <w:t>03</w:t>
            </w:r>
          </w:p>
        </w:tc>
        <w:tc>
          <w:tcPr>
            <w:tcW w:w="2899" w:type="dxa"/>
            <w:vAlign w:val="bottom"/>
          </w:tcPr>
          <w:p w:rsidR="00F45EA7" w:rsidRPr="00560A76" w:rsidRDefault="0033290F" w:rsidP="00867818">
            <w:pPr>
              <w:spacing w:line="276" w:lineRule="auto"/>
              <w:rPr>
                <w:color w:val="000000"/>
              </w:rPr>
            </w:pPr>
            <w:r w:rsidRPr="0033290F">
              <w:rPr>
                <w:color w:val="000000"/>
              </w:rPr>
              <w:t>266 805 657</w:t>
            </w:r>
          </w:p>
        </w:tc>
      </w:tr>
    </w:tbl>
    <w:p w:rsidR="00F45EA7" w:rsidRDefault="00F45EA7" w:rsidP="00F45EA7"/>
    <w:p w:rsidR="00674BC9" w:rsidRDefault="00551F0A">
      <w:pPr>
        <w:pStyle w:val="Titulek"/>
      </w:pPr>
      <w:r>
        <w:t>Dimenze 4 – Mechanismus územního plnění</w:t>
      </w:r>
    </w:p>
    <w:tbl>
      <w:tblPr>
        <w:tblStyle w:val="Mkatabulky"/>
        <w:tblW w:w="0" w:type="auto"/>
        <w:tblLook w:val="04A0" w:firstRow="1" w:lastRow="0" w:firstColumn="1" w:lastColumn="0" w:noHBand="0" w:noVBand="1"/>
      </w:tblPr>
      <w:tblGrid>
        <w:gridCol w:w="3070"/>
        <w:gridCol w:w="3070"/>
        <w:gridCol w:w="2899"/>
      </w:tblGrid>
      <w:tr w:rsidR="00551F0A" w:rsidTr="00FB396F">
        <w:tc>
          <w:tcPr>
            <w:tcW w:w="3070" w:type="dxa"/>
          </w:tcPr>
          <w:p w:rsidR="00551F0A" w:rsidRDefault="00551F0A" w:rsidP="00867818">
            <w:r>
              <w:t>Fond</w:t>
            </w:r>
          </w:p>
        </w:tc>
        <w:tc>
          <w:tcPr>
            <w:tcW w:w="5969" w:type="dxa"/>
            <w:gridSpan w:val="2"/>
          </w:tcPr>
          <w:p w:rsidR="00551F0A" w:rsidRDefault="00551F0A" w:rsidP="00867818">
            <w:r>
              <w:t>Evropský fond pro regionální rozvoj</w:t>
            </w:r>
          </w:p>
        </w:tc>
      </w:tr>
      <w:tr w:rsidR="00551F0A" w:rsidTr="00FB396F">
        <w:tc>
          <w:tcPr>
            <w:tcW w:w="3070" w:type="dxa"/>
          </w:tcPr>
          <w:p w:rsidR="00551F0A" w:rsidRDefault="00551F0A" w:rsidP="00867818">
            <w:r>
              <w:t>Kategorie regionů</w:t>
            </w:r>
          </w:p>
        </w:tc>
        <w:tc>
          <w:tcPr>
            <w:tcW w:w="5969" w:type="dxa"/>
            <w:gridSpan w:val="2"/>
          </w:tcPr>
          <w:p w:rsidR="00551F0A" w:rsidRDefault="00551F0A" w:rsidP="00867818">
            <w:r>
              <w:t>Méně rozvinuté regiony</w:t>
            </w:r>
          </w:p>
        </w:tc>
      </w:tr>
      <w:tr w:rsidR="00551F0A" w:rsidTr="00FB396F">
        <w:tc>
          <w:tcPr>
            <w:tcW w:w="3070" w:type="dxa"/>
          </w:tcPr>
          <w:p w:rsidR="00551F0A" w:rsidRDefault="00551F0A" w:rsidP="00867818">
            <w:r>
              <w:t>Prioritní osa</w:t>
            </w:r>
          </w:p>
        </w:tc>
        <w:tc>
          <w:tcPr>
            <w:tcW w:w="3070" w:type="dxa"/>
          </w:tcPr>
          <w:p w:rsidR="00551F0A" w:rsidRPr="00560A76" w:rsidRDefault="00551F0A" w:rsidP="00867818">
            <w:r w:rsidRPr="00560A76">
              <w:t xml:space="preserve">Kód </w:t>
            </w:r>
          </w:p>
        </w:tc>
        <w:tc>
          <w:tcPr>
            <w:tcW w:w="2899" w:type="dxa"/>
          </w:tcPr>
          <w:p w:rsidR="00551F0A" w:rsidRPr="00560A76" w:rsidRDefault="0033290F" w:rsidP="00867818">
            <w:pPr>
              <w:spacing w:line="276" w:lineRule="auto"/>
            </w:pPr>
            <w:r w:rsidRPr="0033290F">
              <w:t xml:space="preserve">Částka (v </w:t>
            </w:r>
            <w:proofErr w:type="gramStart"/>
            <w:r w:rsidRPr="0033290F">
              <w:t>EUR</w:t>
            </w:r>
            <w:proofErr w:type="gramEnd"/>
            <w:r w:rsidRPr="0033290F">
              <w:t>)</w:t>
            </w:r>
          </w:p>
        </w:tc>
      </w:tr>
      <w:tr w:rsidR="00551F0A" w:rsidTr="00FB396F">
        <w:tc>
          <w:tcPr>
            <w:tcW w:w="3070" w:type="dxa"/>
          </w:tcPr>
          <w:p w:rsidR="00551F0A" w:rsidRDefault="00551F0A" w:rsidP="00867818">
            <w:r>
              <w:t>Prioritní osa 4</w:t>
            </w:r>
          </w:p>
        </w:tc>
        <w:tc>
          <w:tcPr>
            <w:tcW w:w="3070" w:type="dxa"/>
          </w:tcPr>
          <w:p w:rsidR="00551F0A" w:rsidRPr="00560A76" w:rsidRDefault="00551F0A" w:rsidP="00867818">
            <w:r w:rsidRPr="00560A76">
              <w:rPr>
                <w:color w:val="000000"/>
              </w:rPr>
              <w:t>07</w:t>
            </w:r>
          </w:p>
        </w:tc>
        <w:tc>
          <w:tcPr>
            <w:tcW w:w="2899" w:type="dxa"/>
          </w:tcPr>
          <w:p w:rsidR="00551F0A" w:rsidRPr="00560A76" w:rsidRDefault="0033290F" w:rsidP="00867818">
            <w:r w:rsidRPr="0033290F">
              <w:rPr>
                <w:color w:val="000000"/>
              </w:rPr>
              <w:t>351 735 069</w:t>
            </w:r>
          </w:p>
        </w:tc>
      </w:tr>
    </w:tbl>
    <w:p w:rsidR="00551F0A" w:rsidRDefault="00551F0A" w:rsidP="00551F0A"/>
    <w:p w:rsidR="00674BC9" w:rsidRDefault="00551F0A">
      <w:pPr>
        <w:pStyle w:val="Titulek"/>
      </w:pPr>
      <w:r>
        <w:t>Dimenze 5 – Tematický cíl</w:t>
      </w:r>
    </w:p>
    <w:tbl>
      <w:tblPr>
        <w:tblStyle w:val="Mkatabulky"/>
        <w:tblW w:w="0" w:type="auto"/>
        <w:tblLook w:val="04A0" w:firstRow="1" w:lastRow="0" w:firstColumn="1" w:lastColumn="0" w:noHBand="0" w:noVBand="1"/>
      </w:tblPr>
      <w:tblGrid>
        <w:gridCol w:w="3070"/>
        <w:gridCol w:w="3070"/>
        <w:gridCol w:w="2899"/>
      </w:tblGrid>
      <w:tr w:rsidR="00551F0A" w:rsidTr="00FB396F">
        <w:tc>
          <w:tcPr>
            <w:tcW w:w="3070" w:type="dxa"/>
          </w:tcPr>
          <w:p w:rsidR="00551F0A" w:rsidRDefault="00551F0A" w:rsidP="00867818">
            <w:r>
              <w:t>Fond</w:t>
            </w:r>
          </w:p>
        </w:tc>
        <w:tc>
          <w:tcPr>
            <w:tcW w:w="5969" w:type="dxa"/>
            <w:gridSpan w:val="2"/>
          </w:tcPr>
          <w:p w:rsidR="00551F0A" w:rsidRDefault="00551F0A" w:rsidP="00867818">
            <w:r>
              <w:t>Evropský fond pro regionální rozvoj</w:t>
            </w:r>
          </w:p>
        </w:tc>
      </w:tr>
      <w:tr w:rsidR="00551F0A" w:rsidTr="00FB396F">
        <w:tc>
          <w:tcPr>
            <w:tcW w:w="3070" w:type="dxa"/>
          </w:tcPr>
          <w:p w:rsidR="00551F0A" w:rsidRDefault="00551F0A" w:rsidP="00867818">
            <w:r>
              <w:t>Kategorie regionů</w:t>
            </w:r>
          </w:p>
        </w:tc>
        <w:tc>
          <w:tcPr>
            <w:tcW w:w="5969" w:type="dxa"/>
            <w:gridSpan w:val="2"/>
          </w:tcPr>
          <w:p w:rsidR="00551F0A" w:rsidRDefault="00551F0A" w:rsidP="00867818">
            <w:r>
              <w:t>Méně rozvinuté regiony</w:t>
            </w:r>
          </w:p>
        </w:tc>
      </w:tr>
      <w:tr w:rsidR="00551F0A" w:rsidTr="00FB396F">
        <w:tc>
          <w:tcPr>
            <w:tcW w:w="3070" w:type="dxa"/>
          </w:tcPr>
          <w:p w:rsidR="00551F0A" w:rsidRDefault="00551F0A" w:rsidP="00867818">
            <w:r>
              <w:t>Prioritní osa</w:t>
            </w:r>
          </w:p>
        </w:tc>
        <w:tc>
          <w:tcPr>
            <w:tcW w:w="3070" w:type="dxa"/>
          </w:tcPr>
          <w:p w:rsidR="00551F0A" w:rsidRPr="00560A76" w:rsidRDefault="00551F0A" w:rsidP="00867818">
            <w:r w:rsidRPr="00560A76">
              <w:t xml:space="preserve">Kód </w:t>
            </w:r>
          </w:p>
        </w:tc>
        <w:tc>
          <w:tcPr>
            <w:tcW w:w="2899" w:type="dxa"/>
          </w:tcPr>
          <w:p w:rsidR="00551F0A" w:rsidRPr="00560A76" w:rsidRDefault="0033290F" w:rsidP="00867818">
            <w:pPr>
              <w:spacing w:line="276" w:lineRule="auto"/>
            </w:pPr>
            <w:r w:rsidRPr="0033290F">
              <w:t xml:space="preserve">Částka (v </w:t>
            </w:r>
            <w:proofErr w:type="gramStart"/>
            <w:r w:rsidRPr="0033290F">
              <w:t>EUR</w:t>
            </w:r>
            <w:proofErr w:type="gramEnd"/>
            <w:r w:rsidRPr="0033290F">
              <w:t>)</w:t>
            </w:r>
          </w:p>
        </w:tc>
      </w:tr>
      <w:tr w:rsidR="00551F0A" w:rsidTr="00FB396F">
        <w:tc>
          <w:tcPr>
            <w:tcW w:w="3070" w:type="dxa"/>
          </w:tcPr>
          <w:p w:rsidR="00551F0A" w:rsidRDefault="00551F0A" w:rsidP="00867818">
            <w:r>
              <w:t>Prioritní osa 4</w:t>
            </w:r>
          </w:p>
        </w:tc>
        <w:tc>
          <w:tcPr>
            <w:tcW w:w="3070" w:type="dxa"/>
          </w:tcPr>
          <w:p w:rsidR="00551F0A" w:rsidRPr="00560A76" w:rsidRDefault="00551F0A" w:rsidP="00867818">
            <w:r w:rsidRPr="00560A76">
              <w:rPr>
                <w:color w:val="000000"/>
              </w:rPr>
              <w:t>06</w:t>
            </w:r>
          </w:p>
        </w:tc>
        <w:tc>
          <w:tcPr>
            <w:tcW w:w="2899" w:type="dxa"/>
            <w:vAlign w:val="bottom"/>
          </w:tcPr>
          <w:p w:rsidR="00551F0A" w:rsidRPr="00560A76" w:rsidRDefault="0033290F" w:rsidP="00867818">
            <w:r w:rsidRPr="0033290F">
              <w:rPr>
                <w:color w:val="000000"/>
              </w:rPr>
              <w:t>351 735 069</w:t>
            </w:r>
          </w:p>
        </w:tc>
      </w:tr>
    </w:tbl>
    <w:p w:rsidR="00551F0A" w:rsidRPr="00551F0A" w:rsidRDefault="00551F0A" w:rsidP="00551F0A"/>
    <w:p w:rsidR="00C27E59" w:rsidRDefault="00C27E59" w:rsidP="00B66FDE"/>
    <w:p w:rsidR="00F625C4" w:rsidRDefault="00F625C4" w:rsidP="00B66FDE"/>
    <w:p w:rsidR="00F625C4" w:rsidRDefault="00F625C4" w:rsidP="00B66FDE"/>
    <w:p w:rsidR="00F625C4" w:rsidRDefault="00F625C4" w:rsidP="00B66FDE"/>
    <w:p w:rsidR="00F625C4" w:rsidRDefault="00F625C4" w:rsidP="00B66FDE"/>
    <w:p w:rsidR="00F625C4" w:rsidRDefault="00F625C4" w:rsidP="00B66FDE"/>
    <w:p w:rsidR="00F625C4" w:rsidRDefault="00F625C4" w:rsidP="00B66FDE"/>
    <w:p w:rsidR="00F625C4" w:rsidRDefault="00F625C4" w:rsidP="00B66FDE"/>
    <w:p w:rsidR="00F625C4" w:rsidRDefault="00F625C4" w:rsidP="00B66FDE"/>
    <w:p w:rsidR="00F625C4" w:rsidRDefault="00F625C4" w:rsidP="00B66FDE"/>
    <w:p w:rsidR="00F625C4" w:rsidRDefault="00F625C4" w:rsidP="00B66FDE"/>
    <w:p w:rsidR="00C27E59" w:rsidRPr="004314F4" w:rsidRDefault="00C27E59" w:rsidP="00B66FDE"/>
    <w:p w:rsidR="00831542" w:rsidRDefault="00A01412" w:rsidP="00165854">
      <w:pPr>
        <w:pStyle w:val="Nadpis2"/>
      </w:pPr>
      <w:bookmarkStart w:id="2863" w:name="_Toc392151051"/>
      <w:bookmarkStart w:id="2864" w:name="_Toc351471132"/>
      <w:r w:rsidRPr="004314F4">
        <w:lastRenderedPageBreak/>
        <w:t xml:space="preserve">PRIORITNÍ OSA 5: </w:t>
      </w:r>
      <w:r w:rsidR="004E5657" w:rsidRPr="004314F4">
        <w:t>E</w:t>
      </w:r>
      <w:r w:rsidR="009D11F0" w:rsidRPr="004314F4">
        <w:t>nergetick</w:t>
      </w:r>
      <w:r w:rsidR="00831542" w:rsidRPr="004314F4">
        <w:t xml:space="preserve">é </w:t>
      </w:r>
      <w:r w:rsidR="004E5657" w:rsidRPr="004314F4">
        <w:t>úspory</w:t>
      </w:r>
      <w:bookmarkEnd w:id="2863"/>
      <w:r w:rsidR="00831542" w:rsidRPr="004314F4">
        <w:t xml:space="preserve"> </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gridCol w:w="566"/>
      </w:tblGrid>
      <w:tr w:rsidR="00C27E59" w:rsidRPr="00E63B56" w:rsidTr="00FB396F">
        <w:tc>
          <w:tcPr>
            <w:tcW w:w="4687" w:type="pct"/>
            <w:shd w:val="clear" w:color="auto" w:fill="auto"/>
            <w:vAlign w:val="center"/>
          </w:tcPr>
          <w:p w:rsidR="00C27E59" w:rsidRPr="002355B5" w:rsidRDefault="0033290F" w:rsidP="00760AB3">
            <w:pPr>
              <w:pStyle w:val="Tabulka"/>
              <w:jc w:val="left"/>
              <w:rPr>
                <w:rFonts w:ascii="Cambria" w:hAnsi="Cambria" w:cs="Times New Roman"/>
              </w:rPr>
            </w:pPr>
            <w:r w:rsidRPr="0033290F">
              <w:rPr>
                <w:rFonts w:ascii="Cambria" w:hAnsi="Cambria" w:cs="Times New Roman"/>
              </w:rPr>
              <w:t>Celá prioritní osa bude realizována výhradně prostřednictvím finančních nástrojů</w:t>
            </w:r>
          </w:p>
        </w:tc>
        <w:tc>
          <w:tcPr>
            <w:tcW w:w="313" w:type="pct"/>
            <w:shd w:val="clear" w:color="auto" w:fill="auto"/>
            <w:vAlign w:val="center"/>
          </w:tcPr>
          <w:p w:rsidR="00C27E59" w:rsidRPr="00E63B56" w:rsidRDefault="000E07F9" w:rsidP="00760AB3">
            <w:pPr>
              <w:pStyle w:val="Tabulka"/>
              <w:rPr>
                <w:rFonts w:asciiTheme="majorHAnsi" w:hAnsiTheme="majorHAnsi"/>
              </w:rPr>
            </w:pPr>
            <w:r w:rsidRPr="00144382">
              <w:rPr>
                <w:rFonts w:asciiTheme="majorHAnsi" w:hAnsiTheme="majorHAnsi"/>
              </w:rPr>
              <w:fldChar w:fldCharType="begin">
                <w:ffData>
                  <w:name w:val="Check1"/>
                  <w:enabled/>
                  <w:calcOnExit w:val="0"/>
                  <w:checkBox>
                    <w:sizeAuto/>
                    <w:default w:val="0"/>
                  </w:checkBox>
                </w:ffData>
              </w:fldChar>
            </w:r>
            <w:r w:rsidR="00C27E59" w:rsidRPr="00144382">
              <w:rPr>
                <w:rFonts w:asciiTheme="majorHAnsi" w:hAnsiTheme="majorHAnsi"/>
              </w:rPr>
              <w:instrText xml:space="preserve"> FORMCHECKBOX </w:instrText>
            </w:r>
            <w:r w:rsidR="00332B77">
              <w:rPr>
                <w:rFonts w:asciiTheme="majorHAnsi" w:hAnsiTheme="majorHAnsi"/>
              </w:rPr>
            </w:r>
            <w:r w:rsidR="00332B77">
              <w:rPr>
                <w:rFonts w:asciiTheme="majorHAnsi" w:hAnsiTheme="majorHAnsi"/>
              </w:rPr>
              <w:fldChar w:fldCharType="separate"/>
            </w:r>
            <w:r w:rsidRPr="00144382">
              <w:rPr>
                <w:rFonts w:asciiTheme="majorHAnsi" w:hAnsiTheme="majorHAnsi"/>
              </w:rPr>
              <w:fldChar w:fldCharType="end"/>
            </w:r>
          </w:p>
        </w:tc>
      </w:tr>
      <w:tr w:rsidR="00C27E59" w:rsidRPr="00E63B56" w:rsidTr="00FB396F">
        <w:tc>
          <w:tcPr>
            <w:tcW w:w="4687" w:type="pct"/>
            <w:shd w:val="clear" w:color="auto" w:fill="auto"/>
            <w:vAlign w:val="center"/>
          </w:tcPr>
          <w:p w:rsidR="00C27E59" w:rsidRPr="002355B5" w:rsidRDefault="0033290F" w:rsidP="00760AB3">
            <w:pPr>
              <w:pStyle w:val="Tabulka"/>
              <w:jc w:val="left"/>
              <w:rPr>
                <w:rFonts w:ascii="Cambria" w:hAnsi="Cambria" w:cs="Times New Roman"/>
              </w:rPr>
            </w:pPr>
            <w:r w:rsidRPr="0033290F">
              <w:rPr>
                <w:rFonts w:ascii="Cambria" w:hAnsi="Cambria" w:cs="Times New Roman"/>
              </w:rPr>
              <w:t>Celá prioritní osa bude realizována výhradně prostřednictvím finančních nástrojů zřízených na úrovni Unie</w:t>
            </w:r>
          </w:p>
        </w:tc>
        <w:tc>
          <w:tcPr>
            <w:tcW w:w="313" w:type="pct"/>
            <w:shd w:val="clear" w:color="auto" w:fill="auto"/>
            <w:vAlign w:val="center"/>
          </w:tcPr>
          <w:p w:rsidR="00C27E59" w:rsidRPr="00E63B56" w:rsidRDefault="000E07F9" w:rsidP="00760AB3">
            <w:pPr>
              <w:pStyle w:val="Tabulka"/>
              <w:rPr>
                <w:rFonts w:asciiTheme="majorHAnsi" w:hAnsiTheme="majorHAnsi"/>
              </w:rPr>
            </w:pPr>
            <w:r w:rsidRPr="00144382">
              <w:rPr>
                <w:rFonts w:asciiTheme="majorHAnsi" w:hAnsiTheme="majorHAnsi"/>
              </w:rPr>
              <w:fldChar w:fldCharType="begin">
                <w:ffData>
                  <w:name w:val="Check1"/>
                  <w:enabled/>
                  <w:calcOnExit w:val="0"/>
                  <w:checkBox>
                    <w:sizeAuto/>
                    <w:default w:val="0"/>
                  </w:checkBox>
                </w:ffData>
              </w:fldChar>
            </w:r>
            <w:r w:rsidR="00C27E59" w:rsidRPr="00144382">
              <w:rPr>
                <w:rFonts w:asciiTheme="majorHAnsi" w:hAnsiTheme="majorHAnsi"/>
              </w:rPr>
              <w:instrText xml:space="preserve"> FORMCHECKBOX </w:instrText>
            </w:r>
            <w:r w:rsidR="00332B77">
              <w:rPr>
                <w:rFonts w:asciiTheme="majorHAnsi" w:hAnsiTheme="majorHAnsi"/>
              </w:rPr>
            </w:r>
            <w:r w:rsidR="00332B77">
              <w:rPr>
                <w:rFonts w:asciiTheme="majorHAnsi" w:hAnsiTheme="majorHAnsi"/>
              </w:rPr>
              <w:fldChar w:fldCharType="separate"/>
            </w:r>
            <w:r w:rsidRPr="00144382">
              <w:rPr>
                <w:rFonts w:asciiTheme="majorHAnsi" w:hAnsiTheme="majorHAnsi"/>
              </w:rPr>
              <w:fldChar w:fldCharType="end"/>
            </w:r>
          </w:p>
        </w:tc>
      </w:tr>
      <w:tr w:rsidR="00C27E59" w:rsidRPr="00E63B56" w:rsidTr="00FB396F">
        <w:tc>
          <w:tcPr>
            <w:tcW w:w="4687" w:type="pct"/>
            <w:shd w:val="clear" w:color="auto" w:fill="auto"/>
            <w:vAlign w:val="center"/>
          </w:tcPr>
          <w:p w:rsidR="00C27E59" w:rsidRPr="002355B5" w:rsidRDefault="0033290F" w:rsidP="00760AB3">
            <w:pPr>
              <w:pStyle w:val="Tabulka"/>
              <w:jc w:val="left"/>
              <w:rPr>
                <w:rFonts w:ascii="Cambria" w:hAnsi="Cambria" w:cs="Times New Roman"/>
              </w:rPr>
            </w:pPr>
            <w:r w:rsidRPr="0033290F">
              <w:rPr>
                <w:rFonts w:ascii="Cambria" w:hAnsi="Cambria" w:cs="Times New Roman"/>
              </w:rPr>
              <w:t>Celá prioritní osa bude realizována výhradně prostřednictvím komunitně vedeného místního rozvoje</w:t>
            </w:r>
          </w:p>
        </w:tc>
        <w:tc>
          <w:tcPr>
            <w:tcW w:w="313" w:type="pct"/>
            <w:shd w:val="clear" w:color="auto" w:fill="auto"/>
            <w:vAlign w:val="center"/>
          </w:tcPr>
          <w:p w:rsidR="00C27E59" w:rsidRPr="00E63B56" w:rsidRDefault="000E07F9" w:rsidP="00760AB3">
            <w:pPr>
              <w:pStyle w:val="Tabulka"/>
              <w:rPr>
                <w:rFonts w:asciiTheme="majorHAnsi" w:hAnsiTheme="majorHAnsi"/>
              </w:rPr>
            </w:pPr>
            <w:r w:rsidRPr="00144382">
              <w:rPr>
                <w:rFonts w:asciiTheme="majorHAnsi" w:hAnsiTheme="majorHAnsi"/>
              </w:rPr>
              <w:fldChar w:fldCharType="begin">
                <w:ffData>
                  <w:name w:val="Check1"/>
                  <w:enabled/>
                  <w:calcOnExit w:val="0"/>
                  <w:checkBox>
                    <w:sizeAuto/>
                    <w:default w:val="0"/>
                  </w:checkBox>
                </w:ffData>
              </w:fldChar>
            </w:r>
            <w:r w:rsidR="00C27E59" w:rsidRPr="00144382">
              <w:rPr>
                <w:rFonts w:asciiTheme="majorHAnsi" w:hAnsiTheme="majorHAnsi"/>
              </w:rPr>
              <w:instrText xml:space="preserve"> FORMCHECKBOX </w:instrText>
            </w:r>
            <w:r w:rsidR="00332B77">
              <w:rPr>
                <w:rFonts w:asciiTheme="majorHAnsi" w:hAnsiTheme="majorHAnsi"/>
              </w:rPr>
            </w:r>
            <w:r w:rsidR="00332B77">
              <w:rPr>
                <w:rFonts w:asciiTheme="majorHAnsi" w:hAnsiTheme="majorHAnsi"/>
              </w:rPr>
              <w:fldChar w:fldCharType="separate"/>
            </w:r>
            <w:r w:rsidRPr="00144382">
              <w:rPr>
                <w:rFonts w:asciiTheme="majorHAnsi" w:hAnsiTheme="majorHAnsi"/>
              </w:rPr>
              <w:fldChar w:fldCharType="end"/>
            </w:r>
          </w:p>
        </w:tc>
      </w:tr>
    </w:tbl>
    <w:p w:rsidR="00674BC9" w:rsidRDefault="00674BC9"/>
    <w:p w:rsidR="00674BC9" w:rsidRDefault="00AA291F">
      <w:pPr>
        <w:pStyle w:val="Nadpis3"/>
      </w:pPr>
      <w:bookmarkStart w:id="2865" w:name="_Toc392151052"/>
      <w:r>
        <w:t>Odůvodnění pro vytvoření prioritní osy, která zahrnuje více než jednu kategorii regionů nebo více než jeden tematický cíl či fond</w:t>
      </w:r>
      <w:bookmarkEnd w:id="2865"/>
    </w:p>
    <w:p w:rsidR="00674BC9" w:rsidRDefault="00DB19B0">
      <w:r>
        <w:t>Není relevantní pro prioritní osu 5</w:t>
      </w:r>
    </w:p>
    <w:p w:rsidR="00674BC9" w:rsidRDefault="00AA291F">
      <w:pPr>
        <w:pStyle w:val="Nadpis3"/>
      </w:pPr>
      <w:bookmarkStart w:id="2866" w:name="_Toc392151053"/>
      <w:r>
        <w:t>Fond kategorie regionů a základ pro výpočet podpory Unie</w:t>
      </w:r>
      <w:bookmarkEnd w:id="2866"/>
    </w:p>
    <w:tbl>
      <w:tblPr>
        <w:tblStyle w:val="Mkatabulky"/>
        <w:tblW w:w="0" w:type="auto"/>
        <w:tblLook w:val="04A0" w:firstRow="1" w:lastRow="0" w:firstColumn="1" w:lastColumn="0" w:noHBand="0" w:noVBand="1"/>
      </w:tblPr>
      <w:tblGrid>
        <w:gridCol w:w="4605"/>
        <w:gridCol w:w="4434"/>
      </w:tblGrid>
      <w:tr w:rsidR="006B2E81" w:rsidTr="00FB396F">
        <w:tc>
          <w:tcPr>
            <w:tcW w:w="4605" w:type="dxa"/>
            <w:shd w:val="clear" w:color="auto" w:fill="A6A6A6" w:themeFill="background1" w:themeFillShade="A6"/>
          </w:tcPr>
          <w:p w:rsidR="006B2E81" w:rsidRPr="000225A5" w:rsidRDefault="006B2E81" w:rsidP="006B2E81">
            <w:pPr>
              <w:rPr>
                <w:b/>
              </w:rPr>
            </w:pPr>
            <w:r w:rsidRPr="003971AB">
              <w:rPr>
                <w:b/>
              </w:rPr>
              <w:t>Fond</w:t>
            </w:r>
          </w:p>
        </w:tc>
        <w:tc>
          <w:tcPr>
            <w:tcW w:w="4434" w:type="dxa"/>
          </w:tcPr>
          <w:p w:rsidR="006B2E81" w:rsidRDefault="006B2E81" w:rsidP="006B2E81">
            <w:r>
              <w:t>Fond soudržnosti</w:t>
            </w:r>
          </w:p>
        </w:tc>
      </w:tr>
      <w:tr w:rsidR="006B2E81" w:rsidTr="00FB396F">
        <w:tc>
          <w:tcPr>
            <w:tcW w:w="4605" w:type="dxa"/>
            <w:shd w:val="clear" w:color="auto" w:fill="A6A6A6" w:themeFill="background1" w:themeFillShade="A6"/>
          </w:tcPr>
          <w:p w:rsidR="006B2E81" w:rsidRPr="000225A5" w:rsidRDefault="006B2E81" w:rsidP="006B2E81">
            <w:pPr>
              <w:rPr>
                <w:b/>
              </w:rPr>
            </w:pPr>
            <w:r w:rsidRPr="003971AB">
              <w:rPr>
                <w:b/>
              </w:rPr>
              <w:t>Kategorie regionů</w:t>
            </w:r>
          </w:p>
        </w:tc>
        <w:tc>
          <w:tcPr>
            <w:tcW w:w="4434" w:type="dxa"/>
          </w:tcPr>
          <w:p w:rsidR="006B2E81" w:rsidRDefault="006B2E81" w:rsidP="006B2E81">
            <w:r>
              <w:t xml:space="preserve">Není relevantní pro prioritní osu 5 </w:t>
            </w:r>
          </w:p>
        </w:tc>
      </w:tr>
      <w:tr w:rsidR="006B2E81" w:rsidTr="00FB396F">
        <w:tc>
          <w:tcPr>
            <w:tcW w:w="4605" w:type="dxa"/>
            <w:shd w:val="clear" w:color="auto" w:fill="A6A6A6" w:themeFill="background1" w:themeFillShade="A6"/>
          </w:tcPr>
          <w:p w:rsidR="006B2E81" w:rsidRPr="000225A5" w:rsidRDefault="006B2E81" w:rsidP="006B2E81">
            <w:pPr>
              <w:rPr>
                <w:b/>
              </w:rPr>
            </w:pPr>
            <w:r w:rsidRPr="003971AB">
              <w:rPr>
                <w:b/>
              </w:rPr>
              <w:t>Základ pro výpočet (celkové způsobilé výdaje nebo způsobilé veřejné výdaje)</w:t>
            </w:r>
          </w:p>
        </w:tc>
        <w:tc>
          <w:tcPr>
            <w:tcW w:w="4434" w:type="dxa"/>
          </w:tcPr>
          <w:p w:rsidR="006B2E81" w:rsidRDefault="00066877" w:rsidP="006B2E81">
            <w:r>
              <w:t>Celkové způsobilé výdaje</w:t>
            </w:r>
          </w:p>
        </w:tc>
      </w:tr>
    </w:tbl>
    <w:p w:rsidR="00BB65B8" w:rsidRPr="004314F4" w:rsidRDefault="00BB65B8" w:rsidP="00B66FDE"/>
    <w:p w:rsidR="003051E0" w:rsidRPr="004314F4" w:rsidRDefault="003051E0" w:rsidP="00165854">
      <w:pPr>
        <w:pStyle w:val="Nadpis3"/>
      </w:pPr>
      <w:bookmarkStart w:id="2867" w:name="_Toc392151054"/>
      <w:r w:rsidRPr="004314F4">
        <w:t>INVESTIČNÍ PRIORITA 1 prioritní osy 5</w:t>
      </w:r>
      <w:r w:rsidRPr="009F02C6">
        <w:t xml:space="preserve">: </w:t>
      </w:r>
      <w:r w:rsidR="00127B71" w:rsidRPr="00127B71">
        <w:t>Podpor</w:t>
      </w:r>
      <w:r w:rsidR="000311EC">
        <w:t>ování přechodu na</w:t>
      </w:r>
      <w:r w:rsidR="000D0BE8">
        <w:t> </w:t>
      </w:r>
      <w:r w:rsidR="000311EC">
        <w:t>nízkouhlíkové hospodářství ve všech odvětvích podporou</w:t>
      </w:r>
      <w:r w:rsidR="00127B71" w:rsidRPr="00127B71">
        <w:t xml:space="preserve"> energetické účinnosti, inteligentních systémů hospodaření </w:t>
      </w:r>
      <w:r w:rsidR="00851A1D">
        <w:t>s energií a využívání energie z </w:t>
      </w:r>
      <w:r w:rsidR="00127B71" w:rsidRPr="00127B71">
        <w:t>obnovitelných zdrojů ve veřejných</w:t>
      </w:r>
      <w:r w:rsidR="000D0BE8">
        <w:t xml:space="preserve"> infrastrukturách, mimo jiné ve </w:t>
      </w:r>
      <w:r w:rsidR="00127B71" w:rsidRPr="00127B71">
        <w:t>veřejných budovách a v oblasti bydlení</w:t>
      </w:r>
      <w:r w:rsidR="0096405F">
        <w:t xml:space="preserve"> (Dle Nařízení Evropského p</w:t>
      </w:r>
      <w:r w:rsidR="002B13B3">
        <w:t xml:space="preserve">arlamentu a Rady </w:t>
      </w:r>
      <w:r w:rsidR="0096405F">
        <w:t>(EU) č. 1300/2013</w:t>
      </w:r>
      <w:r w:rsidR="002B13B3">
        <w:t xml:space="preserve"> čl. 4 odst. a) písm. </w:t>
      </w:r>
      <w:proofErr w:type="spellStart"/>
      <w:r w:rsidR="002B13B3">
        <w:t>iii</w:t>
      </w:r>
      <w:proofErr w:type="spellEnd"/>
      <w:r w:rsidR="002B13B3">
        <w:t>))</w:t>
      </w:r>
      <w:bookmarkEnd w:id="2867"/>
    </w:p>
    <w:p w:rsidR="00BB65B8" w:rsidRPr="004314F4" w:rsidRDefault="003051E0" w:rsidP="00FF238E">
      <w:pPr>
        <w:pStyle w:val="Nadpis4"/>
      </w:pPr>
      <w:bookmarkStart w:id="2868" w:name="_Toc392151055"/>
      <w:r w:rsidRPr="004314F4">
        <w:t>Specifické cíle odpovída</w:t>
      </w:r>
      <w:r w:rsidR="00851A1D">
        <w:t>jící dané investiční prioritě a </w:t>
      </w:r>
      <w:r w:rsidR="00AA291F">
        <w:t>očekávané</w:t>
      </w:r>
      <w:r w:rsidR="00AA291F" w:rsidRPr="004314F4">
        <w:t xml:space="preserve"> </w:t>
      </w:r>
      <w:r w:rsidRPr="004314F4">
        <w:t>výsledky</w:t>
      </w:r>
      <w:bookmarkEnd w:id="2868"/>
    </w:p>
    <w:p w:rsidR="003051E0" w:rsidRDefault="003051E0" w:rsidP="00165854">
      <w:pPr>
        <w:pStyle w:val="Nadpis6"/>
      </w:pPr>
      <w:r w:rsidRPr="004314F4">
        <w:t xml:space="preserve">Specifický cíl 1: </w:t>
      </w:r>
      <w:r w:rsidR="00E666D2" w:rsidRPr="004314F4">
        <w:t xml:space="preserve">Snížit energetickou náročnost </w:t>
      </w:r>
      <w:r w:rsidR="00DD55E0" w:rsidRPr="004314F4">
        <w:t xml:space="preserve">veřejných </w:t>
      </w:r>
      <w:r w:rsidR="00E666D2" w:rsidRPr="004314F4">
        <w:t xml:space="preserve">budov a </w:t>
      </w:r>
      <w:r w:rsidR="00F85AB9" w:rsidRPr="00F85AB9">
        <w:t>zvýšit využití obnovitelných zdrojů energie</w:t>
      </w:r>
      <w:r w:rsidR="00ED44F3" w:rsidRPr="004314F4">
        <w:t xml:space="preserve"> </w:t>
      </w:r>
    </w:p>
    <w:p w:rsidR="001C65FE" w:rsidRDefault="001C65FE" w:rsidP="001C65FE">
      <w:r w:rsidRPr="004314F4">
        <w:t>Prioritní osa 5 Energetické úspory se zaměřuje na snížení konečné spotřeby energie a snížení spotřeby neobnovitelné primární energie prostřednictvím využití lokálních obnovitelných zdrojů ve veřejných</w:t>
      </w:r>
      <w:r>
        <w:t xml:space="preserve"> budovách</w:t>
      </w:r>
      <w:r w:rsidRPr="004314F4">
        <w:t>.</w:t>
      </w:r>
    </w:p>
    <w:p w:rsidR="00DF4EBC" w:rsidRPr="004314F4" w:rsidRDefault="00DF4EBC" w:rsidP="00DF4EBC">
      <w:r w:rsidRPr="004314F4">
        <w:t>Zaměření prioritní osy reaguje na tržní selhání v oblasti realizace úspor energie v budovách, kde nákladově efektivní potenciál zůstává nevyužit zejména z důvodu vysokých počátečních investičních nákladů. Jeho realizace má přitom mnohonásobné přínosy v různých oblastech:</w:t>
      </w:r>
    </w:p>
    <w:p w:rsidR="00DF4EBC" w:rsidRPr="004314F4" w:rsidRDefault="00DF4EBC" w:rsidP="00495FC1">
      <w:pPr>
        <w:pStyle w:val="Odstavecseseznamem"/>
        <w:numPr>
          <w:ilvl w:val="0"/>
          <w:numId w:val="38"/>
        </w:numPr>
      </w:pPr>
      <w:r w:rsidRPr="004314F4">
        <w:lastRenderedPageBreak/>
        <w:t>hospodářské (realizace je prováděna typicky malými a středními podniky s vysokým podílem domácí práce, materiálů a technologií; snížení provozních nákladů znamená více disponibilních prostředků pro instituce a domácnosti na jiné účely),</w:t>
      </w:r>
    </w:p>
    <w:p w:rsidR="00DF4EBC" w:rsidRPr="004314F4" w:rsidRDefault="00DF4EBC" w:rsidP="00495FC1">
      <w:pPr>
        <w:pStyle w:val="Odstavecseseznamem"/>
        <w:numPr>
          <w:ilvl w:val="0"/>
          <w:numId w:val="38"/>
        </w:numPr>
      </w:pPr>
      <w:r w:rsidRPr="004314F4">
        <w:t>regionálního rozvoje (rozprostření projektů napříč územím),</w:t>
      </w:r>
    </w:p>
    <w:p w:rsidR="00DF4EBC" w:rsidRPr="004314F4" w:rsidRDefault="00DF4EBC" w:rsidP="00495FC1">
      <w:pPr>
        <w:pStyle w:val="Odstavecseseznamem"/>
        <w:numPr>
          <w:ilvl w:val="0"/>
          <w:numId w:val="38"/>
        </w:numPr>
      </w:pPr>
      <w:r w:rsidRPr="004314F4">
        <w:t>zaměstnanosti (jde o činnost náročnou na lidské zdroje, v oblasti energeticky úsporného stavebnictví je třeba specializovaných profesí napříč vzdělanostním profilem),</w:t>
      </w:r>
    </w:p>
    <w:p w:rsidR="00DF4EBC" w:rsidRPr="004314F4" w:rsidRDefault="00DF4EBC" w:rsidP="00495FC1">
      <w:pPr>
        <w:pStyle w:val="Odstavecseseznamem"/>
        <w:numPr>
          <w:ilvl w:val="0"/>
          <w:numId w:val="38"/>
        </w:numPr>
      </w:pPr>
      <w:r w:rsidRPr="004314F4">
        <w:t>energetické bezpečnosti (snížení dovozní závislosti),</w:t>
      </w:r>
    </w:p>
    <w:p w:rsidR="00DF4EBC" w:rsidRPr="004314F4" w:rsidRDefault="00DF4EBC" w:rsidP="00495FC1">
      <w:pPr>
        <w:pStyle w:val="Odstavecseseznamem"/>
        <w:numPr>
          <w:ilvl w:val="0"/>
          <w:numId w:val="38"/>
        </w:numPr>
      </w:pPr>
      <w:r w:rsidRPr="004314F4">
        <w:t>životního prostředí (nižší emise lokálního a globálního znečištění, menší poškození ekosystémů a krajiny těžbou fosilních paliv),</w:t>
      </w:r>
    </w:p>
    <w:p w:rsidR="00674BC9" w:rsidRDefault="00DF4EBC" w:rsidP="00495FC1">
      <w:pPr>
        <w:pStyle w:val="Odstavecseseznamem"/>
        <w:numPr>
          <w:ilvl w:val="0"/>
          <w:numId w:val="38"/>
        </w:numPr>
      </w:pPr>
      <w:r w:rsidRPr="004314F4">
        <w:t>zdravotní (kvalitně provedené projekty vedou ke zvýšení kvality vnitřního a vnějšího životního prostředí v důsledku nižších koncentrací zdraví škodlivých látek uvnitř budovy a nižších emisí lokálního znečištění do okolí)</w:t>
      </w:r>
      <w:r>
        <w:t>.</w:t>
      </w:r>
      <w:r w:rsidRPr="004314F4">
        <w:t xml:space="preserve"> </w:t>
      </w:r>
    </w:p>
    <w:p w:rsidR="009C6E65" w:rsidRDefault="009C6E65" w:rsidP="006D0158">
      <w:pPr>
        <w:autoSpaceDE w:val="0"/>
        <w:autoSpaceDN w:val="0"/>
        <w:adjustRightInd w:val="0"/>
        <w:spacing w:after="0" w:afterAutospacing="0"/>
      </w:pPr>
      <w:r w:rsidRPr="006D0158">
        <w:t xml:space="preserve">Významná synergie existuje s prioritní osou 2. Řada podporovaných opatření přispěje ke snížení emisí látek znečišťujících ovzduší a tím zároveň k naplnění cíle plnění imisních limitů stanovených národní i evropskou legislativou (směrnice 2008/50/ES a 2004/107/ES, zákon č. 201/2012 Sb., o ochraně ovzduší) a národních emisních stropů (směrnice 2001/80/ES a Göteborský protokol Úmluvy o omezování znečišťování ovzduší přecházejícím hranice států). </w:t>
      </w:r>
      <w:r w:rsidR="00350B84">
        <w:t>P</w:t>
      </w:r>
      <w:r w:rsidR="006D0158" w:rsidRPr="006D0158">
        <w:t>rioritní osa 2 řeší pouze náhradu nevhodných spalovacích stacionárních zdrojů a prioritní osa 5 podporuje zejména komplexní řešení zvýšení energetické účinnosti veřejných budov, což zahrnuje výměnu nevyhovujícího spalovacího zdroje v kombinaci se zateplením budovy.</w:t>
      </w:r>
    </w:p>
    <w:p w:rsidR="006D0158" w:rsidRPr="006D0158" w:rsidRDefault="006D0158" w:rsidP="006D0158">
      <w:pPr>
        <w:autoSpaceDE w:val="0"/>
        <w:autoSpaceDN w:val="0"/>
        <w:adjustRightInd w:val="0"/>
        <w:spacing w:after="0" w:afterAutospacing="0"/>
      </w:pPr>
    </w:p>
    <w:p w:rsidR="00FF238E" w:rsidRPr="004314F4" w:rsidRDefault="00DD55E0" w:rsidP="00B66FDE">
      <w:r w:rsidRPr="004314F4">
        <w:t xml:space="preserve">Specifickým cílem 5.1 je dosažení úspor energie a souvisejících přínosů ve stávajících veřejných budovách prostřednictvím celkových a dílčích renovací obálky budovy a instalací lokálních obnovitelných a </w:t>
      </w:r>
      <w:proofErr w:type="spellStart"/>
      <w:r w:rsidRPr="004314F4">
        <w:t>nízkoemisních</w:t>
      </w:r>
      <w:proofErr w:type="spellEnd"/>
      <w:r w:rsidRPr="004314F4">
        <w:t xml:space="preserve"> zdrojů při zajištění dostatečného přívodu čerstvého vz</w:t>
      </w:r>
      <w:r w:rsidR="00851A1D">
        <w:t>duchu a </w:t>
      </w:r>
      <w:r w:rsidRPr="004314F4">
        <w:t xml:space="preserve">důsledného energetického managementu.  U novostaveb veřejných budov bude podpořen uspíšený náběh povinnosti výstavby budov s téměř nulovou spotřebou. </w:t>
      </w:r>
    </w:p>
    <w:p w:rsidR="007E6766" w:rsidRPr="004314F4" w:rsidRDefault="004479EC" w:rsidP="00E52D58">
      <w:pPr>
        <w:pStyle w:val="Titulek"/>
      </w:pPr>
      <w:bookmarkStart w:id="2869" w:name="_Toc384907490"/>
      <w:r w:rsidRPr="004314F4">
        <w:t xml:space="preserve">Specifické </w:t>
      </w:r>
      <w:r w:rsidR="00D35ACE">
        <w:t>programové ukazatele</w:t>
      </w:r>
      <w:r w:rsidRPr="004314F4">
        <w:t xml:space="preserve"> výsledků pro SC 5.1</w:t>
      </w:r>
      <w:bookmarkEnd w:id="2869"/>
    </w:p>
    <w:tbl>
      <w:tblPr>
        <w:tblStyle w:val="Mkatabulky"/>
        <w:tblW w:w="9180" w:type="dxa"/>
        <w:tblLayout w:type="fixed"/>
        <w:tblLook w:val="04A0" w:firstRow="1" w:lastRow="0" w:firstColumn="1" w:lastColumn="0" w:noHBand="0" w:noVBand="1"/>
      </w:tblPr>
      <w:tblGrid>
        <w:gridCol w:w="817"/>
        <w:gridCol w:w="1418"/>
        <w:gridCol w:w="1275"/>
        <w:gridCol w:w="851"/>
        <w:gridCol w:w="850"/>
        <w:gridCol w:w="709"/>
        <w:gridCol w:w="1134"/>
        <w:gridCol w:w="851"/>
        <w:gridCol w:w="1275"/>
      </w:tblGrid>
      <w:tr w:rsidR="00D35ACE" w:rsidRPr="002355B5" w:rsidTr="00DB2F84">
        <w:tc>
          <w:tcPr>
            <w:tcW w:w="817" w:type="dxa"/>
            <w:tcBorders>
              <w:bottom w:val="single" w:sz="12" w:space="0" w:color="auto"/>
            </w:tcBorders>
            <w:shd w:val="clear" w:color="auto" w:fill="BFBFBF" w:themeFill="background1" w:themeFillShade="BF"/>
          </w:tcPr>
          <w:p w:rsidR="00D35ACE" w:rsidRPr="003A2CB2" w:rsidRDefault="00D35ACE" w:rsidP="00B66FDE">
            <w:pPr>
              <w:rPr>
                <w:b/>
                <w:sz w:val="20"/>
                <w:szCs w:val="20"/>
              </w:rPr>
            </w:pPr>
            <w:r w:rsidRPr="003A2CB2">
              <w:rPr>
                <w:b/>
                <w:sz w:val="20"/>
                <w:szCs w:val="20"/>
              </w:rPr>
              <w:t>ID</w:t>
            </w:r>
          </w:p>
        </w:tc>
        <w:tc>
          <w:tcPr>
            <w:tcW w:w="1418" w:type="dxa"/>
            <w:tcBorders>
              <w:bottom w:val="single" w:sz="12" w:space="0" w:color="auto"/>
            </w:tcBorders>
            <w:shd w:val="clear" w:color="auto" w:fill="BFBFBF" w:themeFill="background1" w:themeFillShade="BF"/>
          </w:tcPr>
          <w:p w:rsidR="00D35ACE" w:rsidRPr="003A2CB2" w:rsidRDefault="00D35ACE" w:rsidP="00D35ACE">
            <w:pPr>
              <w:spacing w:line="276" w:lineRule="auto"/>
              <w:rPr>
                <w:b/>
                <w:sz w:val="20"/>
                <w:szCs w:val="20"/>
              </w:rPr>
            </w:pPr>
            <w:r w:rsidRPr="003A2CB2">
              <w:rPr>
                <w:b/>
                <w:sz w:val="20"/>
                <w:szCs w:val="20"/>
              </w:rPr>
              <w:t>Ukazatel</w:t>
            </w:r>
          </w:p>
        </w:tc>
        <w:tc>
          <w:tcPr>
            <w:tcW w:w="1275" w:type="dxa"/>
            <w:tcBorders>
              <w:bottom w:val="single" w:sz="12" w:space="0" w:color="auto"/>
            </w:tcBorders>
            <w:shd w:val="clear" w:color="auto" w:fill="BFBFBF" w:themeFill="background1" w:themeFillShade="BF"/>
          </w:tcPr>
          <w:p w:rsidR="00D35ACE" w:rsidRPr="003A2CB2" w:rsidRDefault="0033290F" w:rsidP="00B66FDE">
            <w:pPr>
              <w:spacing w:line="276" w:lineRule="auto"/>
              <w:rPr>
                <w:b/>
                <w:sz w:val="20"/>
                <w:szCs w:val="20"/>
              </w:rPr>
            </w:pPr>
            <w:r w:rsidRPr="0033290F">
              <w:rPr>
                <w:b/>
                <w:sz w:val="20"/>
                <w:szCs w:val="20"/>
              </w:rPr>
              <w:t>Měrná jednotka</w:t>
            </w:r>
          </w:p>
        </w:tc>
        <w:tc>
          <w:tcPr>
            <w:tcW w:w="851" w:type="dxa"/>
            <w:tcBorders>
              <w:bottom w:val="single" w:sz="12" w:space="0" w:color="auto"/>
            </w:tcBorders>
            <w:shd w:val="clear" w:color="auto" w:fill="BFBFBF" w:themeFill="background1" w:themeFillShade="BF"/>
          </w:tcPr>
          <w:p w:rsidR="00D35ACE" w:rsidRPr="003A2CB2" w:rsidRDefault="0033290F" w:rsidP="00B66FDE">
            <w:pPr>
              <w:spacing w:line="276" w:lineRule="auto"/>
              <w:rPr>
                <w:b/>
                <w:sz w:val="20"/>
                <w:szCs w:val="20"/>
              </w:rPr>
            </w:pPr>
            <w:r w:rsidRPr="0033290F">
              <w:rPr>
                <w:b/>
                <w:sz w:val="20"/>
                <w:szCs w:val="20"/>
              </w:rPr>
              <w:t>Kategorie regionů</w:t>
            </w:r>
          </w:p>
        </w:tc>
        <w:tc>
          <w:tcPr>
            <w:tcW w:w="850" w:type="dxa"/>
            <w:tcBorders>
              <w:bottom w:val="single" w:sz="12" w:space="0" w:color="auto"/>
            </w:tcBorders>
            <w:shd w:val="clear" w:color="auto" w:fill="BFBFBF" w:themeFill="background1" w:themeFillShade="BF"/>
          </w:tcPr>
          <w:p w:rsidR="00D35ACE" w:rsidRPr="003A2CB2" w:rsidRDefault="0033290F" w:rsidP="00B66FDE">
            <w:pPr>
              <w:spacing w:line="276" w:lineRule="auto"/>
              <w:rPr>
                <w:b/>
                <w:sz w:val="20"/>
                <w:szCs w:val="20"/>
              </w:rPr>
            </w:pPr>
            <w:r w:rsidRPr="0033290F">
              <w:rPr>
                <w:b/>
                <w:sz w:val="20"/>
                <w:szCs w:val="20"/>
              </w:rPr>
              <w:t>Výchozí hodnota</w:t>
            </w:r>
          </w:p>
        </w:tc>
        <w:tc>
          <w:tcPr>
            <w:tcW w:w="709" w:type="dxa"/>
            <w:tcBorders>
              <w:bottom w:val="single" w:sz="12" w:space="0" w:color="auto"/>
            </w:tcBorders>
            <w:shd w:val="clear" w:color="auto" w:fill="BFBFBF" w:themeFill="background1" w:themeFillShade="BF"/>
          </w:tcPr>
          <w:p w:rsidR="00D35ACE" w:rsidRPr="003A2CB2" w:rsidRDefault="0033290F" w:rsidP="00B66FDE">
            <w:pPr>
              <w:spacing w:line="276" w:lineRule="auto"/>
              <w:rPr>
                <w:b/>
                <w:sz w:val="20"/>
                <w:szCs w:val="20"/>
              </w:rPr>
            </w:pPr>
            <w:r w:rsidRPr="0033290F">
              <w:rPr>
                <w:b/>
                <w:sz w:val="20"/>
                <w:szCs w:val="20"/>
              </w:rPr>
              <w:t>Výchozí rok</w:t>
            </w:r>
          </w:p>
        </w:tc>
        <w:tc>
          <w:tcPr>
            <w:tcW w:w="1134" w:type="dxa"/>
            <w:tcBorders>
              <w:bottom w:val="single" w:sz="12" w:space="0" w:color="auto"/>
            </w:tcBorders>
            <w:shd w:val="clear" w:color="auto" w:fill="BFBFBF" w:themeFill="background1" w:themeFillShade="BF"/>
          </w:tcPr>
          <w:p w:rsidR="00D35ACE" w:rsidRPr="003A2CB2" w:rsidRDefault="0033290F" w:rsidP="00B66FDE">
            <w:pPr>
              <w:spacing w:line="276" w:lineRule="auto"/>
              <w:rPr>
                <w:b/>
                <w:sz w:val="20"/>
                <w:szCs w:val="20"/>
              </w:rPr>
            </w:pPr>
            <w:r w:rsidRPr="0033290F">
              <w:rPr>
                <w:b/>
                <w:sz w:val="20"/>
                <w:szCs w:val="20"/>
              </w:rPr>
              <w:t>Cílová hodnota (2023)</w:t>
            </w:r>
          </w:p>
        </w:tc>
        <w:tc>
          <w:tcPr>
            <w:tcW w:w="851" w:type="dxa"/>
            <w:tcBorders>
              <w:bottom w:val="single" w:sz="12" w:space="0" w:color="auto"/>
            </w:tcBorders>
            <w:shd w:val="clear" w:color="auto" w:fill="BFBFBF" w:themeFill="background1" w:themeFillShade="BF"/>
          </w:tcPr>
          <w:p w:rsidR="00D35ACE" w:rsidRPr="003A2CB2" w:rsidRDefault="0033290F" w:rsidP="00B66FDE">
            <w:pPr>
              <w:spacing w:line="276" w:lineRule="auto"/>
              <w:rPr>
                <w:b/>
                <w:sz w:val="20"/>
                <w:szCs w:val="20"/>
              </w:rPr>
            </w:pPr>
            <w:r w:rsidRPr="0033290F">
              <w:rPr>
                <w:b/>
                <w:sz w:val="20"/>
                <w:szCs w:val="20"/>
              </w:rPr>
              <w:t>Zdroj údajů</w:t>
            </w:r>
          </w:p>
        </w:tc>
        <w:tc>
          <w:tcPr>
            <w:tcW w:w="1275" w:type="dxa"/>
            <w:tcBorders>
              <w:bottom w:val="single" w:sz="12" w:space="0" w:color="auto"/>
            </w:tcBorders>
            <w:shd w:val="clear" w:color="auto" w:fill="BFBFBF" w:themeFill="background1" w:themeFillShade="BF"/>
          </w:tcPr>
          <w:p w:rsidR="00D35ACE" w:rsidRPr="003A2CB2" w:rsidRDefault="0033290F" w:rsidP="00B66FDE">
            <w:pPr>
              <w:spacing w:line="276" w:lineRule="auto"/>
              <w:rPr>
                <w:b/>
                <w:sz w:val="20"/>
                <w:szCs w:val="20"/>
              </w:rPr>
            </w:pPr>
            <w:r w:rsidRPr="0033290F">
              <w:rPr>
                <w:b/>
                <w:sz w:val="20"/>
                <w:szCs w:val="20"/>
              </w:rPr>
              <w:t>Četnost podávání zpráv</w:t>
            </w:r>
          </w:p>
        </w:tc>
      </w:tr>
      <w:tr w:rsidR="00D35ACE" w:rsidRPr="002355B5" w:rsidTr="00DB2F84">
        <w:tc>
          <w:tcPr>
            <w:tcW w:w="817" w:type="dxa"/>
            <w:tcBorders>
              <w:top w:val="single" w:sz="12" w:space="0" w:color="auto"/>
            </w:tcBorders>
          </w:tcPr>
          <w:p w:rsidR="00D35ACE" w:rsidRPr="003A2CB2" w:rsidRDefault="0077324E" w:rsidP="00B66FDE">
            <w:pPr>
              <w:spacing w:line="276" w:lineRule="auto"/>
              <w:rPr>
                <w:sz w:val="20"/>
                <w:szCs w:val="20"/>
              </w:rPr>
            </w:pPr>
            <w:r>
              <w:rPr>
                <w:sz w:val="20"/>
                <w:szCs w:val="20"/>
              </w:rPr>
              <w:t>327</w:t>
            </w:r>
            <w:r w:rsidRPr="0077324E">
              <w:rPr>
                <w:sz w:val="20"/>
                <w:szCs w:val="20"/>
              </w:rPr>
              <w:t>01</w:t>
            </w:r>
          </w:p>
        </w:tc>
        <w:tc>
          <w:tcPr>
            <w:tcW w:w="1418" w:type="dxa"/>
            <w:tcBorders>
              <w:top w:val="single" w:sz="12" w:space="0" w:color="auto"/>
            </w:tcBorders>
          </w:tcPr>
          <w:p w:rsidR="00D35ACE" w:rsidRPr="003A2CB2" w:rsidRDefault="0033290F" w:rsidP="00B66FDE">
            <w:pPr>
              <w:spacing w:line="276" w:lineRule="auto"/>
              <w:rPr>
                <w:rFonts w:cs="Calibri"/>
                <w:color w:val="000000"/>
                <w:sz w:val="20"/>
                <w:szCs w:val="20"/>
              </w:rPr>
            </w:pPr>
            <w:r w:rsidRPr="0033290F">
              <w:rPr>
                <w:sz w:val="20"/>
                <w:szCs w:val="20"/>
              </w:rPr>
              <w:t>Snížení konečné spotřeby energie ve veřejných budovách</w:t>
            </w:r>
          </w:p>
        </w:tc>
        <w:tc>
          <w:tcPr>
            <w:tcW w:w="1275" w:type="dxa"/>
            <w:tcBorders>
              <w:top w:val="single" w:sz="12" w:space="0" w:color="auto"/>
            </w:tcBorders>
          </w:tcPr>
          <w:p w:rsidR="00D35ACE" w:rsidRPr="003A2CB2" w:rsidRDefault="0033290F" w:rsidP="00B66FDE">
            <w:pPr>
              <w:spacing w:line="276" w:lineRule="auto"/>
              <w:rPr>
                <w:bCs/>
                <w:sz w:val="20"/>
                <w:szCs w:val="20"/>
              </w:rPr>
            </w:pPr>
            <w:r w:rsidRPr="0033290F">
              <w:rPr>
                <w:sz w:val="20"/>
                <w:szCs w:val="20"/>
              </w:rPr>
              <w:t>GJ/rok</w:t>
            </w:r>
          </w:p>
        </w:tc>
        <w:tc>
          <w:tcPr>
            <w:tcW w:w="851" w:type="dxa"/>
            <w:tcBorders>
              <w:top w:val="single" w:sz="12" w:space="0" w:color="auto"/>
            </w:tcBorders>
          </w:tcPr>
          <w:p w:rsidR="00D35ACE" w:rsidRPr="003A2CB2" w:rsidRDefault="008774B7" w:rsidP="00B66FDE">
            <w:pPr>
              <w:spacing w:line="276" w:lineRule="auto"/>
              <w:rPr>
                <w:bCs/>
                <w:sz w:val="20"/>
                <w:szCs w:val="20"/>
              </w:rPr>
            </w:pPr>
            <w:r w:rsidRPr="003A2CB2">
              <w:rPr>
                <w:bCs/>
                <w:sz w:val="20"/>
                <w:szCs w:val="20"/>
              </w:rPr>
              <w:t>Není relevantní</w:t>
            </w:r>
          </w:p>
        </w:tc>
        <w:tc>
          <w:tcPr>
            <w:tcW w:w="850" w:type="dxa"/>
            <w:tcBorders>
              <w:top w:val="single" w:sz="12" w:space="0" w:color="auto"/>
            </w:tcBorders>
          </w:tcPr>
          <w:p w:rsidR="00D35ACE" w:rsidRPr="003A2CB2" w:rsidRDefault="0033290F" w:rsidP="00B66FDE">
            <w:pPr>
              <w:spacing w:line="276" w:lineRule="auto"/>
              <w:rPr>
                <w:bCs/>
                <w:sz w:val="20"/>
                <w:szCs w:val="20"/>
              </w:rPr>
            </w:pPr>
            <w:r w:rsidRPr="0033290F">
              <w:rPr>
                <w:bCs/>
                <w:sz w:val="20"/>
                <w:szCs w:val="20"/>
              </w:rPr>
              <w:t>0</w:t>
            </w:r>
          </w:p>
        </w:tc>
        <w:tc>
          <w:tcPr>
            <w:tcW w:w="709" w:type="dxa"/>
            <w:tcBorders>
              <w:top w:val="single" w:sz="12" w:space="0" w:color="auto"/>
            </w:tcBorders>
          </w:tcPr>
          <w:p w:rsidR="00D35ACE" w:rsidRPr="003A2CB2" w:rsidRDefault="0033290F" w:rsidP="00B66FDE">
            <w:pPr>
              <w:spacing w:line="276" w:lineRule="auto"/>
              <w:rPr>
                <w:sz w:val="20"/>
                <w:szCs w:val="20"/>
              </w:rPr>
            </w:pPr>
            <w:r w:rsidRPr="0033290F">
              <w:rPr>
                <w:sz w:val="20"/>
                <w:szCs w:val="20"/>
              </w:rPr>
              <w:t>2013</w:t>
            </w:r>
          </w:p>
        </w:tc>
        <w:tc>
          <w:tcPr>
            <w:tcW w:w="1134" w:type="dxa"/>
            <w:tcBorders>
              <w:top w:val="single" w:sz="12" w:space="0" w:color="auto"/>
            </w:tcBorders>
          </w:tcPr>
          <w:p w:rsidR="00D35ACE" w:rsidRPr="003A2CB2" w:rsidRDefault="0033290F" w:rsidP="00B66FDE">
            <w:pPr>
              <w:spacing w:line="276" w:lineRule="auto"/>
              <w:rPr>
                <w:sz w:val="20"/>
                <w:szCs w:val="20"/>
              </w:rPr>
            </w:pPr>
            <w:r w:rsidRPr="0033290F">
              <w:rPr>
                <w:sz w:val="20"/>
                <w:szCs w:val="20"/>
              </w:rPr>
              <w:t>2 000 000</w:t>
            </w:r>
          </w:p>
        </w:tc>
        <w:tc>
          <w:tcPr>
            <w:tcW w:w="851" w:type="dxa"/>
            <w:tcBorders>
              <w:top w:val="single" w:sz="12" w:space="0" w:color="auto"/>
            </w:tcBorders>
          </w:tcPr>
          <w:p w:rsidR="00D35ACE" w:rsidRPr="003A2CB2" w:rsidRDefault="0033290F" w:rsidP="00B66FDE">
            <w:pPr>
              <w:spacing w:line="276" w:lineRule="auto"/>
              <w:rPr>
                <w:bCs/>
                <w:sz w:val="20"/>
                <w:szCs w:val="20"/>
              </w:rPr>
            </w:pPr>
            <w:r w:rsidRPr="0033290F">
              <w:rPr>
                <w:bCs/>
                <w:sz w:val="20"/>
                <w:szCs w:val="20"/>
              </w:rPr>
              <w:t>Žadatel/příjemce</w:t>
            </w:r>
          </w:p>
        </w:tc>
        <w:tc>
          <w:tcPr>
            <w:tcW w:w="1275" w:type="dxa"/>
            <w:tcBorders>
              <w:top w:val="single" w:sz="12" w:space="0" w:color="auto"/>
            </w:tcBorders>
          </w:tcPr>
          <w:p w:rsidR="00D35ACE" w:rsidRPr="003A2CB2" w:rsidRDefault="00D35ACE" w:rsidP="00B66FDE">
            <w:pPr>
              <w:rPr>
                <w:sz w:val="20"/>
                <w:szCs w:val="20"/>
              </w:rPr>
            </w:pPr>
            <w:r w:rsidRPr="003A2CB2">
              <w:rPr>
                <w:sz w:val="20"/>
                <w:szCs w:val="20"/>
              </w:rPr>
              <w:t>Průběžně</w:t>
            </w:r>
          </w:p>
        </w:tc>
      </w:tr>
    </w:tbl>
    <w:p w:rsidR="00ED44F3" w:rsidRPr="002355B5" w:rsidRDefault="00ED44F3" w:rsidP="00B66FDE"/>
    <w:p w:rsidR="003051E0" w:rsidRPr="00851A1D" w:rsidRDefault="006B2E81" w:rsidP="00165854">
      <w:pPr>
        <w:pStyle w:val="Nadpis4"/>
      </w:pPr>
      <w:bookmarkStart w:id="2870" w:name="_Toc392151056"/>
      <w:r>
        <w:lastRenderedPageBreak/>
        <w:t>Opatření, jež má být podpořeno v rámci investiční priority</w:t>
      </w:r>
      <w:bookmarkEnd w:id="2870"/>
      <w:r>
        <w:t xml:space="preserve"> </w:t>
      </w:r>
    </w:p>
    <w:p w:rsidR="003051E0" w:rsidRDefault="003051E0" w:rsidP="00165854">
      <w:pPr>
        <w:pStyle w:val="Nadpis5"/>
      </w:pPr>
      <w:bookmarkStart w:id="2871" w:name="_Toc392151057"/>
      <w:r w:rsidRPr="004314F4">
        <w:t xml:space="preserve">Popis typů </w:t>
      </w:r>
      <w:r w:rsidR="006B2E81">
        <w:t xml:space="preserve">a </w:t>
      </w:r>
      <w:r w:rsidRPr="004314F4">
        <w:t xml:space="preserve">příkladů </w:t>
      </w:r>
      <w:r w:rsidR="005079A8">
        <w:t>opatření, která mají být podporována, a jejich očekávaný přínos k plnění specifických cílů, případně včetně určení hlavních cílových skupin, konkrétních cílových území a druhů příjemců</w:t>
      </w:r>
      <w:bookmarkEnd w:id="2871"/>
    </w:p>
    <w:p w:rsidR="00FB4B40" w:rsidRPr="00BE7616" w:rsidRDefault="00E666D2" w:rsidP="00165854">
      <w:pPr>
        <w:pStyle w:val="Nadpis6"/>
      </w:pPr>
      <w:r w:rsidRPr="004314F4">
        <w:t xml:space="preserve">Specifický cíl 1: Snížit energetickou náročnost </w:t>
      </w:r>
      <w:r w:rsidR="004624A1" w:rsidRPr="004314F4">
        <w:t xml:space="preserve">veřejných </w:t>
      </w:r>
      <w:r w:rsidRPr="004314F4">
        <w:t xml:space="preserve">budov a </w:t>
      </w:r>
      <w:r w:rsidR="00F85AB9" w:rsidRPr="00F85AB9">
        <w:t>zvýšit využití obnovitelných zdrojů energie</w:t>
      </w:r>
    </w:p>
    <w:p w:rsidR="00D66518" w:rsidRPr="004314F4" w:rsidRDefault="00D66518" w:rsidP="000D0BE8">
      <w:pPr>
        <w:spacing w:after="0" w:afterAutospacing="0"/>
      </w:pPr>
      <w:r w:rsidRPr="004314F4">
        <w:t>Podporované aktivity v rámci specifického cíle 5.1 - budou:</w:t>
      </w:r>
    </w:p>
    <w:p w:rsidR="006F7D80" w:rsidRPr="00FF238E" w:rsidRDefault="000D0BE8" w:rsidP="00495FC1">
      <w:pPr>
        <w:pStyle w:val="Odstavecseseznamem"/>
        <w:numPr>
          <w:ilvl w:val="0"/>
          <w:numId w:val="39"/>
        </w:numPr>
        <w:spacing w:after="0" w:afterAutospacing="0"/>
        <w:rPr>
          <w:rFonts w:asciiTheme="majorHAnsi" w:hAnsiTheme="majorHAnsi"/>
        </w:rPr>
      </w:pPr>
      <w:r>
        <w:rPr>
          <w:rFonts w:asciiTheme="majorHAnsi" w:eastAsia="Times New Roman" w:hAnsiTheme="majorHAnsi" w:cs="Calibri"/>
        </w:rPr>
        <w:t>s</w:t>
      </w:r>
      <w:r w:rsidR="001403B8" w:rsidRPr="00FF238E">
        <w:rPr>
          <w:rFonts w:asciiTheme="majorHAnsi" w:eastAsia="Times New Roman" w:hAnsiTheme="majorHAnsi" w:cs="Calibri"/>
        </w:rPr>
        <w:t>nižování spotřeby energie zlepšením tepelně technických vlastností obvodových konstrukcí budov, včetně dalších opatření vedoucích ke snížení energetické náročnosti budov</w:t>
      </w:r>
      <w:r>
        <w:rPr>
          <w:rFonts w:asciiTheme="majorHAnsi" w:eastAsia="Times New Roman" w:hAnsiTheme="majorHAnsi" w:cs="Calibri"/>
        </w:rPr>
        <w:t>,</w:t>
      </w:r>
    </w:p>
    <w:p w:rsidR="006F7D80" w:rsidRPr="00FF238E" w:rsidRDefault="000D0BE8" w:rsidP="00495FC1">
      <w:pPr>
        <w:pStyle w:val="Odstavecseseznamem"/>
        <w:numPr>
          <w:ilvl w:val="0"/>
          <w:numId w:val="39"/>
        </w:numPr>
        <w:rPr>
          <w:rFonts w:asciiTheme="majorHAnsi" w:hAnsiTheme="majorHAnsi"/>
        </w:rPr>
      </w:pPr>
      <w:r>
        <w:rPr>
          <w:rFonts w:asciiTheme="majorHAnsi" w:hAnsiTheme="majorHAnsi"/>
        </w:rPr>
        <w:t>r</w:t>
      </w:r>
      <w:r w:rsidR="001403B8" w:rsidRPr="00FF238E">
        <w:rPr>
          <w:rFonts w:asciiTheme="majorHAnsi" w:hAnsiTheme="majorHAnsi"/>
        </w:rPr>
        <w:t>ealizace technologií na využití odpadního tepla</w:t>
      </w:r>
      <w:r>
        <w:rPr>
          <w:rFonts w:asciiTheme="majorHAnsi" w:hAnsiTheme="majorHAnsi"/>
        </w:rPr>
        <w:t>,</w:t>
      </w:r>
    </w:p>
    <w:p w:rsidR="006F7D80" w:rsidRPr="00FF238E" w:rsidRDefault="000D0BE8" w:rsidP="00495FC1">
      <w:pPr>
        <w:pStyle w:val="Odstavecseseznamem"/>
        <w:numPr>
          <w:ilvl w:val="0"/>
          <w:numId w:val="39"/>
        </w:numPr>
        <w:rPr>
          <w:rFonts w:asciiTheme="majorHAnsi" w:hAnsiTheme="majorHAnsi"/>
        </w:rPr>
      </w:pPr>
      <w:r>
        <w:rPr>
          <w:rFonts w:asciiTheme="majorHAnsi" w:eastAsia="Times New Roman" w:hAnsiTheme="majorHAnsi" w:cs="Calibri"/>
          <w:color w:val="000000"/>
        </w:rPr>
        <w:t>r</w:t>
      </w:r>
      <w:r w:rsidR="001403B8" w:rsidRPr="00FF238E">
        <w:rPr>
          <w:rFonts w:asciiTheme="majorHAnsi" w:eastAsia="Times New Roman" w:hAnsiTheme="majorHAnsi" w:cs="Calibri"/>
          <w:color w:val="000000"/>
        </w:rPr>
        <w:t xml:space="preserve">ealizace </w:t>
      </w:r>
      <w:proofErr w:type="spellStart"/>
      <w:r w:rsidR="001403B8" w:rsidRPr="00FF238E">
        <w:rPr>
          <w:rFonts w:asciiTheme="majorHAnsi" w:eastAsia="Times New Roman" w:hAnsiTheme="majorHAnsi" w:cs="Calibri"/>
          <w:color w:val="000000"/>
        </w:rPr>
        <w:t>nízkoemisních</w:t>
      </w:r>
      <w:proofErr w:type="spellEnd"/>
      <w:r w:rsidR="001403B8" w:rsidRPr="00FF238E">
        <w:rPr>
          <w:rFonts w:asciiTheme="majorHAnsi" w:eastAsia="Times New Roman" w:hAnsiTheme="majorHAnsi" w:cs="Calibri"/>
          <w:color w:val="000000"/>
        </w:rPr>
        <w:t xml:space="preserve"> a obnovitelných zdrojů tepla</w:t>
      </w:r>
      <w:r w:rsidR="00851A1D" w:rsidRPr="00FF238E">
        <w:rPr>
          <w:rFonts w:asciiTheme="majorHAnsi" w:eastAsia="Times New Roman" w:hAnsiTheme="majorHAnsi" w:cs="Calibri"/>
          <w:color w:val="000000"/>
        </w:rPr>
        <w:t>.</w:t>
      </w:r>
      <w:r w:rsidR="001403B8" w:rsidRPr="00FF238E" w:rsidDel="001403B8">
        <w:rPr>
          <w:rFonts w:asciiTheme="majorHAnsi" w:eastAsia="Times New Roman" w:hAnsiTheme="majorHAnsi" w:cs="Calibri"/>
          <w:color w:val="000000"/>
        </w:rPr>
        <w:t xml:space="preserve"> </w:t>
      </w:r>
    </w:p>
    <w:p w:rsidR="000A2E6A" w:rsidRPr="00FF238E" w:rsidRDefault="0058323D" w:rsidP="00B66FDE">
      <w:pPr>
        <w:rPr>
          <w:color w:val="000000"/>
        </w:rPr>
      </w:pPr>
      <w:r w:rsidRPr="004314F4">
        <w:rPr>
          <w:color w:val="000000"/>
        </w:rPr>
        <w:t>Typy podporovaných projektů:</w:t>
      </w:r>
    </w:p>
    <w:p w:rsidR="006F7D80" w:rsidRPr="00FF238E" w:rsidRDefault="00FB4B40" w:rsidP="00495FC1">
      <w:pPr>
        <w:pStyle w:val="Odstavecseseznamem"/>
        <w:numPr>
          <w:ilvl w:val="0"/>
          <w:numId w:val="40"/>
        </w:numPr>
        <w:rPr>
          <w:color w:val="000000"/>
        </w:rPr>
      </w:pPr>
      <w:r w:rsidRPr="00FF238E">
        <w:rPr>
          <w:color w:val="000000"/>
        </w:rPr>
        <w:t>Celkové nebo dílčí energeticky ús</w:t>
      </w:r>
      <w:r w:rsidR="000A2E6A" w:rsidRPr="00FF238E">
        <w:rPr>
          <w:color w:val="000000"/>
        </w:rPr>
        <w:t>porné renovace veřejných budov:</w:t>
      </w:r>
    </w:p>
    <w:p w:rsidR="006F7D80" w:rsidRPr="00FF238E" w:rsidRDefault="000D0BE8" w:rsidP="00495FC1">
      <w:pPr>
        <w:pStyle w:val="Odstavecseseznamem"/>
        <w:numPr>
          <w:ilvl w:val="0"/>
          <w:numId w:val="41"/>
        </w:numPr>
        <w:rPr>
          <w:color w:val="000000"/>
        </w:rPr>
      </w:pPr>
      <w:r>
        <w:rPr>
          <w:color w:val="000000"/>
        </w:rPr>
        <w:t>z</w:t>
      </w:r>
      <w:r w:rsidR="001403B8" w:rsidRPr="00FF238E">
        <w:rPr>
          <w:color w:val="000000"/>
        </w:rPr>
        <w:t>ateplení obvodového pláště budovy</w:t>
      </w:r>
      <w:r>
        <w:rPr>
          <w:color w:val="000000"/>
        </w:rPr>
        <w:t>,</w:t>
      </w:r>
    </w:p>
    <w:p w:rsidR="006F7D80" w:rsidRPr="00FF238E" w:rsidRDefault="000D0BE8" w:rsidP="00495FC1">
      <w:pPr>
        <w:pStyle w:val="Odstavecseseznamem"/>
        <w:numPr>
          <w:ilvl w:val="0"/>
          <w:numId w:val="41"/>
        </w:numPr>
        <w:rPr>
          <w:color w:val="000000"/>
        </w:rPr>
      </w:pPr>
      <w:r>
        <w:rPr>
          <w:color w:val="000000"/>
        </w:rPr>
        <w:t>v</w:t>
      </w:r>
      <w:r w:rsidR="001403B8" w:rsidRPr="00FF238E">
        <w:rPr>
          <w:color w:val="000000"/>
        </w:rPr>
        <w:t>ýměna a renovace (repase) otvorových výplní</w:t>
      </w:r>
      <w:r>
        <w:rPr>
          <w:color w:val="000000"/>
        </w:rPr>
        <w:t>,</w:t>
      </w:r>
    </w:p>
    <w:p w:rsidR="006F7D80" w:rsidRPr="00FF238E" w:rsidRDefault="000D0BE8" w:rsidP="00495FC1">
      <w:pPr>
        <w:pStyle w:val="Odstavecseseznamem"/>
        <w:numPr>
          <w:ilvl w:val="0"/>
          <w:numId w:val="41"/>
        </w:numPr>
        <w:rPr>
          <w:color w:val="000000"/>
        </w:rPr>
      </w:pPr>
      <w:r>
        <w:rPr>
          <w:color w:val="000000"/>
        </w:rPr>
        <w:t>r</w:t>
      </w:r>
      <w:r w:rsidR="001403B8" w:rsidRPr="00FF238E">
        <w:rPr>
          <w:color w:val="000000"/>
        </w:rPr>
        <w:t>ealizace opatření majících prokazatelně vliv na energetickou náročnost budovy nebo zlepšení kvality vnitřního prostředí</w:t>
      </w:r>
      <w:r>
        <w:rPr>
          <w:color w:val="000000"/>
        </w:rPr>
        <w:t>,</w:t>
      </w:r>
    </w:p>
    <w:p w:rsidR="006F7D80" w:rsidRPr="00FF238E" w:rsidRDefault="000D0BE8" w:rsidP="00495FC1">
      <w:pPr>
        <w:pStyle w:val="Odstavecseseznamem"/>
        <w:numPr>
          <w:ilvl w:val="0"/>
          <w:numId w:val="41"/>
        </w:numPr>
        <w:rPr>
          <w:color w:val="000000"/>
        </w:rPr>
      </w:pPr>
      <w:r>
        <w:rPr>
          <w:color w:val="000000"/>
        </w:rPr>
        <w:t>r</w:t>
      </w:r>
      <w:r w:rsidR="001403B8" w:rsidRPr="00FF238E">
        <w:rPr>
          <w:color w:val="000000"/>
        </w:rPr>
        <w:t>ealizace systémů nuceného větrání s rekuperací odpadního tepla</w:t>
      </w:r>
      <w:r>
        <w:rPr>
          <w:color w:val="000000"/>
        </w:rPr>
        <w:t>,</w:t>
      </w:r>
    </w:p>
    <w:p w:rsidR="006F7D80" w:rsidRPr="00FF238E" w:rsidRDefault="000D0BE8" w:rsidP="00495FC1">
      <w:pPr>
        <w:pStyle w:val="Odstavecseseznamem"/>
        <w:numPr>
          <w:ilvl w:val="0"/>
          <w:numId w:val="41"/>
        </w:numPr>
        <w:rPr>
          <w:color w:val="000000"/>
        </w:rPr>
      </w:pPr>
      <w:r>
        <w:rPr>
          <w:color w:val="000000"/>
        </w:rPr>
        <w:t>r</w:t>
      </w:r>
      <w:r w:rsidR="001403B8" w:rsidRPr="00FF238E">
        <w:rPr>
          <w:color w:val="000000"/>
        </w:rPr>
        <w:t>ealizace systémů využívajících odpadní teplo</w:t>
      </w:r>
      <w:r>
        <w:rPr>
          <w:color w:val="000000"/>
        </w:rPr>
        <w:t>,</w:t>
      </w:r>
    </w:p>
    <w:p w:rsidR="006F7D80" w:rsidRPr="00FF238E" w:rsidRDefault="000D0BE8" w:rsidP="00495FC1">
      <w:pPr>
        <w:pStyle w:val="Odstavecseseznamem"/>
        <w:numPr>
          <w:ilvl w:val="0"/>
          <w:numId w:val="41"/>
        </w:numPr>
        <w:rPr>
          <w:color w:val="000000"/>
        </w:rPr>
      </w:pPr>
      <w:r>
        <w:rPr>
          <w:color w:val="000000"/>
        </w:rPr>
        <w:t>v</w:t>
      </w:r>
      <w:r w:rsidR="001403B8" w:rsidRPr="00FF238E">
        <w:rPr>
          <w:color w:val="000000"/>
        </w:rPr>
        <w:t>ýměna zdroje tepla pro vytápění nebo přípravu teplé užitkové vody využívajícího fosilní paliva za účinné zdroje využívající biomasu, tepelná</w:t>
      </w:r>
      <w:r w:rsidR="00A1404B">
        <w:rPr>
          <w:color w:val="000000"/>
        </w:rPr>
        <w:t xml:space="preserve"> čerpadla, kondenzační kotle na </w:t>
      </w:r>
      <w:r w:rsidR="001403B8" w:rsidRPr="00FF238E">
        <w:rPr>
          <w:color w:val="000000"/>
        </w:rPr>
        <w:t xml:space="preserve">zemní plyn nebo zařízení pro </w:t>
      </w:r>
      <w:r w:rsidR="00851A1D" w:rsidRPr="00FF238E">
        <w:rPr>
          <w:color w:val="000000"/>
        </w:rPr>
        <w:t>kombinovanou výrobu elektřiny a </w:t>
      </w:r>
      <w:r w:rsidR="001403B8" w:rsidRPr="00FF238E">
        <w:rPr>
          <w:color w:val="000000"/>
        </w:rPr>
        <w:t>tepla (</w:t>
      </w:r>
      <w:proofErr w:type="spellStart"/>
      <w:r w:rsidR="001403B8" w:rsidRPr="00FF238E">
        <w:rPr>
          <w:color w:val="000000"/>
        </w:rPr>
        <w:t>mikrokogenerace</w:t>
      </w:r>
      <w:proofErr w:type="spellEnd"/>
      <w:r w:rsidR="001403B8" w:rsidRPr="00FF238E">
        <w:rPr>
          <w:color w:val="000000"/>
        </w:rPr>
        <w:t>) využívající obnovitelné zdroje nebo zemní plyn</w:t>
      </w:r>
      <w:r>
        <w:rPr>
          <w:color w:val="000000"/>
        </w:rPr>
        <w:t>,</w:t>
      </w:r>
      <w:r w:rsidR="001403B8" w:rsidRPr="00FF238E">
        <w:rPr>
          <w:color w:val="000000"/>
        </w:rPr>
        <w:t xml:space="preserve"> </w:t>
      </w:r>
    </w:p>
    <w:p w:rsidR="006F7D80" w:rsidRPr="00FF238E" w:rsidRDefault="000D0BE8" w:rsidP="00495FC1">
      <w:pPr>
        <w:pStyle w:val="Odstavecseseznamem"/>
        <w:numPr>
          <w:ilvl w:val="0"/>
          <w:numId w:val="41"/>
        </w:numPr>
        <w:rPr>
          <w:color w:val="000000"/>
        </w:rPr>
      </w:pPr>
      <w:r>
        <w:rPr>
          <w:color w:val="000000"/>
        </w:rPr>
        <w:t>i</w:t>
      </w:r>
      <w:r w:rsidR="001403B8" w:rsidRPr="00FF238E">
        <w:rPr>
          <w:color w:val="000000"/>
        </w:rPr>
        <w:t>nstalace solárně-termických kolektorů pro přitápění nebo pouze přípravu teplé vody</w:t>
      </w:r>
      <w:r w:rsidR="00851A1D" w:rsidRPr="00FF238E">
        <w:rPr>
          <w:color w:val="000000"/>
        </w:rPr>
        <w:t>.</w:t>
      </w:r>
      <w:r w:rsidR="001403B8" w:rsidRPr="00FF238E">
        <w:rPr>
          <w:color w:val="000000"/>
        </w:rPr>
        <w:t xml:space="preserve"> </w:t>
      </w:r>
    </w:p>
    <w:p w:rsidR="001403B8" w:rsidRPr="004314F4" w:rsidRDefault="00B85DE1" w:rsidP="00FF238E">
      <w:pPr>
        <w:ind w:left="360"/>
        <w:rPr>
          <w:color w:val="000000"/>
        </w:rPr>
      </w:pPr>
      <w:r w:rsidRPr="00DA6A9D">
        <w:rPr>
          <w:color w:val="000000"/>
        </w:rPr>
        <w:t>V rámci renovace budov definovaných příslušným zákonem jako kulturní památka nebo renovace budov, které nejsou kulturní památkou, ale nacházejí se v památkové rezervaci, v</w:t>
      </w:r>
      <w:r w:rsidR="00DB2F84">
        <w:rPr>
          <w:color w:val="000000"/>
        </w:rPr>
        <w:t> </w:t>
      </w:r>
      <w:r w:rsidRPr="00DA6A9D">
        <w:rPr>
          <w:color w:val="000000"/>
        </w:rPr>
        <w:t>památkové zóně nebo v ochranném pásmu nemovité kulturní památky, nemovité národní kulturní památky, památkové rezervace, nebo památkové zóny</w:t>
      </w:r>
      <w:r w:rsidR="003D06D8">
        <w:rPr>
          <w:color w:val="000000"/>
        </w:rPr>
        <w:t xml:space="preserve"> </w:t>
      </w:r>
      <w:r w:rsidR="001403B8" w:rsidRPr="0049682A">
        <w:rPr>
          <w:rFonts w:asciiTheme="majorHAnsi" w:eastAsia="Times New Roman" w:hAnsiTheme="majorHAnsi" w:cs="Arial"/>
          <w:color w:val="000000"/>
        </w:rPr>
        <w:t>budou podporovány rovněž dílčí aktivity vedoucí ke snížení energetické náročnosti budovy bez o</w:t>
      </w:r>
      <w:r w:rsidR="00851A1D">
        <w:rPr>
          <w:rFonts w:asciiTheme="majorHAnsi" w:eastAsia="Times New Roman" w:hAnsiTheme="majorHAnsi" w:cs="Arial"/>
          <w:color w:val="000000"/>
        </w:rPr>
        <w:t>hledu na dosažení parametrů pro </w:t>
      </w:r>
      <w:r w:rsidR="001403B8" w:rsidRPr="0049682A">
        <w:rPr>
          <w:rFonts w:asciiTheme="majorHAnsi" w:eastAsia="Times New Roman" w:hAnsiTheme="majorHAnsi" w:cs="Arial"/>
          <w:color w:val="000000"/>
        </w:rPr>
        <w:t>celkovou energetickou náročnost budovy dle příslušných norem.</w:t>
      </w:r>
      <w:r w:rsidR="001403B8">
        <w:rPr>
          <w:color w:val="000000"/>
        </w:rPr>
        <w:t xml:space="preserve"> </w:t>
      </w:r>
      <w:r w:rsidR="001403B8" w:rsidRPr="004314F4">
        <w:rPr>
          <w:color w:val="000000"/>
        </w:rPr>
        <w:t>Ostatní budovy musí projít celkovou energeticky úspornou renovací. To je v souladu s principem, že podpůrné programy mají motivovat k lepšímu výsledku, než by byl dosažen bez nich.</w:t>
      </w:r>
    </w:p>
    <w:p w:rsidR="00FB4B40" w:rsidRPr="004314F4" w:rsidRDefault="00FB4B40" w:rsidP="00FF238E">
      <w:pPr>
        <w:ind w:left="360"/>
        <w:rPr>
          <w:color w:val="000000"/>
        </w:rPr>
      </w:pPr>
      <w:r w:rsidRPr="004314F4">
        <w:rPr>
          <w:color w:val="000000"/>
        </w:rPr>
        <w:t>Nebudou podporována technologická opatření ke snížení energetické náročnosti veřejných budov</w:t>
      </w:r>
      <w:r w:rsidR="003D06D8" w:rsidRPr="003D06D8">
        <w:rPr>
          <w:color w:val="000000"/>
        </w:rPr>
        <w:t xml:space="preserve"> </w:t>
      </w:r>
      <w:r w:rsidR="003D06D8">
        <w:rPr>
          <w:color w:val="000000"/>
        </w:rPr>
        <w:t>s kratší ekonomickou návratností</w:t>
      </w:r>
      <w:r w:rsidRPr="004314F4">
        <w:rPr>
          <w:color w:val="000000"/>
        </w:rPr>
        <w:t xml:space="preserve">, protože ta jsou v případě veřejných budov realizovatelná komerčně (např. metodou </w:t>
      </w:r>
      <w:proofErr w:type="spellStart"/>
      <w:r w:rsidRPr="004314F4">
        <w:rPr>
          <w:color w:val="000000"/>
        </w:rPr>
        <w:t>Energy</w:t>
      </w:r>
      <w:proofErr w:type="spellEnd"/>
      <w:r w:rsidRPr="004314F4">
        <w:rPr>
          <w:color w:val="000000"/>
        </w:rPr>
        <w:t xml:space="preserve"> Performance </w:t>
      </w:r>
      <w:proofErr w:type="spellStart"/>
      <w:r w:rsidRPr="004314F4">
        <w:rPr>
          <w:color w:val="000000"/>
        </w:rPr>
        <w:t>Contracting</w:t>
      </w:r>
      <w:proofErr w:type="spellEnd"/>
      <w:r w:rsidRPr="004314F4">
        <w:rPr>
          <w:color w:val="000000"/>
        </w:rPr>
        <w:t>).  To je v souladu se směrnicí o energetické účinnosti, která ukládá členským státům rozvíjet energetické služby. Veřejné prostředky tedy budou účelně využity pouze na opatření s dlou</w:t>
      </w:r>
      <w:r w:rsidR="00851A1D">
        <w:rPr>
          <w:color w:val="000000"/>
        </w:rPr>
        <w:t xml:space="preserve">hou </w:t>
      </w:r>
      <w:r w:rsidR="00851A1D">
        <w:rPr>
          <w:color w:val="000000"/>
        </w:rPr>
        <w:lastRenderedPageBreak/>
        <w:t>ekonomickou návratností. To </w:t>
      </w:r>
      <w:r w:rsidRPr="004314F4">
        <w:rPr>
          <w:color w:val="000000"/>
        </w:rPr>
        <w:t>v souladu s čl. 1</w:t>
      </w:r>
      <w:r w:rsidR="000D0BE8">
        <w:rPr>
          <w:color w:val="000000"/>
        </w:rPr>
        <w:t>21</w:t>
      </w:r>
      <w:r w:rsidRPr="004314F4">
        <w:rPr>
          <w:color w:val="000000"/>
        </w:rPr>
        <w:t xml:space="preserve"> Obecného nařízení zvyšuje pravděpodobnost vyšší míry kofinancování této osy z FS.</w:t>
      </w:r>
    </w:p>
    <w:p w:rsidR="00FB4B40" w:rsidRPr="004314F4" w:rsidRDefault="00FB4B40" w:rsidP="00FF238E">
      <w:pPr>
        <w:ind w:left="360"/>
        <w:rPr>
          <w:color w:val="000000"/>
        </w:rPr>
      </w:pPr>
      <w:r w:rsidRPr="004314F4">
        <w:rPr>
          <w:color w:val="000000"/>
        </w:rPr>
        <w:t>Tato oblast podpory slouží mj. jako podpora implement</w:t>
      </w:r>
      <w:r w:rsidR="00851A1D">
        <w:rPr>
          <w:color w:val="000000"/>
        </w:rPr>
        <w:t xml:space="preserve">ace čl. 5 </w:t>
      </w:r>
      <w:r w:rsidR="00274221">
        <w:rPr>
          <w:color w:val="000000"/>
        </w:rPr>
        <w:t xml:space="preserve">a čl. 7 </w:t>
      </w:r>
      <w:r w:rsidR="000D0BE8">
        <w:rPr>
          <w:color w:val="000000"/>
        </w:rPr>
        <w:t>S</w:t>
      </w:r>
      <w:r w:rsidR="00851A1D">
        <w:rPr>
          <w:color w:val="000000"/>
        </w:rPr>
        <w:t>měrnice 2012/27/EU o </w:t>
      </w:r>
      <w:r w:rsidRPr="004314F4">
        <w:rPr>
          <w:color w:val="000000"/>
        </w:rPr>
        <w:t>energetické účinnosti.</w:t>
      </w:r>
    </w:p>
    <w:p w:rsidR="006F7D80" w:rsidRPr="00FF238E" w:rsidRDefault="00FB4B40" w:rsidP="00495FC1">
      <w:pPr>
        <w:pStyle w:val="Odstavecseseznamem"/>
        <w:numPr>
          <w:ilvl w:val="0"/>
          <w:numId w:val="40"/>
        </w:numPr>
        <w:rPr>
          <w:color w:val="000000"/>
        </w:rPr>
      </w:pPr>
      <w:r w:rsidRPr="00FF238E">
        <w:rPr>
          <w:color w:val="000000"/>
        </w:rPr>
        <w:t>Podpora vícenákladů na dosažení standardu budovy s téměř nulovou spotřebou a pasivního energetického standardu v případě výstavby nových budov. Vícenáklady bu</w:t>
      </w:r>
      <w:r w:rsidR="00851A1D" w:rsidRPr="00FF238E">
        <w:rPr>
          <w:color w:val="000000"/>
        </w:rPr>
        <w:t>dou odvozeny od </w:t>
      </w:r>
      <w:r w:rsidRPr="00FF238E">
        <w:rPr>
          <w:color w:val="000000"/>
        </w:rPr>
        <w:t xml:space="preserve">modelových příkladů a pro účely podpory stanoveny jako pevná částka na jasně měřitelnou veličinu. Tato oblast podpory slouží jako podpora implementace čl. 9 směrnice 2010/31/EU o energetické náročnosti budov (a § 7 transpozičního zákona č. </w:t>
      </w:r>
      <w:r w:rsidR="00851A1D" w:rsidRPr="00FF238E">
        <w:rPr>
          <w:color w:val="000000"/>
        </w:rPr>
        <w:t>406/2000 Sb., o </w:t>
      </w:r>
      <w:r w:rsidRPr="00FF238E">
        <w:rPr>
          <w:color w:val="000000"/>
        </w:rPr>
        <w:t>hospodaření energií).</w:t>
      </w:r>
    </w:p>
    <w:p w:rsidR="006F7D80" w:rsidRPr="00FF238E" w:rsidRDefault="00FB4B40" w:rsidP="00495FC1">
      <w:pPr>
        <w:pStyle w:val="Odstavecseseznamem"/>
        <w:numPr>
          <w:ilvl w:val="0"/>
          <w:numId w:val="40"/>
        </w:numPr>
        <w:rPr>
          <w:color w:val="000000"/>
        </w:rPr>
      </w:pPr>
      <w:r w:rsidRPr="00FF238E">
        <w:rPr>
          <w:color w:val="000000"/>
        </w:rPr>
        <w:t>Samostatná opatření výměny zdroje tepla pro vytápění nebo přípravu teplé vody, instalace solárně-termických kolektorů a instalace systému nuceného větrání s rekuperací odpadního tepla podle pravidel v oblasti A tam, kde veřejná budova splňuje</w:t>
      </w:r>
      <w:r w:rsidR="00851A1D" w:rsidRPr="00FF238E">
        <w:rPr>
          <w:color w:val="000000"/>
        </w:rPr>
        <w:t xml:space="preserve"> určitou energetickou náročnost</w:t>
      </w:r>
      <w:r w:rsidRPr="00FF238E">
        <w:rPr>
          <w:color w:val="000000"/>
        </w:rPr>
        <w:t xml:space="preserve"> a v případě instalace systému nuceného větrání s rekuperací zároveň nesplňuje požadavky na zajištění dostatečné výměny vzduchu.</w:t>
      </w:r>
    </w:p>
    <w:p w:rsidR="003655C9" w:rsidRPr="00E23CE1" w:rsidRDefault="00FB4B40" w:rsidP="00B66FDE">
      <w:r w:rsidRPr="004314F4">
        <w:rPr>
          <w:color w:val="000000"/>
        </w:rPr>
        <w:t xml:space="preserve">Příjemcem podpory ve všech oblastech podpory může být subjekt, který vlastní veřejnou budovu (v případě oblasti podpory B bude příjemcem podpory stavebník). </w:t>
      </w:r>
    </w:p>
    <w:p w:rsidR="00562FAB" w:rsidRPr="00006CBC" w:rsidRDefault="00562FAB" w:rsidP="00B66FDE">
      <w:pPr>
        <w:rPr>
          <w:color w:val="000000"/>
        </w:rPr>
      </w:pPr>
      <w:r w:rsidRPr="004314F4">
        <w:t>Dotace by měla být poskytována zejména pro opatření s del</w:t>
      </w:r>
      <w:r w:rsidR="00851A1D">
        <w:t>ší ekonomickou návratností, tj. </w:t>
      </w:r>
      <w:r w:rsidRPr="004314F4">
        <w:t>především zateplení objektů. Pouhé zateplení objektu však není dostatečné pro optimální snížení spotřeby energie. Klíčová je rovněž následná péče o správné vytápění objektů a renovace souvisejících technologických zařízení, zejména zdrojů tepla a regulačních systémů. Tato opatření s kratší dobou návratnosti je vhodné realizovat prostřednictvím metody EPC. V rámci dosažení vyšší hospodárnosti budou zvýhodněny projektové žádosti kombinující dotaci OP</w:t>
      </w:r>
      <w:r w:rsidR="00E16955">
        <w:t xml:space="preserve"> </w:t>
      </w:r>
      <w:r w:rsidRPr="004314F4">
        <w:t>ŽP pro renovaci stavby s využitím metody EPC pro renovaci technologických zařízení.</w:t>
      </w:r>
    </w:p>
    <w:p w:rsidR="00B65141" w:rsidRDefault="00E23CE1" w:rsidP="00B1394B">
      <w:r>
        <w:t>Hlavní cílové skupiny</w:t>
      </w:r>
      <w:r w:rsidR="009853B3">
        <w:rPr>
          <w:rStyle w:val="Odkaznakoment"/>
        </w:rPr>
        <w:t xml:space="preserve">: </w:t>
      </w:r>
      <w:r w:rsidR="002534B9">
        <w:t>v</w:t>
      </w:r>
      <w:r w:rsidR="009853B3">
        <w:t>lastníci veřejných budov</w:t>
      </w:r>
      <w:r w:rsidR="00FF238E">
        <w:tab/>
      </w:r>
      <w:r w:rsidR="00FF238E">
        <w:tab/>
      </w:r>
      <w:r w:rsidR="00FF238E">
        <w:tab/>
      </w:r>
    </w:p>
    <w:p w:rsidR="006638F8" w:rsidRPr="000D0BE8" w:rsidRDefault="0033290F" w:rsidP="006638F8">
      <w:pPr>
        <w:rPr>
          <w:b/>
        </w:rPr>
      </w:pPr>
      <w:r w:rsidRPr="0033290F">
        <w:rPr>
          <w:b/>
        </w:rPr>
        <w:t>Typy příjemců:</w:t>
      </w:r>
    </w:p>
    <w:p w:rsidR="006638F8" w:rsidRPr="00CA2D14" w:rsidRDefault="006638F8" w:rsidP="006638F8">
      <w:pPr>
        <w:spacing w:after="0" w:afterAutospacing="0"/>
      </w:pPr>
      <w:r w:rsidRPr="00CA2D14">
        <w:t>Právnické osoby</w:t>
      </w:r>
      <w:r w:rsidR="00F625C4">
        <w:t xml:space="preserve"> </w:t>
      </w:r>
      <w:r w:rsidR="000D0BE8">
        <w:t>(pouze indikativní výčet)</w:t>
      </w:r>
      <w:r w:rsidR="000D0BE8" w:rsidRPr="00FF3719">
        <w:t>:</w:t>
      </w:r>
      <w:r w:rsidRPr="00CA2D14">
        <w:t xml:space="preserve"> </w:t>
      </w:r>
    </w:p>
    <w:p w:rsidR="00572484" w:rsidRDefault="000D0BE8" w:rsidP="00495FC1">
      <w:pPr>
        <w:pStyle w:val="Odstavecseseznamem"/>
        <w:numPr>
          <w:ilvl w:val="0"/>
          <w:numId w:val="107"/>
        </w:numPr>
        <w:spacing w:after="0" w:afterAutospacing="0"/>
        <w:jc w:val="left"/>
      </w:pPr>
      <w:r>
        <w:t>o</w:t>
      </w:r>
      <w:r w:rsidR="00572484">
        <w:t>bce</w:t>
      </w:r>
      <w:r>
        <w:t>,</w:t>
      </w:r>
    </w:p>
    <w:p w:rsidR="00572484" w:rsidRPr="00460BFA" w:rsidRDefault="00572484" w:rsidP="00495FC1">
      <w:pPr>
        <w:pStyle w:val="Odstavecseseznamem"/>
        <w:numPr>
          <w:ilvl w:val="0"/>
          <w:numId w:val="107"/>
        </w:numPr>
        <w:spacing w:after="0" w:afterAutospacing="0"/>
        <w:jc w:val="left"/>
        <w:rPr>
          <w:rFonts w:cstheme="minorHAnsi"/>
          <w:bCs/>
        </w:rPr>
      </w:pPr>
      <w:r>
        <w:t>kraje</w:t>
      </w:r>
      <w:r w:rsidR="000D0BE8">
        <w:rPr>
          <w:rFonts w:cstheme="minorHAnsi"/>
          <w:bCs/>
        </w:rPr>
        <w:t>,</w:t>
      </w:r>
    </w:p>
    <w:p w:rsidR="00572484" w:rsidRPr="00460BFA" w:rsidRDefault="00572484" w:rsidP="00495FC1">
      <w:pPr>
        <w:pStyle w:val="Odstavecseseznamem"/>
        <w:numPr>
          <w:ilvl w:val="0"/>
          <w:numId w:val="107"/>
        </w:numPr>
        <w:spacing w:after="200" w:afterAutospacing="0"/>
        <w:jc w:val="left"/>
        <w:rPr>
          <w:rFonts w:cstheme="minorHAnsi"/>
          <w:bCs/>
        </w:rPr>
      </w:pPr>
      <w:r>
        <w:t>dobrovolné svazky obcí</w:t>
      </w:r>
      <w:r w:rsidR="000D0BE8">
        <w:t>,</w:t>
      </w:r>
    </w:p>
    <w:p w:rsidR="00572484" w:rsidRPr="00460BFA" w:rsidRDefault="00572484" w:rsidP="00495FC1">
      <w:pPr>
        <w:pStyle w:val="Odstavecseseznamem"/>
        <w:numPr>
          <w:ilvl w:val="0"/>
          <w:numId w:val="107"/>
        </w:numPr>
        <w:spacing w:after="200" w:afterAutospacing="0"/>
        <w:jc w:val="left"/>
        <w:rPr>
          <w:rFonts w:cstheme="minorHAnsi"/>
          <w:bCs/>
        </w:rPr>
      </w:pPr>
      <w:r>
        <w:t>příspěvkové organizace</w:t>
      </w:r>
      <w:r w:rsidR="000D0BE8">
        <w:rPr>
          <w:rFonts w:cstheme="minorHAnsi"/>
          <w:bCs/>
        </w:rPr>
        <w:t>,</w:t>
      </w:r>
    </w:p>
    <w:p w:rsidR="00572484" w:rsidRDefault="00572484" w:rsidP="00495FC1">
      <w:pPr>
        <w:pStyle w:val="Odstavecseseznamem"/>
        <w:numPr>
          <w:ilvl w:val="0"/>
          <w:numId w:val="107"/>
        </w:numPr>
        <w:spacing w:after="200" w:afterAutospacing="0"/>
        <w:jc w:val="left"/>
      </w:pPr>
      <w:r>
        <w:t>veřejné výzkumné instituce</w:t>
      </w:r>
      <w:r w:rsidR="000D0BE8">
        <w:t>,</w:t>
      </w:r>
    </w:p>
    <w:p w:rsidR="00572484" w:rsidRPr="00DD45B0" w:rsidRDefault="00572484" w:rsidP="00495FC1">
      <w:pPr>
        <w:pStyle w:val="Odstavecseseznamem"/>
        <w:numPr>
          <w:ilvl w:val="0"/>
          <w:numId w:val="107"/>
        </w:numPr>
        <w:spacing w:after="200" w:afterAutospacing="0"/>
        <w:jc w:val="left"/>
        <w:rPr>
          <w:rFonts w:cstheme="minorHAnsi"/>
          <w:bCs/>
        </w:rPr>
      </w:pPr>
      <w:r>
        <w:t>vysoké školy</w:t>
      </w:r>
      <w:r w:rsidR="000D0BE8">
        <w:t>,</w:t>
      </w:r>
    </w:p>
    <w:p w:rsidR="00572484" w:rsidRPr="004C0C3B" w:rsidRDefault="00572484" w:rsidP="00495FC1">
      <w:pPr>
        <w:pStyle w:val="Odstavecseseznamem"/>
        <w:numPr>
          <w:ilvl w:val="0"/>
          <w:numId w:val="107"/>
        </w:numPr>
        <w:spacing w:after="200" w:afterAutospacing="0"/>
        <w:jc w:val="left"/>
        <w:rPr>
          <w:rFonts w:cstheme="minorHAnsi"/>
          <w:bCs/>
        </w:rPr>
      </w:pPr>
      <w:r>
        <w:t>školské právnické osoby</w:t>
      </w:r>
      <w:r w:rsidR="000D0BE8">
        <w:t>,</w:t>
      </w:r>
    </w:p>
    <w:p w:rsidR="00572484" w:rsidRPr="00460BFA" w:rsidRDefault="00572484" w:rsidP="00495FC1">
      <w:pPr>
        <w:pStyle w:val="Odstavecseseznamem"/>
        <w:numPr>
          <w:ilvl w:val="0"/>
          <w:numId w:val="107"/>
        </w:numPr>
        <w:spacing w:after="200" w:afterAutospacing="0"/>
        <w:jc w:val="left"/>
        <w:rPr>
          <w:rFonts w:cstheme="minorHAnsi"/>
          <w:bCs/>
        </w:rPr>
      </w:pPr>
      <w:r>
        <w:t>spolky</w:t>
      </w:r>
      <w:r w:rsidR="000D0BE8">
        <w:t>,</w:t>
      </w:r>
    </w:p>
    <w:p w:rsidR="00572484" w:rsidRPr="00DD45B0" w:rsidRDefault="00572484" w:rsidP="00495FC1">
      <w:pPr>
        <w:pStyle w:val="Odstavecseseznamem"/>
        <w:numPr>
          <w:ilvl w:val="0"/>
          <w:numId w:val="107"/>
        </w:numPr>
        <w:spacing w:after="200" w:afterAutospacing="0"/>
        <w:jc w:val="left"/>
        <w:rPr>
          <w:rFonts w:cstheme="minorHAnsi"/>
          <w:bCs/>
        </w:rPr>
      </w:pPr>
      <w:r>
        <w:t>organizační složky státu</w:t>
      </w:r>
      <w:r w:rsidR="000D0BE8">
        <w:t>,</w:t>
      </w:r>
    </w:p>
    <w:p w:rsidR="00572484" w:rsidRPr="00460BFA" w:rsidRDefault="00572484" w:rsidP="00495FC1">
      <w:pPr>
        <w:pStyle w:val="Odstavecseseznamem"/>
        <w:numPr>
          <w:ilvl w:val="0"/>
          <w:numId w:val="107"/>
        </w:numPr>
        <w:spacing w:after="200" w:afterAutospacing="0"/>
        <w:jc w:val="left"/>
        <w:rPr>
          <w:rFonts w:cstheme="minorHAnsi"/>
          <w:bCs/>
        </w:rPr>
      </w:pPr>
      <w:r>
        <w:t>obecně prospěšné společnosti</w:t>
      </w:r>
      <w:r w:rsidR="000D0BE8">
        <w:t>,</w:t>
      </w:r>
    </w:p>
    <w:p w:rsidR="00572484" w:rsidRDefault="000D0BE8" w:rsidP="00495FC1">
      <w:pPr>
        <w:pStyle w:val="Odstavecseseznamem"/>
        <w:numPr>
          <w:ilvl w:val="0"/>
          <w:numId w:val="107"/>
        </w:numPr>
        <w:spacing w:after="200" w:afterAutospacing="0"/>
        <w:jc w:val="left"/>
      </w:pPr>
      <w:r>
        <w:lastRenderedPageBreak/>
        <w:t>obchodní společnosti</w:t>
      </w:r>
      <w:r w:rsidR="00572484">
        <w:t>.</w:t>
      </w:r>
    </w:p>
    <w:p w:rsidR="00572484" w:rsidRDefault="00572484" w:rsidP="006638F8">
      <w:pPr>
        <w:rPr>
          <w:rFonts w:eastAsia="Times New Roman" w:cs="Arial"/>
        </w:rPr>
      </w:pPr>
    </w:p>
    <w:p w:rsidR="006638F8" w:rsidRPr="00CA2D14" w:rsidRDefault="006638F8" w:rsidP="006638F8">
      <w:r w:rsidRPr="00CA2D14">
        <w:rPr>
          <w:rFonts w:eastAsia="Times New Roman" w:cs="Arial"/>
        </w:rPr>
        <w:t>Pozn.: Okruh příjemců bude dále podrobněji definován v navazující dokumentaci.</w:t>
      </w:r>
    </w:p>
    <w:p w:rsidR="00FB4B40" w:rsidRPr="00FF238E" w:rsidRDefault="00BE7616" w:rsidP="00B66FDE">
      <w:pPr>
        <w:rPr>
          <w:color w:val="000000"/>
        </w:rPr>
      </w:pPr>
      <w:r>
        <w:rPr>
          <w:color w:val="000000"/>
        </w:rPr>
        <w:t xml:space="preserve">Cílové území: </w:t>
      </w:r>
      <w:r w:rsidR="00FB4B40" w:rsidRPr="004314F4">
        <w:rPr>
          <w:color w:val="000000"/>
        </w:rPr>
        <w:t>celá Česká republika.</w:t>
      </w:r>
    </w:p>
    <w:p w:rsidR="00674BC9" w:rsidRPr="00F625C4" w:rsidRDefault="005079A8" w:rsidP="00F625C4">
      <w:pPr>
        <w:pStyle w:val="Nadpis5"/>
      </w:pPr>
      <w:bookmarkStart w:id="2872" w:name="_Toc392151058"/>
      <w:r>
        <w:t>Hlavní zásady</w:t>
      </w:r>
      <w:r w:rsidR="003051E0" w:rsidRPr="004314F4">
        <w:t xml:space="preserve"> pro výběr operací</w:t>
      </w:r>
      <w:bookmarkEnd w:id="2872"/>
    </w:p>
    <w:p w:rsidR="00280760" w:rsidRDefault="00280760" w:rsidP="00280760">
      <w:pPr>
        <w:rPr>
          <w:b/>
          <w:i/>
          <w:color w:val="76923C" w:themeColor="accent3" w:themeShade="BF"/>
          <w:sz w:val="24"/>
          <w:szCs w:val="24"/>
        </w:rPr>
      </w:pPr>
      <w:r w:rsidRPr="00712789">
        <w:rPr>
          <w:rFonts w:cs="Times New Roman"/>
        </w:rPr>
        <w:t xml:space="preserve">Výběr projektů bude probíhat v souladu se závazným metodickým pokynem MMR pro řízení výzev, hodnocení a výběr projektů v programovém období 2014-2020. </w:t>
      </w:r>
    </w:p>
    <w:p w:rsidR="00280760" w:rsidRDefault="00280760" w:rsidP="00280760">
      <w:pPr>
        <w:rPr>
          <w:b/>
          <w:i/>
          <w:color w:val="76923C" w:themeColor="accent3" w:themeShade="BF"/>
          <w:sz w:val="24"/>
          <w:szCs w:val="24"/>
        </w:rPr>
      </w:pPr>
      <w:r w:rsidRPr="00712789">
        <w:rPr>
          <w:rFonts w:cs="Times New Roman"/>
        </w:rPr>
        <w:t>Projekty budou hodnoceny a vybírány odbornými hodnotiteli podle kritérií pro výběr projektů, která schválí Monitorovací výbor OPŽP.</w:t>
      </w:r>
    </w:p>
    <w:p w:rsidR="00280760" w:rsidRDefault="00280760" w:rsidP="00280760">
      <w:pPr>
        <w:rPr>
          <w:b/>
          <w:i/>
          <w:color w:val="76923C" w:themeColor="accent3" w:themeShade="BF"/>
          <w:sz w:val="24"/>
          <w:szCs w:val="24"/>
        </w:rPr>
      </w:pPr>
      <w:r w:rsidRPr="00712789">
        <w:rPr>
          <w:rFonts w:cs="Times New Roman"/>
        </w:rPr>
        <w:t>Při hodnocení a výběru projektů budou posuzována zejména kritéria ekolog</w:t>
      </w:r>
      <w:r w:rsidR="00CF7592">
        <w:rPr>
          <w:rFonts w:cs="Times New Roman"/>
        </w:rPr>
        <w:t>ická, technická a ekonomická. Vždy</w:t>
      </w:r>
      <w:r w:rsidRPr="00712789">
        <w:rPr>
          <w:rFonts w:cs="Times New Roman"/>
        </w:rPr>
        <w:t xml:space="preserve"> bude posuzován soulad s příslušnými s</w:t>
      </w:r>
      <w:r w:rsidR="00A81F72">
        <w:rPr>
          <w:rFonts w:cs="Times New Roman"/>
        </w:rPr>
        <w:t>trategiemi na </w:t>
      </w:r>
      <w:r w:rsidR="000D4BCA">
        <w:rPr>
          <w:rFonts w:cs="Times New Roman"/>
        </w:rPr>
        <w:t>evropské, národní a </w:t>
      </w:r>
      <w:r w:rsidRPr="00712789">
        <w:rPr>
          <w:rFonts w:cs="Times New Roman"/>
        </w:rPr>
        <w:t>regionální úrovni.</w:t>
      </w:r>
    </w:p>
    <w:p w:rsidR="00280760" w:rsidRDefault="00280760" w:rsidP="00280760">
      <w:pPr>
        <w:rPr>
          <w:rFonts w:cs="Times New Roman"/>
        </w:rPr>
      </w:pPr>
      <w:r w:rsidRPr="00712789">
        <w:rPr>
          <w:rFonts w:cs="Times New Roman"/>
        </w:rPr>
        <w:t>Při hodnocení a výběru projektů bude posuzována rovněž problematika horizontálních témat (rovné příležitosti a nediskriminace, rovnost žen a mužů a udržitelný rozvoj). Projekt, u kterého bude identifikován negativní dopad na uvedená horizontální témata, nebude moci být podpořen z prostředků OPŽP.</w:t>
      </w:r>
    </w:p>
    <w:p w:rsidR="003D06D8" w:rsidRPr="003D06D8" w:rsidRDefault="003D06D8" w:rsidP="003D06D8">
      <w:r w:rsidRPr="00712789">
        <w:t xml:space="preserve">Při </w:t>
      </w:r>
      <w:r>
        <w:t xml:space="preserve">hodnocení a výběru projektů budou upřednostňovány projekty přispívající kromě energetických úspor zároveň ke zvýšení využití obnovitelných zdrojů energie. </w:t>
      </w:r>
    </w:p>
    <w:p w:rsidR="00280760" w:rsidRPr="00712789" w:rsidRDefault="00280760" w:rsidP="00280760">
      <w:r w:rsidRPr="00712789">
        <w:rPr>
          <w:rFonts w:cs="Times New Roman"/>
        </w:rPr>
        <w:t>Podrobné informace o kritériích pro výběr projektů k podpoře budou uvedeny v návazné řídící dokumentaci.</w:t>
      </w:r>
    </w:p>
    <w:p w:rsidR="003051E0" w:rsidRDefault="003051E0" w:rsidP="00165854">
      <w:pPr>
        <w:pStyle w:val="Nadpis5"/>
      </w:pPr>
      <w:bookmarkStart w:id="2873" w:name="_Toc391014968"/>
      <w:bookmarkStart w:id="2874" w:name="_Toc391016119"/>
      <w:bookmarkStart w:id="2875" w:name="_Toc391017059"/>
      <w:bookmarkStart w:id="2876" w:name="_Toc391018172"/>
      <w:bookmarkStart w:id="2877" w:name="_Toc391019284"/>
      <w:bookmarkStart w:id="2878" w:name="_Toc391014969"/>
      <w:bookmarkStart w:id="2879" w:name="_Toc391016120"/>
      <w:bookmarkStart w:id="2880" w:name="_Toc391017060"/>
      <w:bookmarkStart w:id="2881" w:name="_Toc391018173"/>
      <w:bookmarkStart w:id="2882" w:name="_Toc391019285"/>
      <w:bookmarkStart w:id="2883" w:name="_Toc391014970"/>
      <w:bookmarkStart w:id="2884" w:name="_Toc391016121"/>
      <w:bookmarkStart w:id="2885" w:name="_Toc391017061"/>
      <w:bookmarkStart w:id="2886" w:name="_Toc391018174"/>
      <w:bookmarkStart w:id="2887" w:name="_Toc391019286"/>
      <w:bookmarkStart w:id="2888" w:name="_Toc391014971"/>
      <w:bookmarkStart w:id="2889" w:name="_Toc391016122"/>
      <w:bookmarkStart w:id="2890" w:name="_Toc391017062"/>
      <w:bookmarkStart w:id="2891" w:name="_Toc391018175"/>
      <w:bookmarkStart w:id="2892" w:name="_Toc391019287"/>
      <w:bookmarkStart w:id="2893" w:name="_Toc391014972"/>
      <w:bookmarkStart w:id="2894" w:name="_Toc391016123"/>
      <w:bookmarkStart w:id="2895" w:name="_Toc391017063"/>
      <w:bookmarkStart w:id="2896" w:name="_Toc391018176"/>
      <w:bookmarkStart w:id="2897" w:name="_Toc391019288"/>
      <w:bookmarkStart w:id="2898" w:name="_Toc391014973"/>
      <w:bookmarkStart w:id="2899" w:name="_Toc391016124"/>
      <w:bookmarkStart w:id="2900" w:name="_Toc391017064"/>
      <w:bookmarkStart w:id="2901" w:name="_Toc391018177"/>
      <w:bookmarkStart w:id="2902" w:name="_Toc391019289"/>
      <w:bookmarkStart w:id="2903" w:name="_Toc391014974"/>
      <w:bookmarkStart w:id="2904" w:name="_Toc391016125"/>
      <w:bookmarkStart w:id="2905" w:name="_Toc391017065"/>
      <w:bookmarkStart w:id="2906" w:name="_Toc391018178"/>
      <w:bookmarkStart w:id="2907" w:name="_Toc391019290"/>
      <w:bookmarkStart w:id="2908" w:name="_Toc391014976"/>
      <w:bookmarkStart w:id="2909" w:name="_Toc391016127"/>
      <w:bookmarkStart w:id="2910" w:name="_Toc391017067"/>
      <w:bookmarkStart w:id="2911" w:name="_Toc391018180"/>
      <w:bookmarkStart w:id="2912" w:name="_Toc391019292"/>
      <w:bookmarkStart w:id="2913" w:name="_Toc391014977"/>
      <w:bookmarkStart w:id="2914" w:name="_Toc391016128"/>
      <w:bookmarkStart w:id="2915" w:name="_Toc391017068"/>
      <w:bookmarkStart w:id="2916" w:name="_Toc391018181"/>
      <w:bookmarkStart w:id="2917" w:name="_Toc391019293"/>
      <w:bookmarkStart w:id="2918" w:name="_Toc391014978"/>
      <w:bookmarkStart w:id="2919" w:name="_Toc391016129"/>
      <w:bookmarkStart w:id="2920" w:name="_Toc391017069"/>
      <w:bookmarkStart w:id="2921" w:name="_Toc391018182"/>
      <w:bookmarkStart w:id="2922" w:name="_Toc391019294"/>
      <w:bookmarkStart w:id="2923" w:name="_Toc392151059"/>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r w:rsidRPr="004314F4">
        <w:t>Plánované využití finančních nástrojů</w:t>
      </w:r>
      <w:bookmarkEnd w:id="2923"/>
    </w:p>
    <w:p w:rsidR="00664CD8" w:rsidRPr="004314F4" w:rsidRDefault="00664CD8" w:rsidP="00B66FDE">
      <w:r w:rsidRPr="004314F4">
        <w:t xml:space="preserve"> </w:t>
      </w:r>
      <w:r w:rsidR="00562FAB" w:rsidRPr="00562FAB">
        <w:t xml:space="preserve"> </w:t>
      </w:r>
      <w:r w:rsidR="00334721" w:rsidRPr="00FA4533">
        <w:rPr>
          <w:rFonts w:cs="Helv"/>
          <w:color w:val="000000"/>
        </w:rPr>
        <w:t>V rámci této prioritní osy se s využitím finančního nástroje uvažuje a bude blíže specifikováno na základě výsledků ex-ante hodnocení</w:t>
      </w:r>
      <w:r w:rsidR="00334721">
        <w:t xml:space="preserve">. </w:t>
      </w:r>
    </w:p>
    <w:p w:rsidR="003051E0" w:rsidRDefault="005079A8" w:rsidP="00165854">
      <w:pPr>
        <w:pStyle w:val="Nadpis5"/>
      </w:pPr>
      <w:bookmarkStart w:id="2924" w:name="_Toc392151060"/>
      <w:r>
        <w:t xml:space="preserve">Plánované využití </w:t>
      </w:r>
      <w:r w:rsidR="003051E0" w:rsidRPr="004314F4">
        <w:t>velkých projektů</w:t>
      </w:r>
      <w:bookmarkEnd w:id="2924"/>
    </w:p>
    <w:p w:rsidR="003D3A8F" w:rsidRDefault="00664CD8" w:rsidP="00B66FDE">
      <w:r w:rsidRPr="004314F4">
        <w:t>V Prioritní ose 5 Energetické úspory se nepředpokládá financ</w:t>
      </w:r>
      <w:r w:rsidR="00720C49">
        <w:t>ování žádného velkého projektu.</w:t>
      </w:r>
    </w:p>
    <w:p w:rsidR="00F625C4" w:rsidRDefault="00F625C4" w:rsidP="00B66FDE"/>
    <w:p w:rsidR="00F625C4" w:rsidRPr="004314F4" w:rsidRDefault="00F625C4" w:rsidP="00B66FDE"/>
    <w:p w:rsidR="003051E0" w:rsidRPr="004314F4" w:rsidRDefault="005079A8" w:rsidP="00165854">
      <w:pPr>
        <w:pStyle w:val="Nadpis5"/>
      </w:pPr>
      <w:bookmarkStart w:id="2925" w:name="_Toc392151061"/>
      <w:r>
        <w:lastRenderedPageBreak/>
        <w:t xml:space="preserve">Ukazatele </w:t>
      </w:r>
      <w:r w:rsidR="003051E0" w:rsidRPr="004314F4">
        <w:t>výstupů</w:t>
      </w:r>
      <w:r>
        <w:t xml:space="preserve"> podle investiční priority a případně podle kategorie regionů</w:t>
      </w:r>
      <w:bookmarkEnd w:id="2925"/>
    </w:p>
    <w:p w:rsidR="003051E0" w:rsidRDefault="00DF1464" w:rsidP="00165854">
      <w:pPr>
        <w:pStyle w:val="Titulek"/>
      </w:pPr>
      <w:bookmarkStart w:id="2926" w:name="_Toc384907498"/>
      <w:r w:rsidRPr="004314F4">
        <w:t>Společné a specifické</w:t>
      </w:r>
      <w:r w:rsidR="00D20CFF">
        <w:t xml:space="preserve"> programové</w:t>
      </w:r>
      <w:r w:rsidRPr="004314F4">
        <w:t xml:space="preserve"> </w:t>
      </w:r>
      <w:r w:rsidR="00F625C4">
        <w:t>ukazatele</w:t>
      </w:r>
      <w:r w:rsidRPr="004314F4">
        <w:t xml:space="preserve"> výstup</w:t>
      </w:r>
      <w:r w:rsidR="005079A8">
        <w:t>ů</w:t>
      </w:r>
      <w:r w:rsidRPr="004314F4">
        <w:t xml:space="preserve"> PO5</w:t>
      </w:r>
      <w:bookmarkEnd w:id="2926"/>
    </w:p>
    <w:tbl>
      <w:tblPr>
        <w:tblStyle w:val="Mkatabulky"/>
        <w:tblW w:w="9180" w:type="dxa"/>
        <w:tblLayout w:type="fixed"/>
        <w:tblLook w:val="04A0" w:firstRow="1" w:lastRow="0" w:firstColumn="1" w:lastColumn="0" w:noHBand="0" w:noVBand="1"/>
      </w:tblPr>
      <w:tblGrid>
        <w:gridCol w:w="675"/>
        <w:gridCol w:w="1418"/>
        <w:gridCol w:w="850"/>
        <w:gridCol w:w="993"/>
        <w:gridCol w:w="1417"/>
        <w:gridCol w:w="1276"/>
        <w:gridCol w:w="1276"/>
        <w:gridCol w:w="1275"/>
      </w:tblGrid>
      <w:tr w:rsidR="00B75470" w:rsidRPr="00B13ECF" w:rsidTr="00DB2F84">
        <w:tc>
          <w:tcPr>
            <w:tcW w:w="675" w:type="dxa"/>
            <w:tcBorders>
              <w:bottom w:val="single" w:sz="12" w:space="0" w:color="auto"/>
            </w:tcBorders>
            <w:shd w:val="clear" w:color="auto" w:fill="BFBFBF" w:themeFill="background1" w:themeFillShade="BF"/>
          </w:tcPr>
          <w:p w:rsidR="00B75470" w:rsidRPr="003A2CB2" w:rsidRDefault="00B75470" w:rsidP="00B66FDE">
            <w:pPr>
              <w:rPr>
                <w:b/>
                <w:sz w:val="20"/>
                <w:szCs w:val="20"/>
              </w:rPr>
            </w:pPr>
            <w:r w:rsidRPr="003A2CB2">
              <w:rPr>
                <w:b/>
                <w:sz w:val="20"/>
                <w:szCs w:val="20"/>
              </w:rPr>
              <w:t xml:space="preserve">ID </w:t>
            </w:r>
          </w:p>
        </w:tc>
        <w:tc>
          <w:tcPr>
            <w:tcW w:w="1418" w:type="dxa"/>
            <w:tcBorders>
              <w:bottom w:val="single" w:sz="12" w:space="0" w:color="auto"/>
            </w:tcBorders>
            <w:shd w:val="clear" w:color="auto" w:fill="BFBFBF" w:themeFill="background1" w:themeFillShade="BF"/>
          </w:tcPr>
          <w:p w:rsidR="00B75470" w:rsidRPr="003A2CB2" w:rsidRDefault="0033290F" w:rsidP="00B66FDE">
            <w:pPr>
              <w:spacing w:line="276" w:lineRule="auto"/>
              <w:rPr>
                <w:b/>
                <w:sz w:val="20"/>
                <w:szCs w:val="20"/>
              </w:rPr>
            </w:pPr>
            <w:r w:rsidRPr="0033290F">
              <w:rPr>
                <w:b/>
                <w:sz w:val="20"/>
                <w:szCs w:val="20"/>
              </w:rPr>
              <w:t>Ukazatel</w:t>
            </w:r>
          </w:p>
        </w:tc>
        <w:tc>
          <w:tcPr>
            <w:tcW w:w="850" w:type="dxa"/>
            <w:tcBorders>
              <w:bottom w:val="single" w:sz="12" w:space="0" w:color="auto"/>
            </w:tcBorders>
            <w:shd w:val="clear" w:color="auto" w:fill="BFBFBF" w:themeFill="background1" w:themeFillShade="BF"/>
          </w:tcPr>
          <w:p w:rsidR="00B75470" w:rsidRPr="003A2CB2" w:rsidRDefault="0033290F" w:rsidP="00B66FDE">
            <w:pPr>
              <w:spacing w:line="276" w:lineRule="auto"/>
              <w:rPr>
                <w:b/>
                <w:sz w:val="20"/>
                <w:szCs w:val="20"/>
              </w:rPr>
            </w:pPr>
            <w:r w:rsidRPr="0033290F">
              <w:rPr>
                <w:b/>
                <w:sz w:val="20"/>
                <w:szCs w:val="20"/>
              </w:rPr>
              <w:t>Měrná jednotka</w:t>
            </w:r>
          </w:p>
        </w:tc>
        <w:tc>
          <w:tcPr>
            <w:tcW w:w="993" w:type="dxa"/>
            <w:tcBorders>
              <w:bottom w:val="single" w:sz="12" w:space="0" w:color="auto"/>
            </w:tcBorders>
            <w:shd w:val="clear" w:color="auto" w:fill="BFBFBF" w:themeFill="background1" w:themeFillShade="BF"/>
          </w:tcPr>
          <w:p w:rsidR="00B75470" w:rsidRPr="003A2CB2" w:rsidRDefault="0033290F" w:rsidP="00B66FDE">
            <w:pPr>
              <w:spacing w:line="276" w:lineRule="auto"/>
              <w:rPr>
                <w:b/>
                <w:sz w:val="20"/>
                <w:szCs w:val="20"/>
              </w:rPr>
            </w:pPr>
            <w:r w:rsidRPr="0033290F">
              <w:rPr>
                <w:b/>
                <w:sz w:val="20"/>
                <w:szCs w:val="20"/>
              </w:rPr>
              <w:t>Fond</w:t>
            </w:r>
          </w:p>
        </w:tc>
        <w:tc>
          <w:tcPr>
            <w:tcW w:w="1417" w:type="dxa"/>
            <w:tcBorders>
              <w:bottom w:val="single" w:sz="12" w:space="0" w:color="auto"/>
            </w:tcBorders>
            <w:shd w:val="clear" w:color="auto" w:fill="BFBFBF" w:themeFill="background1" w:themeFillShade="BF"/>
          </w:tcPr>
          <w:p w:rsidR="00B75470" w:rsidRPr="003A2CB2" w:rsidRDefault="0033290F" w:rsidP="00B66FDE">
            <w:pPr>
              <w:spacing w:line="276" w:lineRule="auto"/>
              <w:rPr>
                <w:b/>
                <w:sz w:val="20"/>
                <w:szCs w:val="20"/>
              </w:rPr>
            </w:pPr>
            <w:r w:rsidRPr="0033290F">
              <w:rPr>
                <w:b/>
                <w:sz w:val="20"/>
                <w:szCs w:val="20"/>
              </w:rPr>
              <w:t>Kategorie regionů</w:t>
            </w:r>
          </w:p>
        </w:tc>
        <w:tc>
          <w:tcPr>
            <w:tcW w:w="1276" w:type="dxa"/>
            <w:tcBorders>
              <w:bottom w:val="single" w:sz="12" w:space="0" w:color="auto"/>
            </w:tcBorders>
            <w:shd w:val="clear" w:color="auto" w:fill="BFBFBF" w:themeFill="background1" w:themeFillShade="BF"/>
          </w:tcPr>
          <w:p w:rsidR="00B75470" w:rsidRPr="003A2CB2" w:rsidRDefault="0033290F" w:rsidP="00B66FDE">
            <w:pPr>
              <w:spacing w:line="276" w:lineRule="auto"/>
              <w:rPr>
                <w:b/>
                <w:sz w:val="20"/>
                <w:szCs w:val="20"/>
              </w:rPr>
            </w:pPr>
            <w:r w:rsidRPr="0033290F">
              <w:rPr>
                <w:b/>
                <w:sz w:val="20"/>
                <w:szCs w:val="20"/>
              </w:rPr>
              <w:t>Cílová hodnota (2023)</w:t>
            </w:r>
          </w:p>
        </w:tc>
        <w:tc>
          <w:tcPr>
            <w:tcW w:w="1276" w:type="dxa"/>
            <w:tcBorders>
              <w:bottom w:val="single" w:sz="12" w:space="0" w:color="auto"/>
            </w:tcBorders>
            <w:shd w:val="clear" w:color="auto" w:fill="BFBFBF" w:themeFill="background1" w:themeFillShade="BF"/>
          </w:tcPr>
          <w:p w:rsidR="00B75470" w:rsidRPr="003A2CB2" w:rsidRDefault="0033290F" w:rsidP="00B66FDE">
            <w:pPr>
              <w:spacing w:line="276" w:lineRule="auto"/>
              <w:rPr>
                <w:b/>
                <w:sz w:val="20"/>
                <w:szCs w:val="20"/>
              </w:rPr>
            </w:pPr>
            <w:r w:rsidRPr="0033290F">
              <w:rPr>
                <w:b/>
                <w:sz w:val="20"/>
                <w:szCs w:val="20"/>
              </w:rPr>
              <w:t>Zdroj údajů</w:t>
            </w:r>
          </w:p>
        </w:tc>
        <w:tc>
          <w:tcPr>
            <w:tcW w:w="1275" w:type="dxa"/>
            <w:tcBorders>
              <w:bottom w:val="single" w:sz="12" w:space="0" w:color="auto"/>
            </w:tcBorders>
            <w:shd w:val="clear" w:color="auto" w:fill="BFBFBF" w:themeFill="background1" w:themeFillShade="BF"/>
          </w:tcPr>
          <w:p w:rsidR="00B75470" w:rsidRPr="003A2CB2" w:rsidRDefault="0033290F" w:rsidP="00B66FDE">
            <w:pPr>
              <w:spacing w:line="276" w:lineRule="auto"/>
              <w:rPr>
                <w:b/>
                <w:sz w:val="20"/>
                <w:szCs w:val="20"/>
              </w:rPr>
            </w:pPr>
            <w:r w:rsidRPr="0033290F">
              <w:rPr>
                <w:b/>
                <w:sz w:val="20"/>
                <w:szCs w:val="20"/>
              </w:rPr>
              <w:t>Četnost podávání zpráv</w:t>
            </w:r>
          </w:p>
        </w:tc>
      </w:tr>
      <w:tr w:rsidR="00B75470" w:rsidRPr="00B13ECF" w:rsidTr="00DB2F84">
        <w:tc>
          <w:tcPr>
            <w:tcW w:w="675" w:type="dxa"/>
          </w:tcPr>
          <w:p w:rsidR="00B75470" w:rsidRPr="003A2CB2" w:rsidRDefault="0077324E" w:rsidP="00B66FDE">
            <w:pPr>
              <w:rPr>
                <w:sz w:val="20"/>
                <w:szCs w:val="20"/>
              </w:rPr>
            </w:pPr>
            <w:r>
              <w:rPr>
                <w:sz w:val="20"/>
                <w:szCs w:val="20"/>
              </w:rPr>
              <w:t>360</w:t>
            </w:r>
            <w:r w:rsidRPr="0077324E">
              <w:rPr>
                <w:sz w:val="20"/>
                <w:szCs w:val="20"/>
              </w:rPr>
              <w:t>10</w:t>
            </w:r>
          </w:p>
        </w:tc>
        <w:tc>
          <w:tcPr>
            <w:tcW w:w="1418" w:type="dxa"/>
          </w:tcPr>
          <w:p w:rsidR="00B75470" w:rsidRPr="003A2CB2" w:rsidRDefault="0033290F" w:rsidP="00B66FDE">
            <w:pPr>
              <w:spacing w:line="276" w:lineRule="auto"/>
              <w:rPr>
                <w:sz w:val="20"/>
                <w:szCs w:val="20"/>
              </w:rPr>
            </w:pPr>
            <w:r w:rsidRPr="0033290F">
              <w:rPr>
                <w:sz w:val="20"/>
                <w:szCs w:val="20"/>
              </w:rPr>
              <w:t>Odhadované roční snížení emisí skleníkových plynů</w:t>
            </w:r>
          </w:p>
        </w:tc>
        <w:tc>
          <w:tcPr>
            <w:tcW w:w="850" w:type="dxa"/>
          </w:tcPr>
          <w:p w:rsidR="00B75470" w:rsidRPr="003A2CB2" w:rsidRDefault="00B75470" w:rsidP="00B66FDE">
            <w:pPr>
              <w:rPr>
                <w:sz w:val="20"/>
                <w:szCs w:val="20"/>
                <w:lang w:val="en-US"/>
              </w:rPr>
            </w:pPr>
            <w:r w:rsidRPr="003A2CB2">
              <w:rPr>
                <w:rFonts w:cs="Arial"/>
                <w:sz w:val="20"/>
                <w:szCs w:val="20"/>
              </w:rPr>
              <w:t>t CO</w:t>
            </w:r>
            <w:r w:rsidRPr="003A2CB2">
              <w:rPr>
                <w:rFonts w:cs="Arial"/>
                <w:sz w:val="20"/>
                <w:szCs w:val="20"/>
                <w:vertAlign w:val="subscript"/>
              </w:rPr>
              <w:t>2</w:t>
            </w:r>
            <w:r w:rsidRPr="003A2CB2">
              <w:rPr>
                <w:rFonts w:cs="Arial"/>
                <w:sz w:val="20"/>
                <w:szCs w:val="20"/>
              </w:rPr>
              <w:t>ekv./rok</w:t>
            </w:r>
          </w:p>
        </w:tc>
        <w:tc>
          <w:tcPr>
            <w:tcW w:w="993" w:type="dxa"/>
          </w:tcPr>
          <w:p w:rsidR="00B75470" w:rsidRPr="003A2CB2" w:rsidRDefault="00CC2022" w:rsidP="00B66FDE">
            <w:pPr>
              <w:spacing w:line="276" w:lineRule="auto"/>
              <w:rPr>
                <w:sz w:val="20"/>
                <w:szCs w:val="20"/>
              </w:rPr>
            </w:pPr>
            <w:r>
              <w:rPr>
                <w:sz w:val="20"/>
                <w:szCs w:val="20"/>
              </w:rPr>
              <w:t>FS</w:t>
            </w:r>
          </w:p>
        </w:tc>
        <w:tc>
          <w:tcPr>
            <w:tcW w:w="1417" w:type="dxa"/>
          </w:tcPr>
          <w:p w:rsidR="00B75470" w:rsidRPr="003A2CB2" w:rsidRDefault="00CC2022" w:rsidP="00B66FDE">
            <w:pPr>
              <w:spacing w:line="276" w:lineRule="auto"/>
              <w:rPr>
                <w:sz w:val="20"/>
                <w:szCs w:val="20"/>
              </w:rPr>
            </w:pPr>
            <w:r>
              <w:rPr>
                <w:sz w:val="20"/>
                <w:szCs w:val="20"/>
              </w:rPr>
              <w:t>Není relevantní</w:t>
            </w:r>
          </w:p>
        </w:tc>
        <w:tc>
          <w:tcPr>
            <w:tcW w:w="1276" w:type="dxa"/>
          </w:tcPr>
          <w:p w:rsidR="00B75470" w:rsidRPr="003A2CB2" w:rsidRDefault="00CC2022" w:rsidP="00B66FDE">
            <w:pPr>
              <w:spacing w:line="276" w:lineRule="auto"/>
              <w:rPr>
                <w:sz w:val="20"/>
                <w:szCs w:val="20"/>
              </w:rPr>
            </w:pPr>
            <w:r>
              <w:rPr>
                <w:sz w:val="20"/>
                <w:szCs w:val="20"/>
              </w:rPr>
              <w:t>300 000</w:t>
            </w:r>
          </w:p>
        </w:tc>
        <w:tc>
          <w:tcPr>
            <w:tcW w:w="1276" w:type="dxa"/>
          </w:tcPr>
          <w:p w:rsidR="00B75470" w:rsidRPr="003A2CB2" w:rsidDel="00664CD8" w:rsidRDefault="0033290F" w:rsidP="00B66FDE">
            <w:pPr>
              <w:spacing w:line="276" w:lineRule="auto"/>
              <w:rPr>
                <w:bCs/>
                <w:sz w:val="20"/>
                <w:szCs w:val="20"/>
              </w:rPr>
            </w:pPr>
            <w:r w:rsidRPr="0033290F">
              <w:rPr>
                <w:bCs/>
                <w:sz w:val="20"/>
                <w:szCs w:val="20"/>
              </w:rPr>
              <w:t>Žadatel/příjemce</w:t>
            </w:r>
          </w:p>
        </w:tc>
        <w:tc>
          <w:tcPr>
            <w:tcW w:w="1275" w:type="dxa"/>
          </w:tcPr>
          <w:p w:rsidR="00B75470" w:rsidRPr="003A2CB2" w:rsidRDefault="0033290F" w:rsidP="00B66FDE">
            <w:pPr>
              <w:spacing w:line="276" w:lineRule="auto"/>
              <w:rPr>
                <w:bCs/>
                <w:sz w:val="20"/>
                <w:szCs w:val="20"/>
              </w:rPr>
            </w:pPr>
            <w:r w:rsidRPr="0033290F">
              <w:rPr>
                <w:bCs/>
                <w:sz w:val="20"/>
                <w:szCs w:val="20"/>
              </w:rPr>
              <w:t>Průběžně</w:t>
            </w:r>
          </w:p>
        </w:tc>
      </w:tr>
      <w:tr w:rsidR="00B75470" w:rsidRPr="00B13ECF" w:rsidTr="00DB2F84">
        <w:tc>
          <w:tcPr>
            <w:tcW w:w="675" w:type="dxa"/>
          </w:tcPr>
          <w:p w:rsidR="00712AC9" w:rsidRPr="003A2CB2" w:rsidRDefault="0077324E" w:rsidP="00B66FDE">
            <w:pPr>
              <w:rPr>
                <w:sz w:val="20"/>
                <w:szCs w:val="20"/>
              </w:rPr>
            </w:pPr>
            <w:r>
              <w:rPr>
                <w:sz w:val="20"/>
                <w:szCs w:val="20"/>
              </w:rPr>
              <w:t>346</w:t>
            </w:r>
            <w:r w:rsidRPr="0077324E">
              <w:rPr>
                <w:sz w:val="20"/>
                <w:szCs w:val="20"/>
              </w:rPr>
              <w:t>00</w:t>
            </w:r>
            <w:r w:rsidRPr="0077324E" w:rsidDel="0077324E">
              <w:rPr>
                <w:sz w:val="20"/>
                <w:szCs w:val="20"/>
              </w:rPr>
              <w:t xml:space="preserve"> </w:t>
            </w:r>
          </w:p>
        </w:tc>
        <w:tc>
          <w:tcPr>
            <w:tcW w:w="1418" w:type="dxa"/>
          </w:tcPr>
          <w:p w:rsidR="00B75470" w:rsidRPr="003A2CB2" w:rsidDel="00664CD8" w:rsidRDefault="0033290F" w:rsidP="00B66FDE">
            <w:pPr>
              <w:spacing w:line="276" w:lineRule="auto"/>
              <w:rPr>
                <w:bCs/>
                <w:sz w:val="20"/>
                <w:szCs w:val="20"/>
              </w:rPr>
            </w:pPr>
            <w:r w:rsidRPr="0033290F">
              <w:rPr>
                <w:sz w:val="20"/>
                <w:szCs w:val="20"/>
              </w:rPr>
              <w:t>Nová kapacita zařízení pro výrobu energie z obnovitelných zdrojů</w:t>
            </w:r>
          </w:p>
        </w:tc>
        <w:tc>
          <w:tcPr>
            <w:tcW w:w="850" w:type="dxa"/>
          </w:tcPr>
          <w:p w:rsidR="00B75470" w:rsidRPr="003A2CB2" w:rsidDel="00664CD8" w:rsidRDefault="00B75470" w:rsidP="00B66FDE">
            <w:pPr>
              <w:rPr>
                <w:rFonts w:cs="Calibri"/>
                <w:color w:val="000000"/>
                <w:sz w:val="20"/>
                <w:szCs w:val="20"/>
              </w:rPr>
            </w:pPr>
            <w:r w:rsidRPr="003A2CB2">
              <w:rPr>
                <w:sz w:val="20"/>
                <w:szCs w:val="20"/>
              </w:rPr>
              <w:t>MW</w:t>
            </w:r>
          </w:p>
        </w:tc>
        <w:tc>
          <w:tcPr>
            <w:tcW w:w="993" w:type="dxa"/>
          </w:tcPr>
          <w:p w:rsidR="00B75470" w:rsidRPr="003A2CB2" w:rsidRDefault="00B75470" w:rsidP="00B66FDE">
            <w:pPr>
              <w:rPr>
                <w:sz w:val="20"/>
                <w:szCs w:val="20"/>
              </w:rPr>
            </w:pPr>
            <w:r w:rsidRPr="003A2CB2">
              <w:rPr>
                <w:sz w:val="20"/>
                <w:szCs w:val="20"/>
              </w:rPr>
              <w:t>FS</w:t>
            </w:r>
          </w:p>
        </w:tc>
        <w:tc>
          <w:tcPr>
            <w:tcW w:w="1417" w:type="dxa"/>
          </w:tcPr>
          <w:p w:rsidR="00B75470" w:rsidRPr="003A2CB2" w:rsidRDefault="00CC2022" w:rsidP="00B66FDE">
            <w:pPr>
              <w:spacing w:line="276" w:lineRule="auto"/>
              <w:rPr>
                <w:sz w:val="20"/>
                <w:szCs w:val="20"/>
              </w:rPr>
            </w:pPr>
            <w:r>
              <w:rPr>
                <w:sz w:val="20"/>
                <w:szCs w:val="20"/>
              </w:rPr>
              <w:t>Není relevantní</w:t>
            </w:r>
          </w:p>
        </w:tc>
        <w:tc>
          <w:tcPr>
            <w:tcW w:w="1276" w:type="dxa"/>
          </w:tcPr>
          <w:p w:rsidR="00B75470" w:rsidRPr="003A2CB2" w:rsidRDefault="00CC2022" w:rsidP="00B66FDE">
            <w:pPr>
              <w:spacing w:line="276" w:lineRule="auto"/>
              <w:rPr>
                <w:sz w:val="20"/>
                <w:szCs w:val="20"/>
              </w:rPr>
            </w:pPr>
            <w:r>
              <w:rPr>
                <w:sz w:val="20"/>
                <w:szCs w:val="20"/>
              </w:rPr>
              <w:t>30</w:t>
            </w:r>
          </w:p>
        </w:tc>
        <w:tc>
          <w:tcPr>
            <w:tcW w:w="1276" w:type="dxa"/>
          </w:tcPr>
          <w:p w:rsidR="00B75470" w:rsidRPr="003A2CB2" w:rsidDel="00664CD8" w:rsidRDefault="0033290F" w:rsidP="00B66FDE">
            <w:pPr>
              <w:spacing w:line="276" w:lineRule="auto"/>
              <w:rPr>
                <w:bCs/>
                <w:sz w:val="20"/>
                <w:szCs w:val="20"/>
              </w:rPr>
            </w:pPr>
            <w:r w:rsidRPr="0033290F">
              <w:rPr>
                <w:bCs/>
                <w:sz w:val="20"/>
                <w:szCs w:val="20"/>
              </w:rPr>
              <w:t>Žadatel/příjemce</w:t>
            </w:r>
          </w:p>
        </w:tc>
        <w:tc>
          <w:tcPr>
            <w:tcW w:w="1275" w:type="dxa"/>
          </w:tcPr>
          <w:p w:rsidR="00B75470" w:rsidRPr="003A2CB2" w:rsidRDefault="0033290F" w:rsidP="00B66FDE">
            <w:pPr>
              <w:spacing w:line="276" w:lineRule="auto"/>
              <w:rPr>
                <w:bCs/>
                <w:sz w:val="20"/>
                <w:szCs w:val="20"/>
              </w:rPr>
            </w:pPr>
            <w:r w:rsidRPr="0033290F">
              <w:rPr>
                <w:bCs/>
                <w:sz w:val="20"/>
                <w:szCs w:val="20"/>
              </w:rPr>
              <w:t>Průběžně</w:t>
            </w:r>
          </w:p>
        </w:tc>
      </w:tr>
    </w:tbl>
    <w:p w:rsidR="00CC47A0" w:rsidRDefault="003051E0" w:rsidP="00B66FDE">
      <w:pPr>
        <w:pStyle w:val="Nadpis4"/>
      </w:pPr>
      <w:bookmarkStart w:id="2927" w:name="_Toc392151062"/>
      <w:r w:rsidRPr="004314F4">
        <w:t>Výkon</w:t>
      </w:r>
      <w:r w:rsidR="0058323D" w:rsidRPr="004314F4">
        <w:t>n</w:t>
      </w:r>
      <w:r w:rsidRPr="004314F4">
        <w:t>ostní rámec</w:t>
      </w:r>
      <w:bookmarkEnd w:id="2927"/>
    </w:p>
    <w:p w:rsidR="002A442A" w:rsidRPr="004314F4" w:rsidRDefault="002A442A" w:rsidP="00165854">
      <w:pPr>
        <w:pStyle w:val="Titulek"/>
      </w:pPr>
      <w:bookmarkStart w:id="2928" w:name="_Toc384907500"/>
      <w:r w:rsidRPr="004314F4">
        <w:t>Výkon</w:t>
      </w:r>
      <w:r w:rsidR="00B31EAF" w:rsidRPr="004314F4">
        <w:t>n</w:t>
      </w:r>
      <w:r w:rsidRPr="004314F4">
        <w:t>ostní rámec PO</w:t>
      </w:r>
      <w:r w:rsidR="005079A8">
        <w:t xml:space="preserve"> </w:t>
      </w:r>
      <w:r w:rsidRPr="004314F4">
        <w:t>5</w:t>
      </w:r>
      <w:bookmarkEnd w:id="2928"/>
    </w:p>
    <w:tbl>
      <w:tblPr>
        <w:tblStyle w:val="Mkatabulky"/>
        <w:tblW w:w="9180" w:type="dxa"/>
        <w:tblLayout w:type="fixed"/>
        <w:tblLook w:val="04A0" w:firstRow="1" w:lastRow="0" w:firstColumn="1" w:lastColumn="0" w:noHBand="0" w:noVBand="1"/>
      </w:tblPr>
      <w:tblGrid>
        <w:gridCol w:w="817"/>
        <w:gridCol w:w="1276"/>
        <w:gridCol w:w="709"/>
        <w:gridCol w:w="1134"/>
        <w:gridCol w:w="850"/>
        <w:gridCol w:w="425"/>
        <w:gridCol w:w="709"/>
        <w:gridCol w:w="709"/>
        <w:gridCol w:w="850"/>
        <w:gridCol w:w="709"/>
        <w:gridCol w:w="992"/>
      </w:tblGrid>
      <w:tr w:rsidR="00DB2F84" w:rsidRPr="00CE574F" w:rsidTr="00DB2F84">
        <w:tc>
          <w:tcPr>
            <w:tcW w:w="817" w:type="dxa"/>
            <w:tcBorders>
              <w:bottom w:val="single" w:sz="12" w:space="0" w:color="auto"/>
            </w:tcBorders>
            <w:shd w:val="clear" w:color="auto" w:fill="BFBFBF" w:themeFill="background1" w:themeFillShade="BF"/>
          </w:tcPr>
          <w:p w:rsidR="005079A8" w:rsidRPr="003A2CB2" w:rsidRDefault="005079A8" w:rsidP="00B66FDE">
            <w:pPr>
              <w:spacing w:line="276" w:lineRule="auto"/>
              <w:rPr>
                <w:b/>
                <w:sz w:val="20"/>
                <w:szCs w:val="20"/>
              </w:rPr>
            </w:pPr>
            <w:r w:rsidRPr="003A2CB2">
              <w:rPr>
                <w:b/>
                <w:sz w:val="20"/>
                <w:szCs w:val="20"/>
              </w:rPr>
              <w:t>Prioritní osa</w:t>
            </w:r>
          </w:p>
        </w:tc>
        <w:tc>
          <w:tcPr>
            <w:tcW w:w="1276" w:type="dxa"/>
            <w:tcBorders>
              <w:bottom w:val="single" w:sz="12" w:space="0" w:color="auto"/>
            </w:tcBorders>
            <w:shd w:val="clear" w:color="auto" w:fill="BFBFBF" w:themeFill="background1" w:themeFillShade="BF"/>
          </w:tcPr>
          <w:p w:rsidR="005079A8" w:rsidRPr="005F0C81" w:rsidRDefault="00CC2022" w:rsidP="005079A8">
            <w:pPr>
              <w:spacing w:line="276" w:lineRule="auto"/>
              <w:rPr>
                <w:b/>
                <w:sz w:val="20"/>
                <w:szCs w:val="20"/>
              </w:rPr>
            </w:pPr>
            <w:r w:rsidRPr="005F0C81">
              <w:rPr>
                <w:b/>
                <w:sz w:val="20"/>
                <w:szCs w:val="20"/>
              </w:rPr>
              <w:t>Typ ukazatele (klíčový krok provádění, finanční výstup nebo popřípadě ukazatel výsledků)</w:t>
            </w:r>
          </w:p>
        </w:tc>
        <w:tc>
          <w:tcPr>
            <w:tcW w:w="709" w:type="dxa"/>
            <w:tcBorders>
              <w:bottom w:val="single" w:sz="12" w:space="0" w:color="auto"/>
            </w:tcBorders>
            <w:shd w:val="clear" w:color="auto" w:fill="BFBFBF" w:themeFill="background1" w:themeFillShade="BF"/>
          </w:tcPr>
          <w:p w:rsidR="005079A8" w:rsidRPr="005F0C81" w:rsidRDefault="00CC2022" w:rsidP="00B66FDE">
            <w:pPr>
              <w:spacing w:line="276" w:lineRule="auto"/>
              <w:rPr>
                <w:b/>
                <w:sz w:val="20"/>
                <w:szCs w:val="20"/>
              </w:rPr>
            </w:pPr>
            <w:r w:rsidRPr="005F0C81">
              <w:rPr>
                <w:b/>
                <w:sz w:val="20"/>
                <w:szCs w:val="20"/>
              </w:rPr>
              <w:t>ID</w:t>
            </w:r>
          </w:p>
        </w:tc>
        <w:tc>
          <w:tcPr>
            <w:tcW w:w="1134" w:type="dxa"/>
            <w:tcBorders>
              <w:bottom w:val="single" w:sz="12" w:space="0" w:color="auto"/>
            </w:tcBorders>
            <w:shd w:val="clear" w:color="auto" w:fill="BFBFBF" w:themeFill="background1" w:themeFillShade="BF"/>
          </w:tcPr>
          <w:p w:rsidR="005079A8" w:rsidRPr="005F0C81" w:rsidRDefault="00CC2022" w:rsidP="00B66FDE">
            <w:pPr>
              <w:spacing w:line="276" w:lineRule="auto"/>
              <w:rPr>
                <w:b/>
                <w:sz w:val="20"/>
                <w:szCs w:val="20"/>
              </w:rPr>
            </w:pPr>
            <w:r w:rsidRPr="005F0C81">
              <w:rPr>
                <w:b/>
                <w:sz w:val="20"/>
                <w:szCs w:val="20"/>
              </w:rPr>
              <w:t>Ukazatel nebo klíčový krok provádění</w:t>
            </w:r>
          </w:p>
        </w:tc>
        <w:tc>
          <w:tcPr>
            <w:tcW w:w="850" w:type="dxa"/>
            <w:tcBorders>
              <w:bottom w:val="single" w:sz="12" w:space="0" w:color="auto"/>
            </w:tcBorders>
            <w:shd w:val="clear" w:color="auto" w:fill="BFBFBF" w:themeFill="background1" w:themeFillShade="BF"/>
          </w:tcPr>
          <w:p w:rsidR="005079A8" w:rsidRPr="005F0C81" w:rsidRDefault="0033290F" w:rsidP="00B66FDE">
            <w:pPr>
              <w:spacing w:line="276" w:lineRule="auto"/>
              <w:rPr>
                <w:b/>
                <w:sz w:val="20"/>
                <w:szCs w:val="20"/>
              </w:rPr>
            </w:pPr>
            <w:r w:rsidRPr="0033290F">
              <w:rPr>
                <w:b/>
                <w:sz w:val="20"/>
                <w:szCs w:val="20"/>
              </w:rPr>
              <w:t>Měrná jednotka</w:t>
            </w:r>
          </w:p>
        </w:tc>
        <w:tc>
          <w:tcPr>
            <w:tcW w:w="425" w:type="dxa"/>
            <w:tcBorders>
              <w:bottom w:val="single" w:sz="12" w:space="0" w:color="auto"/>
            </w:tcBorders>
            <w:shd w:val="clear" w:color="auto" w:fill="BFBFBF" w:themeFill="background1" w:themeFillShade="BF"/>
          </w:tcPr>
          <w:p w:rsidR="005079A8" w:rsidRPr="002355B5" w:rsidRDefault="0033290F" w:rsidP="00B66FDE">
            <w:pPr>
              <w:spacing w:line="276" w:lineRule="auto"/>
              <w:rPr>
                <w:b/>
              </w:rPr>
            </w:pPr>
            <w:r w:rsidRPr="0033290F">
              <w:rPr>
                <w:b/>
              </w:rPr>
              <w:t>Fond</w:t>
            </w:r>
          </w:p>
        </w:tc>
        <w:tc>
          <w:tcPr>
            <w:tcW w:w="709" w:type="dxa"/>
            <w:tcBorders>
              <w:bottom w:val="single" w:sz="12" w:space="0" w:color="auto"/>
            </w:tcBorders>
            <w:shd w:val="clear" w:color="auto" w:fill="BFBFBF" w:themeFill="background1" w:themeFillShade="BF"/>
          </w:tcPr>
          <w:p w:rsidR="005079A8" w:rsidRPr="002355B5" w:rsidRDefault="0033290F" w:rsidP="00B66FDE">
            <w:pPr>
              <w:spacing w:line="276" w:lineRule="auto"/>
              <w:rPr>
                <w:b/>
              </w:rPr>
            </w:pPr>
            <w:r w:rsidRPr="0033290F">
              <w:rPr>
                <w:b/>
              </w:rPr>
              <w:t>Kategorie regionů</w:t>
            </w:r>
          </w:p>
        </w:tc>
        <w:tc>
          <w:tcPr>
            <w:tcW w:w="709" w:type="dxa"/>
            <w:tcBorders>
              <w:bottom w:val="single" w:sz="12" w:space="0" w:color="auto"/>
            </w:tcBorders>
            <w:shd w:val="clear" w:color="auto" w:fill="BFBFBF" w:themeFill="background1" w:themeFillShade="BF"/>
          </w:tcPr>
          <w:p w:rsidR="005079A8" w:rsidRPr="002355B5" w:rsidRDefault="0033290F" w:rsidP="00B66FDE">
            <w:pPr>
              <w:spacing w:line="276" w:lineRule="auto"/>
              <w:rPr>
                <w:b/>
              </w:rPr>
            </w:pPr>
            <w:r w:rsidRPr="0033290F">
              <w:rPr>
                <w:b/>
              </w:rPr>
              <w:t>Milník pro rok 2018</w:t>
            </w:r>
          </w:p>
        </w:tc>
        <w:tc>
          <w:tcPr>
            <w:tcW w:w="850" w:type="dxa"/>
            <w:tcBorders>
              <w:bottom w:val="single" w:sz="12" w:space="0" w:color="auto"/>
            </w:tcBorders>
            <w:shd w:val="clear" w:color="auto" w:fill="BFBFBF" w:themeFill="background1" w:themeFillShade="BF"/>
          </w:tcPr>
          <w:p w:rsidR="005079A8" w:rsidRPr="002355B5" w:rsidRDefault="0033290F" w:rsidP="00B66FDE">
            <w:pPr>
              <w:spacing w:line="276" w:lineRule="auto"/>
              <w:rPr>
                <w:b/>
              </w:rPr>
            </w:pPr>
            <w:r w:rsidRPr="0033290F">
              <w:rPr>
                <w:b/>
              </w:rPr>
              <w:t>Konečný cíl (2023)</w:t>
            </w:r>
          </w:p>
        </w:tc>
        <w:tc>
          <w:tcPr>
            <w:tcW w:w="709" w:type="dxa"/>
            <w:tcBorders>
              <w:bottom w:val="single" w:sz="12" w:space="0" w:color="auto"/>
            </w:tcBorders>
            <w:shd w:val="clear" w:color="auto" w:fill="BFBFBF" w:themeFill="background1" w:themeFillShade="BF"/>
          </w:tcPr>
          <w:p w:rsidR="005079A8" w:rsidRPr="002355B5" w:rsidRDefault="0033290F" w:rsidP="00B66FDE">
            <w:pPr>
              <w:spacing w:line="276" w:lineRule="auto"/>
              <w:rPr>
                <w:b/>
              </w:rPr>
            </w:pPr>
            <w:r w:rsidRPr="0033290F">
              <w:rPr>
                <w:b/>
              </w:rPr>
              <w:t>Zdroj údajů</w:t>
            </w:r>
          </w:p>
        </w:tc>
        <w:tc>
          <w:tcPr>
            <w:tcW w:w="992" w:type="dxa"/>
            <w:tcBorders>
              <w:bottom w:val="single" w:sz="12" w:space="0" w:color="auto"/>
            </w:tcBorders>
            <w:shd w:val="clear" w:color="auto" w:fill="BFBFBF" w:themeFill="background1" w:themeFillShade="BF"/>
          </w:tcPr>
          <w:p w:rsidR="005079A8" w:rsidRPr="002355B5" w:rsidRDefault="0033290F" w:rsidP="00B66FDE">
            <w:pPr>
              <w:spacing w:line="276" w:lineRule="auto"/>
              <w:rPr>
                <w:b/>
              </w:rPr>
            </w:pPr>
            <w:r w:rsidRPr="0033290F">
              <w:rPr>
                <w:b/>
              </w:rPr>
              <w:t>Popřípadě vysvětlení relevantnosti ukazatele</w:t>
            </w:r>
          </w:p>
        </w:tc>
      </w:tr>
      <w:tr w:rsidR="005F0C81" w:rsidRPr="00CE574F" w:rsidTr="00DB2F84">
        <w:trPr>
          <w:trHeight w:val="1074"/>
        </w:trPr>
        <w:tc>
          <w:tcPr>
            <w:tcW w:w="817" w:type="dxa"/>
            <w:tcBorders>
              <w:top w:val="single" w:sz="12" w:space="0" w:color="auto"/>
            </w:tcBorders>
          </w:tcPr>
          <w:p w:rsidR="005F0C81" w:rsidRPr="003A2CB2" w:rsidRDefault="005F0C81" w:rsidP="00B66FDE">
            <w:pPr>
              <w:rPr>
                <w:rFonts w:cs="Arial"/>
                <w:sz w:val="20"/>
                <w:szCs w:val="20"/>
              </w:rPr>
            </w:pPr>
            <w:r>
              <w:rPr>
                <w:rFonts w:cs="Arial"/>
                <w:sz w:val="20"/>
                <w:szCs w:val="20"/>
              </w:rPr>
              <w:t>PO 5</w:t>
            </w:r>
          </w:p>
        </w:tc>
        <w:tc>
          <w:tcPr>
            <w:tcW w:w="1276" w:type="dxa"/>
            <w:tcBorders>
              <w:top w:val="single" w:sz="12" w:space="0" w:color="auto"/>
            </w:tcBorders>
          </w:tcPr>
          <w:p w:rsidR="005F0C81" w:rsidRPr="005F0C81" w:rsidDel="008D6FD8" w:rsidRDefault="005F0C81" w:rsidP="00B66FDE">
            <w:pPr>
              <w:rPr>
                <w:rFonts w:cs="Arial"/>
                <w:sz w:val="20"/>
                <w:szCs w:val="20"/>
              </w:rPr>
            </w:pPr>
            <w:r w:rsidRPr="005F0C81">
              <w:rPr>
                <w:rFonts w:cs="Arial"/>
                <w:sz w:val="20"/>
                <w:szCs w:val="20"/>
              </w:rPr>
              <w:t>finanční ukazatel</w:t>
            </w:r>
          </w:p>
        </w:tc>
        <w:tc>
          <w:tcPr>
            <w:tcW w:w="709" w:type="dxa"/>
            <w:tcBorders>
              <w:top w:val="single" w:sz="12" w:space="0" w:color="auto"/>
            </w:tcBorders>
          </w:tcPr>
          <w:p w:rsidR="005F0C81" w:rsidRPr="005F0C81" w:rsidRDefault="005F0C81" w:rsidP="00B66FDE">
            <w:pPr>
              <w:rPr>
                <w:sz w:val="20"/>
                <w:szCs w:val="20"/>
              </w:rPr>
            </w:pPr>
            <w:r w:rsidRPr="005F0C81">
              <w:rPr>
                <w:sz w:val="20"/>
                <w:szCs w:val="20"/>
              </w:rPr>
              <w:t>-</w:t>
            </w:r>
          </w:p>
        </w:tc>
        <w:tc>
          <w:tcPr>
            <w:tcW w:w="1134" w:type="dxa"/>
            <w:tcBorders>
              <w:top w:val="single" w:sz="12" w:space="0" w:color="auto"/>
            </w:tcBorders>
          </w:tcPr>
          <w:p w:rsidR="005F0C81" w:rsidRPr="005F0C81" w:rsidRDefault="005F0C81" w:rsidP="00B66FDE">
            <w:pPr>
              <w:rPr>
                <w:sz w:val="20"/>
                <w:szCs w:val="20"/>
              </w:rPr>
            </w:pPr>
            <w:r w:rsidRPr="005F0C81">
              <w:rPr>
                <w:sz w:val="20"/>
                <w:szCs w:val="20"/>
              </w:rPr>
              <w:t>Celkové certifikované způsobilé výdaje</w:t>
            </w:r>
          </w:p>
        </w:tc>
        <w:tc>
          <w:tcPr>
            <w:tcW w:w="850" w:type="dxa"/>
            <w:tcBorders>
              <w:top w:val="single" w:sz="12" w:space="0" w:color="auto"/>
            </w:tcBorders>
          </w:tcPr>
          <w:p w:rsidR="005F0C81" w:rsidRPr="005F0C81" w:rsidRDefault="0033290F" w:rsidP="00B66FDE">
            <w:pPr>
              <w:spacing w:line="276" w:lineRule="auto"/>
              <w:rPr>
                <w:sz w:val="20"/>
                <w:szCs w:val="20"/>
              </w:rPr>
            </w:pPr>
            <w:r w:rsidRPr="0033290F">
              <w:rPr>
                <w:sz w:val="20"/>
                <w:szCs w:val="20"/>
              </w:rPr>
              <w:t>EUR</w:t>
            </w:r>
          </w:p>
        </w:tc>
        <w:tc>
          <w:tcPr>
            <w:tcW w:w="425" w:type="dxa"/>
            <w:tcBorders>
              <w:top w:val="single" w:sz="12" w:space="0" w:color="auto"/>
            </w:tcBorders>
          </w:tcPr>
          <w:p w:rsidR="005F0C81" w:rsidRPr="00CF41E1" w:rsidRDefault="005F0C81" w:rsidP="00B66FDE">
            <w:r>
              <w:t>FS</w:t>
            </w:r>
          </w:p>
        </w:tc>
        <w:tc>
          <w:tcPr>
            <w:tcW w:w="709" w:type="dxa"/>
            <w:tcBorders>
              <w:top w:val="single" w:sz="12" w:space="0" w:color="auto"/>
            </w:tcBorders>
          </w:tcPr>
          <w:p w:rsidR="005F0C81" w:rsidRPr="005F0C81" w:rsidRDefault="0033290F" w:rsidP="00B66FDE">
            <w:pPr>
              <w:spacing w:line="276" w:lineRule="auto"/>
              <w:rPr>
                <w:sz w:val="20"/>
                <w:szCs w:val="20"/>
              </w:rPr>
            </w:pPr>
            <w:r w:rsidRPr="0033290F">
              <w:rPr>
                <w:sz w:val="20"/>
                <w:szCs w:val="20"/>
              </w:rPr>
              <w:t>Není relevantní</w:t>
            </w:r>
          </w:p>
        </w:tc>
        <w:tc>
          <w:tcPr>
            <w:tcW w:w="709" w:type="dxa"/>
            <w:tcBorders>
              <w:top w:val="single" w:sz="12" w:space="0" w:color="auto"/>
            </w:tcBorders>
          </w:tcPr>
          <w:p w:rsidR="005F0C81" w:rsidRPr="005F0C81" w:rsidRDefault="0033290F" w:rsidP="005F0C81">
            <w:pPr>
              <w:spacing w:line="276" w:lineRule="auto"/>
              <w:rPr>
                <w:sz w:val="20"/>
                <w:szCs w:val="20"/>
              </w:rPr>
            </w:pPr>
            <w:r w:rsidRPr="0033290F">
              <w:rPr>
                <w:sz w:val="20"/>
                <w:szCs w:val="20"/>
              </w:rPr>
              <w:t>129482874</w:t>
            </w:r>
          </w:p>
          <w:p w:rsidR="005F0C81" w:rsidRPr="00CF41E1" w:rsidRDefault="005F0C81" w:rsidP="00B66FDE"/>
        </w:tc>
        <w:tc>
          <w:tcPr>
            <w:tcW w:w="850" w:type="dxa"/>
            <w:tcBorders>
              <w:top w:val="single" w:sz="12" w:space="0" w:color="auto"/>
            </w:tcBorders>
          </w:tcPr>
          <w:p w:rsidR="005F0C81" w:rsidRPr="005F0C81" w:rsidRDefault="0033290F" w:rsidP="005F0C81">
            <w:pPr>
              <w:spacing w:line="276" w:lineRule="auto"/>
              <w:rPr>
                <w:sz w:val="20"/>
                <w:szCs w:val="20"/>
              </w:rPr>
            </w:pPr>
            <w:r w:rsidRPr="0033290F">
              <w:rPr>
                <w:sz w:val="20"/>
                <w:szCs w:val="20"/>
              </w:rPr>
              <w:t>509626952</w:t>
            </w:r>
          </w:p>
          <w:p w:rsidR="005F0C81" w:rsidRPr="00CF41E1" w:rsidRDefault="005F0C81" w:rsidP="00B66FDE"/>
        </w:tc>
        <w:tc>
          <w:tcPr>
            <w:tcW w:w="709" w:type="dxa"/>
            <w:tcBorders>
              <w:top w:val="single" w:sz="12" w:space="0" w:color="auto"/>
            </w:tcBorders>
          </w:tcPr>
          <w:p w:rsidR="005F0C81" w:rsidRPr="005F0C81" w:rsidRDefault="0033290F" w:rsidP="00B66FDE">
            <w:pPr>
              <w:spacing w:line="276" w:lineRule="auto"/>
              <w:rPr>
                <w:bCs/>
                <w:sz w:val="20"/>
                <w:szCs w:val="20"/>
              </w:rPr>
            </w:pPr>
            <w:r w:rsidRPr="0033290F">
              <w:rPr>
                <w:bCs/>
                <w:sz w:val="20"/>
                <w:szCs w:val="20"/>
              </w:rPr>
              <w:t>ŘO</w:t>
            </w:r>
          </w:p>
        </w:tc>
        <w:tc>
          <w:tcPr>
            <w:tcW w:w="992" w:type="dxa"/>
            <w:tcBorders>
              <w:top w:val="single" w:sz="12" w:space="0" w:color="auto"/>
            </w:tcBorders>
          </w:tcPr>
          <w:p w:rsidR="005F0C81" w:rsidRPr="002355B5" w:rsidRDefault="005F0C81" w:rsidP="00B66FDE">
            <w:r>
              <w:t>-</w:t>
            </w:r>
          </w:p>
        </w:tc>
      </w:tr>
      <w:tr w:rsidR="00DB2F84" w:rsidRPr="00CE574F" w:rsidTr="00DB2F84">
        <w:trPr>
          <w:trHeight w:val="1074"/>
        </w:trPr>
        <w:tc>
          <w:tcPr>
            <w:tcW w:w="817" w:type="dxa"/>
            <w:tcBorders>
              <w:top w:val="single" w:sz="12" w:space="0" w:color="auto"/>
            </w:tcBorders>
          </w:tcPr>
          <w:p w:rsidR="005079A8" w:rsidRPr="003A2CB2" w:rsidRDefault="005079A8" w:rsidP="00B66FDE">
            <w:pPr>
              <w:rPr>
                <w:rFonts w:cs="Arial"/>
                <w:sz w:val="20"/>
                <w:szCs w:val="20"/>
              </w:rPr>
            </w:pPr>
            <w:r w:rsidRPr="003A2CB2">
              <w:rPr>
                <w:rFonts w:cs="Arial"/>
                <w:sz w:val="20"/>
                <w:szCs w:val="20"/>
              </w:rPr>
              <w:t>PO 5</w:t>
            </w:r>
          </w:p>
        </w:tc>
        <w:tc>
          <w:tcPr>
            <w:tcW w:w="1276" w:type="dxa"/>
            <w:tcBorders>
              <w:top w:val="single" w:sz="12" w:space="0" w:color="auto"/>
            </w:tcBorders>
          </w:tcPr>
          <w:p w:rsidR="005079A8" w:rsidRPr="005F0C81" w:rsidRDefault="008643C2" w:rsidP="00B66FDE">
            <w:pPr>
              <w:spacing w:line="276" w:lineRule="auto"/>
              <w:rPr>
                <w:sz w:val="20"/>
                <w:szCs w:val="20"/>
              </w:rPr>
            </w:pPr>
            <w:r w:rsidRPr="005F0C81">
              <w:rPr>
                <w:rFonts w:cs="Arial"/>
                <w:sz w:val="20"/>
                <w:szCs w:val="20"/>
              </w:rPr>
              <w:t>výsledkový</w:t>
            </w:r>
          </w:p>
        </w:tc>
        <w:tc>
          <w:tcPr>
            <w:tcW w:w="709" w:type="dxa"/>
            <w:tcBorders>
              <w:top w:val="single" w:sz="12" w:space="0" w:color="auto"/>
            </w:tcBorders>
          </w:tcPr>
          <w:p w:rsidR="005079A8" w:rsidRPr="005F0C81" w:rsidRDefault="0077324E" w:rsidP="00B66FDE">
            <w:pPr>
              <w:spacing w:line="276" w:lineRule="auto"/>
              <w:rPr>
                <w:sz w:val="20"/>
                <w:szCs w:val="20"/>
              </w:rPr>
            </w:pPr>
            <w:r w:rsidRPr="005F0C81">
              <w:rPr>
                <w:sz w:val="20"/>
                <w:szCs w:val="20"/>
              </w:rPr>
              <w:t>32701</w:t>
            </w:r>
          </w:p>
        </w:tc>
        <w:tc>
          <w:tcPr>
            <w:tcW w:w="1134" w:type="dxa"/>
            <w:tcBorders>
              <w:top w:val="single" w:sz="12" w:space="0" w:color="auto"/>
            </w:tcBorders>
          </w:tcPr>
          <w:p w:rsidR="005079A8" w:rsidRPr="005F0C81" w:rsidRDefault="00CC2022" w:rsidP="00B66FDE">
            <w:pPr>
              <w:rPr>
                <w:sz w:val="20"/>
                <w:szCs w:val="20"/>
              </w:rPr>
            </w:pPr>
            <w:r w:rsidRPr="005F0C81">
              <w:rPr>
                <w:sz w:val="20"/>
                <w:szCs w:val="20"/>
              </w:rPr>
              <w:t>Snížení konečné spotřeby energie ve veřejných budovách</w:t>
            </w:r>
          </w:p>
        </w:tc>
        <w:tc>
          <w:tcPr>
            <w:tcW w:w="850" w:type="dxa"/>
            <w:tcBorders>
              <w:top w:val="single" w:sz="12" w:space="0" w:color="auto"/>
            </w:tcBorders>
          </w:tcPr>
          <w:p w:rsidR="005079A8" w:rsidRPr="005F0C81" w:rsidRDefault="0033290F" w:rsidP="00B66FDE">
            <w:pPr>
              <w:spacing w:line="276" w:lineRule="auto"/>
              <w:rPr>
                <w:sz w:val="20"/>
                <w:szCs w:val="20"/>
              </w:rPr>
            </w:pPr>
            <w:r w:rsidRPr="0033290F">
              <w:rPr>
                <w:sz w:val="20"/>
                <w:szCs w:val="20"/>
              </w:rPr>
              <w:t>GJ/rok</w:t>
            </w:r>
          </w:p>
        </w:tc>
        <w:tc>
          <w:tcPr>
            <w:tcW w:w="425" w:type="dxa"/>
            <w:tcBorders>
              <w:top w:val="single" w:sz="12" w:space="0" w:color="auto"/>
            </w:tcBorders>
          </w:tcPr>
          <w:p w:rsidR="005079A8" w:rsidRPr="002355B5" w:rsidRDefault="0033290F" w:rsidP="00B66FDE">
            <w:pPr>
              <w:spacing w:line="276" w:lineRule="auto"/>
            </w:pPr>
            <w:r w:rsidRPr="0033290F">
              <w:t>FS</w:t>
            </w:r>
          </w:p>
        </w:tc>
        <w:tc>
          <w:tcPr>
            <w:tcW w:w="709" w:type="dxa"/>
            <w:tcBorders>
              <w:top w:val="single" w:sz="12" w:space="0" w:color="auto"/>
            </w:tcBorders>
          </w:tcPr>
          <w:p w:rsidR="005079A8" w:rsidRPr="005F0C81" w:rsidRDefault="0033290F" w:rsidP="00B66FDE">
            <w:pPr>
              <w:spacing w:line="276" w:lineRule="auto"/>
              <w:rPr>
                <w:sz w:val="20"/>
                <w:szCs w:val="20"/>
              </w:rPr>
            </w:pPr>
            <w:r w:rsidRPr="0033290F">
              <w:rPr>
                <w:sz w:val="20"/>
                <w:szCs w:val="20"/>
              </w:rPr>
              <w:t>Není relevantní</w:t>
            </w:r>
          </w:p>
        </w:tc>
        <w:tc>
          <w:tcPr>
            <w:tcW w:w="709" w:type="dxa"/>
            <w:tcBorders>
              <w:top w:val="single" w:sz="12" w:space="0" w:color="auto"/>
            </w:tcBorders>
          </w:tcPr>
          <w:p w:rsidR="005079A8" w:rsidRPr="005F0C81" w:rsidRDefault="0033290F" w:rsidP="00B66FDE">
            <w:pPr>
              <w:spacing w:line="276" w:lineRule="auto"/>
              <w:rPr>
                <w:sz w:val="20"/>
                <w:szCs w:val="20"/>
              </w:rPr>
            </w:pPr>
            <w:r w:rsidRPr="0033290F">
              <w:rPr>
                <w:sz w:val="20"/>
                <w:szCs w:val="20"/>
              </w:rPr>
              <w:t>500000</w:t>
            </w:r>
          </w:p>
        </w:tc>
        <w:tc>
          <w:tcPr>
            <w:tcW w:w="850" w:type="dxa"/>
            <w:tcBorders>
              <w:top w:val="single" w:sz="12" w:space="0" w:color="auto"/>
            </w:tcBorders>
          </w:tcPr>
          <w:p w:rsidR="005079A8" w:rsidRPr="005F0C81" w:rsidRDefault="0033290F" w:rsidP="00B66FDE">
            <w:pPr>
              <w:spacing w:line="276" w:lineRule="auto"/>
              <w:rPr>
                <w:sz w:val="20"/>
                <w:szCs w:val="20"/>
              </w:rPr>
            </w:pPr>
            <w:r w:rsidRPr="0033290F">
              <w:rPr>
                <w:sz w:val="20"/>
                <w:szCs w:val="20"/>
              </w:rPr>
              <w:t>  2 000 000</w:t>
            </w:r>
          </w:p>
        </w:tc>
        <w:tc>
          <w:tcPr>
            <w:tcW w:w="709" w:type="dxa"/>
            <w:tcBorders>
              <w:top w:val="single" w:sz="12" w:space="0" w:color="auto"/>
            </w:tcBorders>
          </w:tcPr>
          <w:p w:rsidR="005079A8" w:rsidRPr="005F0C81" w:rsidRDefault="0033290F" w:rsidP="00B66FDE">
            <w:pPr>
              <w:spacing w:line="276" w:lineRule="auto"/>
              <w:rPr>
                <w:bCs/>
                <w:sz w:val="20"/>
                <w:szCs w:val="20"/>
              </w:rPr>
            </w:pPr>
            <w:r w:rsidRPr="0033290F">
              <w:rPr>
                <w:bCs/>
                <w:sz w:val="20"/>
                <w:szCs w:val="20"/>
              </w:rPr>
              <w:t>Žadatel/ příjemce</w:t>
            </w:r>
          </w:p>
        </w:tc>
        <w:tc>
          <w:tcPr>
            <w:tcW w:w="992" w:type="dxa"/>
            <w:tcBorders>
              <w:top w:val="single" w:sz="12" w:space="0" w:color="auto"/>
            </w:tcBorders>
          </w:tcPr>
          <w:p w:rsidR="005079A8" w:rsidRPr="002355B5" w:rsidRDefault="005F0C81" w:rsidP="00B66FDE">
            <w:pPr>
              <w:spacing w:line="276" w:lineRule="auto"/>
            </w:pPr>
            <w:r>
              <w:t>-</w:t>
            </w:r>
          </w:p>
        </w:tc>
      </w:tr>
    </w:tbl>
    <w:p w:rsidR="003051E0" w:rsidRDefault="003051E0" w:rsidP="00B66FDE"/>
    <w:p w:rsidR="00F625C4" w:rsidRPr="004314F4" w:rsidRDefault="00F625C4" w:rsidP="00B66FDE"/>
    <w:p w:rsidR="003051E0" w:rsidRPr="004314F4" w:rsidRDefault="003051E0" w:rsidP="00165854">
      <w:pPr>
        <w:pStyle w:val="Nadpis3"/>
      </w:pPr>
      <w:r w:rsidRPr="004314F4">
        <w:lastRenderedPageBreak/>
        <w:t xml:space="preserve"> </w:t>
      </w:r>
      <w:bookmarkStart w:id="2929" w:name="_Toc392151063"/>
      <w:r w:rsidRPr="004314F4">
        <w:t xml:space="preserve">Kategorie </w:t>
      </w:r>
      <w:r w:rsidR="005079A8">
        <w:t>zásahů</w:t>
      </w:r>
      <w:bookmarkEnd w:id="2929"/>
    </w:p>
    <w:p w:rsidR="002A442A" w:rsidRDefault="00066877" w:rsidP="00B66FDE">
      <w:pPr>
        <w:pStyle w:val="Titulek"/>
      </w:pPr>
      <w:bookmarkStart w:id="2930" w:name="_Toc384907502"/>
      <w:r>
        <w:t xml:space="preserve">Oblast zásahu </w:t>
      </w:r>
      <w:bookmarkEnd w:id="2930"/>
    </w:p>
    <w:tbl>
      <w:tblPr>
        <w:tblStyle w:val="Mkatabulky"/>
        <w:tblW w:w="0" w:type="auto"/>
        <w:tblLook w:val="04A0" w:firstRow="1" w:lastRow="0" w:firstColumn="1" w:lastColumn="0" w:noHBand="0" w:noVBand="1"/>
      </w:tblPr>
      <w:tblGrid>
        <w:gridCol w:w="3070"/>
        <w:gridCol w:w="3070"/>
        <w:gridCol w:w="2757"/>
      </w:tblGrid>
      <w:tr w:rsidR="00066877" w:rsidTr="00DB2F84">
        <w:tc>
          <w:tcPr>
            <w:tcW w:w="3070" w:type="dxa"/>
          </w:tcPr>
          <w:p w:rsidR="00066877" w:rsidRDefault="00066877" w:rsidP="00867818">
            <w:r>
              <w:t>Fond</w:t>
            </w:r>
          </w:p>
        </w:tc>
        <w:tc>
          <w:tcPr>
            <w:tcW w:w="5827" w:type="dxa"/>
            <w:gridSpan w:val="2"/>
          </w:tcPr>
          <w:p w:rsidR="00066877" w:rsidRDefault="00066877" w:rsidP="00867818">
            <w:r>
              <w:t>Evropský fond pro regionální rozvoj</w:t>
            </w:r>
          </w:p>
        </w:tc>
      </w:tr>
      <w:tr w:rsidR="00066877" w:rsidTr="00DB2F84">
        <w:tc>
          <w:tcPr>
            <w:tcW w:w="3070" w:type="dxa"/>
          </w:tcPr>
          <w:p w:rsidR="00066877" w:rsidRDefault="00066877" w:rsidP="00867818">
            <w:r>
              <w:t>Kategorie regionů</w:t>
            </w:r>
          </w:p>
        </w:tc>
        <w:tc>
          <w:tcPr>
            <w:tcW w:w="5827" w:type="dxa"/>
            <w:gridSpan w:val="2"/>
          </w:tcPr>
          <w:p w:rsidR="00066877" w:rsidRDefault="00066877" w:rsidP="00867818">
            <w:r>
              <w:t>Méně rozvinuté regiony</w:t>
            </w:r>
          </w:p>
        </w:tc>
      </w:tr>
      <w:tr w:rsidR="00066877" w:rsidTr="00DB2F84">
        <w:tc>
          <w:tcPr>
            <w:tcW w:w="3070" w:type="dxa"/>
          </w:tcPr>
          <w:p w:rsidR="00066877" w:rsidRDefault="00066877" w:rsidP="00867818">
            <w:r>
              <w:t>Prioritní osa</w:t>
            </w:r>
          </w:p>
        </w:tc>
        <w:tc>
          <w:tcPr>
            <w:tcW w:w="3070" w:type="dxa"/>
          </w:tcPr>
          <w:p w:rsidR="00066877" w:rsidRDefault="00066877" w:rsidP="00867818">
            <w:r>
              <w:t xml:space="preserve">Kód </w:t>
            </w:r>
          </w:p>
        </w:tc>
        <w:tc>
          <w:tcPr>
            <w:tcW w:w="2757" w:type="dxa"/>
          </w:tcPr>
          <w:p w:rsidR="00066877" w:rsidRDefault="00066877" w:rsidP="00867818">
            <w:r>
              <w:t xml:space="preserve">Částka (v </w:t>
            </w:r>
            <w:proofErr w:type="gramStart"/>
            <w:r>
              <w:t>EUR</w:t>
            </w:r>
            <w:proofErr w:type="gramEnd"/>
            <w:r>
              <w:t>)</w:t>
            </w:r>
          </w:p>
        </w:tc>
      </w:tr>
      <w:tr w:rsidR="00066877" w:rsidTr="00DB2F84">
        <w:trPr>
          <w:trHeight w:val="70"/>
        </w:trPr>
        <w:tc>
          <w:tcPr>
            <w:tcW w:w="3070" w:type="dxa"/>
          </w:tcPr>
          <w:p w:rsidR="00066877" w:rsidRDefault="00066877" w:rsidP="00867818">
            <w:r>
              <w:t xml:space="preserve">Prioritní osa </w:t>
            </w:r>
            <w:r w:rsidR="00944E38">
              <w:t>5</w:t>
            </w:r>
          </w:p>
        </w:tc>
        <w:tc>
          <w:tcPr>
            <w:tcW w:w="3070" w:type="dxa"/>
          </w:tcPr>
          <w:p w:rsidR="00066877" w:rsidRDefault="00066877" w:rsidP="00867818">
            <w:r>
              <w:t>13</w:t>
            </w:r>
          </w:p>
        </w:tc>
        <w:tc>
          <w:tcPr>
            <w:tcW w:w="2757" w:type="dxa"/>
          </w:tcPr>
          <w:p w:rsidR="00066877" w:rsidRDefault="006D56EC" w:rsidP="00867818">
            <w:r w:rsidRPr="006D56EC">
              <w:t>509</w:t>
            </w:r>
            <w:r w:rsidR="00610C69">
              <w:t xml:space="preserve"> </w:t>
            </w:r>
            <w:r w:rsidRPr="006D56EC">
              <w:t>626</w:t>
            </w:r>
            <w:r w:rsidR="00610C69">
              <w:t xml:space="preserve"> </w:t>
            </w:r>
            <w:r w:rsidRPr="006D56EC">
              <w:t>952</w:t>
            </w:r>
            <w:r>
              <w:t> </w:t>
            </w:r>
          </w:p>
        </w:tc>
      </w:tr>
    </w:tbl>
    <w:p w:rsidR="00066877" w:rsidRDefault="00066877" w:rsidP="00B66FDE"/>
    <w:p w:rsidR="00674BC9" w:rsidRDefault="00066877">
      <w:pPr>
        <w:pStyle w:val="Titulek"/>
      </w:pPr>
      <w:r>
        <w:t>Dimenze 2 – Forma financování</w:t>
      </w:r>
    </w:p>
    <w:tbl>
      <w:tblPr>
        <w:tblStyle w:val="Mkatabulky"/>
        <w:tblW w:w="0" w:type="auto"/>
        <w:tblLook w:val="04A0" w:firstRow="1" w:lastRow="0" w:firstColumn="1" w:lastColumn="0" w:noHBand="0" w:noVBand="1"/>
      </w:tblPr>
      <w:tblGrid>
        <w:gridCol w:w="3070"/>
        <w:gridCol w:w="3070"/>
        <w:gridCol w:w="2757"/>
      </w:tblGrid>
      <w:tr w:rsidR="00066877" w:rsidTr="00DB2F84">
        <w:tc>
          <w:tcPr>
            <w:tcW w:w="3070" w:type="dxa"/>
          </w:tcPr>
          <w:p w:rsidR="00066877" w:rsidRDefault="00066877" w:rsidP="00867818">
            <w:r>
              <w:t>Fond</w:t>
            </w:r>
          </w:p>
        </w:tc>
        <w:tc>
          <w:tcPr>
            <w:tcW w:w="5827" w:type="dxa"/>
            <w:gridSpan w:val="2"/>
          </w:tcPr>
          <w:p w:rsidR="00066877" w:rsidRDefault="00066877" w:rsidP="00867818">
            <w:r>
              <w:t>Evropský fond pro regionální rozvoj</w:t>
            </w:r>
          </w:p>
        </w:tc>
      </w:tr>
      <w:tr w:rsidR="00066877" w:rsidTr="00DB2F84">
        <w:tc>
          <w:tcPr>
            <w:tcW w:w="3070" w:type="dxa"/>
          </w:tcPr>
          <w:p w:rsidR="00066877" w:rsidRDefault="00066877" w:rsidP="00867818">
            <w:r>
              <w:t>Kategorie regionů</w:t>
            </w:r>
          </w:p>
        </w:tc>
        <w:tc>
          <w:tcPr>
            <w:tcW w:w="5827" w:type="dxa"/>
            <w:gridSpan w:val="2"/>
          </w:tcPr>
          <w:p w:rsidR="00066877" w:rsidRDefault="00066877" w:rsidP="00867818">
            <w:r>
              <w:t>Méně rozvinuté regiony</w:t>
            </w:r>
          </w:p>
        </w:tc>
      </w:tr>
      <w:tr w:rsidR="00066877" w:rsidTr="00DB2F84">
        <w:tc>
          <w:tcPr>
            <w:tcW w:w="3070" w:type="dxa"/>
          </w:tcPr>
          <w:p w:rsidR="00066877" w:rsidRDefault="00066877" w:rsidP="00867818">
            <w:r>
              <w:t>Prioritní osa</w:t>
            </w:r>
          </w:p>
        </w:tc>
        <w:tc>
          <w:tcPr>
            <w:tcW w:w="3070" w:type="dxa"/>
          </w:tcPr>
          <w:p w:rsidR="00066877" w:rsidRDefault="00066877" w:rsidP="00867818">
            <w:r>
              <w:t xml:space="preserve">Kód </w:t>
            </w:r>
          </w:p>
        </w:tc>
        <w:tc>
          <w:tcPr>
            <w:tcW w:w="2757" w:type="dxa"/>
          </w:tcPr>
          <w:p w:rsidR="00066877" w:rsidRDefault="00066877" w:rsidP="00867818">
            <w:r>
              <w:t xml:space="preserve">Částka (v </w:t>
            </w:r>
            <w:proofErr w:type="gramStart"/>
            <w:r>
              <w:t>EUR</w:t>
            </w:r>
            <w:proofErr w:type="gramEnd"/>
            <w:r>
              <w:t>)</w:t>
            </w:r>
          </w:p>
        </w:tc>
      </w:tr>
      <w:tr w:rsidR="00066877" w:rsidTr="00DB2F84">
        <w:tc>
          <w:tcPr>
            <w:tcW w:w="3070" w:type="dxa"/>
          </w:tcPr>
          <w:p w:rsidR="00066877" w:rsidRDefault="00944E38" w:rsidP="00867818">
            <w:r>
              <w:t>Prioritní osa 5</w:t>
            </w:r>
          </w:p>
        </w:tc>
        <w:tc>
          <w:tcPr>
            <w:tcW w:w="3070" w:type="dxa"/>
          </w:tcPr>
          <w:p w:rsidR="00066877" w:rsidRDefault="00066877" w:rsidP="00867818">
            <w:r>
              <w:t>01</w:t>
            </w:r>
          </w:p>
        </w:tc>
        <w:tc>
          <w:tcPr>
            <w:tcW w:w="2757" w:type="dxa"/>
          </w:tcPr>
          <w:p w:rsidR="00066877" w:rsidRDefault="006D56EC" w:rsidP="00867818">
            <w:r w:rsidRPr="006D56EC">
              <w:t>509</w:t>
            </w:r>
            <w:r w:rsidR="00610C69">
              <w:t xml:space="preserve"> </w:t>
            </w:r>
            <w:r w:rsidRPr="006D56EC">
              <w:t>626</w:t>
            </w:r>
            <w:r w:rsidR="00610C69">
              <w:t xml:space="preserve"> </w:t>
            </w:r>
            <w:r w:rsidRPr="006D56EC">
              <w:t>952</w:t>
            </w:r>
            <w:r>
              <w:t> </w:t>
            </w:r>
          </w:p>
        </w:tc>
      </w:tr>
    </w:tbl>
    <w:p w:rsidR="00066877" w:rsidRDefault="00066877" w:rsidP="00066877"/>
    <w:p w:rsidR="00674BC9" w:rsidRDefault="00066877">
      <w:pPr>
        <w:pStyle w:val="Titulek"/>
      </w:pPr>
      <w:r>
        <w:t>Dimenze 3 – Typ území</w:t>
      </w:r>
    </w:p>
    <w:tbl>
      <w:tblPr>
        <w:tblStyle w:val="Mkatabulky"/>
        <w:tblW w:w="0" w:type="auto"/>
        <w:tblLook w:val="04A0" w:firstRow="1" w:lastRow="0" w:firstColumn="1" w:lastColumn="0" w:noHBand="0" w:noVBand="1"/>
      </w:tblPr>
      <w:tblGrid>
        <w:gridCol w:w="3070"/>
        <w:gridCol w:w="3070"/>
        <w:gridCol w:w="2757"/>
      </w:tblGrid>
      <w:tr w:rsidR="00066877" w:rsidTr="00DB2F84">
        <w:tc>
          <w:tcPr>
            <w:tcW w:w="3070" w:type="dxa"/>
          </w:tcPr>
          <w:p w:rsidR="00066877" w:rsidRDefault="00066877" w:rsidP="00867818">
            <w:r>
              <w:t>Fond</w:t>
            </w:r>
          </w:p>
        </w:tc>
        <w:tc>
          <w:tcPr>
            <w:tcW w:w="5827" w:type="dxa"/>
            <w:gridSpan w:val="2"/>
          </w:tcPr>
          <w:p w:rsidR="00066877" w:rsidRDefault="00066877" w:rsidP="00867818">
            <w:r>
              <w:t>Evropský fond pro regionální rozvoj</w:t>
            </w:r>
          </w:p>
        </w:tc>
      </w:tr>
      <w:tr w:rsidR="00066877" w:rsidTr="00DB2F84">
        <w:tc>
          <w:tcPr>
            <w:tcW w:w="3070" w:type="dxa"/>
          </w:tcPr>
          <w:p w:rsidR="00066877" w:rsidRDefault="00066877" w:rsidP="00867818">
            <w:r>
              <w:t>Kategorie regionů</w:t>
            </w:r>
          </w:p>
        </w:tc>
        <w:tc>
          <w:tcPr>
            <w:tcW w:w="5827" w:type="dxa"/>
            <w:gridSpan w:val="2"/>
          </w:tcPr>
          <w:p w:rsidR="00066877" w:rsidRDefault="00066877" w:rsidP="00867818">
            <w:r>
              <w:t>Méně rozvinuté regiony</w:t>
            </w:r>
          </w:p>
        </w:tc>
      </w:tr>
      <w:tr w:rsidR="00066877" w:rsidTr="00DB2F84">
        <w:tc>
          <w:tcPr>
            <w:tcW w:w="3070" w:type="dxa"/>
          </w:tcPr>
          <w:p w:rsidR="00066877" w:rsidRDefault="00066877" w:rsidP="00867818">
            <w:r>
              <w:t>Prioritní osa</w:t>
            </w:r>
          </w:p>
        </w:tc>
        <w:tc>
          <w:tcPr>
            <w:tcW w:w="3070" w:type="dxa"/>
          </w:tcPr>
          <w:p w:rsidR="00066877" w:rsidRDefault="00066877" w:rsidP="00867818">
            <w:r>
              <w:t xml:space="preserve">Kód </w:t>
            </w:r>
          </w:p>
        </w:tc>
        <w:tc>
          <w:tcPr>
            <w:tcW w:w="2757" w:type="dxa"/>
          </w:tcPr>
          <w:p w:rsidR="00066877" w:rsidRDefault="00066877" w:rsidP="00867818">
            <w:r>
              <w:t xml:space="preserve">Částka (v </w:t>
            </w:r>
            <w:proofErr w:type="gramStart"/>
            <w:r>
              <w:t>EUR</w:t>
            </w:r>
            <w:proofErr w:type="gramEnd"/>
            <w:r>
              <w:t>)</w:t>
            </w:r>
          </w:p>
        </w:tc>
      </w:tr>
      <w:tr w:rsidR="00066877" w:rsidTr="00DB2F84">
        <w:tc>
          <w:tcPr>
            <w:tcW w:w="3070" w:type="dxa"/>
          </w:tcPr>
          <w:p w:rsidR="00066877" w:rsidRDefault="00944E38" w:rsidP="00867818">
            <w:r>
              <w:t>Prioritní osa 5</w:t>
            </w:r>
          </w:p>
        </w:tc>
        <w:tc>
          <w:tcPr>
            <w:tcW w:w="3070" w:type="dxa"/>
          </w:tcPr>
          <w:p w:rsidR="00066877" w:rsidRDefault="0034348B" w:rsidP="00867818">
            <w:r>
              <w:t>01</w:t>
            </w:r>
          </w:p>
        </w:tc>
        <w:tc>
          <w:tcPr>
            <w:tcW w:w="2757" w:type="dxa"/>
          </w:tcPr>
          <w:p w:rsidR="00066877" w:rsidRDefault="007E0949" w:rsidP="00867818">
            <w:r>
              <w:t>203 850 781</w:t>
            </w:r>
          </w:p>
        </w:tc>
      </w:tr>
      <w:tr w:rsidR="0034348B" w:rsidTr="00DB2F84">
        <w:tc>
          <w:tcPr>
            <w:tcW w:w="3070" w:type="dxa"/>
          </w:tcPr>
          <w:p w:rsidR="0034348B" w:rsidRDefault="0034348B" w:rsidP="00867818">
            <w:r>
              <w:t>Prioritní osa 5</w:t>
            </w:r>
          </w:p>
        </w:tc>
        <w:tc>
          <w:tcPr>
            <w:tcW w:w="3070" w:type="dxa"/>
          </w:tcPr>
          <w:p w:rsidR="0034348B" w:rsidRDefault="0034348B" w:rsidP="00867818">
            <w:r>
              <w:t>02</w:t>
            </w:r>
          </w:p>
        </w:tc>
        <w:tc>
          <w:tcPr>
            <w:tcW w:w="2757" w:type="dxa"/>
          </w:tcPr>
          <w:p w:rsidR="0034348B" w:rsidRDefault="007E0949" w:rsidP="00867818">
            <w:r>
              <w:t>203 850 781</w:t>
            </w:r>
          </w:p>
        </w:tc>
      </w:tr>
      <w:tr w:rsidR="0034348B" w:rsidTr="00DB2F84">
        <w:tc>
          <w:tcPr>
            <w:tcW w:w="3070" w:type="dxa"/>
          </w:tcPr>
          <w:p w:rsidR="0034348B" w:rsidRDefault="0034348B" w:rsidP="00867818">
            <w:r>
              <w:t>Prioritní osa 5</w:t>
            </w:r>
          </w:p>
        </w:tc>
        <w:tc>
          <w:tcPr>
            <w:tcW w:w="3070" w:type="dxa"/>
          </w:tcPr>
          <w:p w:rsidR="0034348B" w:rsidRDefault="0034348B" w:rsidP="00867818">
            <w:r>
              <w:t>03</w:t>
            </w:r>
          </w:p>
        </w:tc>
        <w:tc>
          <w:tcPr>
            <w:tcW w:w="2757" w:type="dxa"/>
          </w:tcPr>
          <w:p w:rsidR="0034348B" w:rsidRDefault="007E0949" w:rsidP="00867818">
            <w:r>
              <w:t>101 925 390</w:t>
            </w:r>
          </w:p>
        </w:tc>
      </w:tr>
    </w:tbl>
    <w:p w:rsidR="00066877" w:rsidRDefault="00066877" w:rsidP="00066877"/>
    <w:p w:rsidR="00674BC9" w:rsidRDefault="00066877">
      <w:pPr>
        <w:pStyle w:val="Titulek"/>
      </w:pPr>
      <w:r>
        <w:t>Dimenze 4 – Mechanismus územního plnění</w:t>
      </w:r>
    </w:p>
    <w:tbl>
      <w:tblPr>
        <w:tblStyle w:val="Mkatabulky"/>
        <w:tblW w:w="0" w:type="auto"/>
        <w:tblLook w:val="04A0" w:firstRow="1" w:lastRow="0" w:firstColumn="1" w:lastColumn="0" w:noHBand="0" w:noVBand="1"/>
      </w:tblPr>
      <w:tblGrid>
        <w:gridCol w:w="3070"/>
        <w:gridCol w:w="3070"/>
        <w:gridCol w:w="2757"/>
      </w:tblGrid>
      <w:tr w:rsidR="00066877" w:rsidTr="00DB2F84">
        <w:tc>
          <w:tcPr>
            <w:tcW w:w="3070" w:type="dxa"/>
          </w:tcPr>
          <w:p w:rsidR="00066877" w:rsidRDefault="00066877" w:rsidP="00867818">
            <w:r>
              <w:t>Fond</w:t>
            </w:r>
          </w:p>
        </w:tc>
        <w:tc>
          <w:tcPr>
            <w:tcW w:w="5827" w:type="dxa"/>
            <w:gridSpan w:val="2"/>
          </w:tcPr>
          <w:p w:rsidR="00066877" w:rsidRDefault="00066877" w:rsidP="00867818">
            <w:r>
              <w:t>Evropský fond pro regionální rozvoj</w:t>
            </w:r>
          </w:p>
        </w:tc>
      </w:tr>
      <w:tr w:rsidR="00066877" w:rsidTr="00DB2F84">
        <w:tc>
          <w:tcPr>
            <w:tcW w:w="3070" w:type="dxa"/>
          </w:tcPr>
          <w:p w:rsidR="00066877" w:rsidRDefault="00066877" w:rsidP="00867818">
            <w:r>
              <w:t>Kategorie regionů</w:t>
            </w:r>
          </w:p>
        </w:tc>
        <w:tc>
          <w:tcPr>
            <w:tcW w:w="5827" w:type="dxa"/>
            <w:gridSpan w:val="2"/>
          </w:tcPr>
          <w:p w:rsidR="00066877" w:rsidRDefault="00066877" w:rsidP="00867818">
            <w:r>
              <w:t>Méně rozvinuté regiony</w:t>
            </w:r>
          </w:p>
        </w:tc>
      </w:tr>
      <w:tr w:rsidR="00066877" w:rsidTr="00DB2F84">
        <w:tc>
          <w:tcPr>
            <w:tcW w:w="3070" w:type="dxa"/>
          </w:tcPr>
          <w:p w:rsidR="00066877" w:rsidRDefault="00066877" w:rsidP="00867818">
            <w:r>
              <w:t>Prioritní osa</w:t>
            </w:r>
          </w:p>
        </w:tc>
        <w:tc>
          <w:tcPr>
            <w:tcW w:w="3070" w:type="dxa"/>
          </w:tcPr>
          <w:p w:rsidR="00066877" w:rsidRDefault="00066877" w:rsidP="00867818">
            <w:r>
              <w:t xml:space="preserve">Kód </w:t>
            </w:r>
          </w:p>
        </w:tc>
        <w:tc>
          <w:tcPr>
            <w:tcW w:w="2757" w:type="dxa"/>
          </w:tcPr>
          <w:p w:rsidR="00066877" w:rsidRDefault="00066877" w:rsidP="00867818">
            <w:r>
              <w:t xml:space="preserve">Částka (v </w:t>
            </w:r>
            <w:proofErr w:type="gramStart"/>
            <w:r>
              <w:t>EUR</w:t>
            </w:r>
            <w:proofErr w:type="gramEnd"/>
            <w:r>
              <w:t>)</w:t>
            </w:r>
          </w:p>
        </w:tc>
      </w:tr>
      <w:tr w:rsidR="00066877" w:rsidTr="00DB2F84">
        <w:tc>
          <w:tcPr>
            <w:tcW w:w="3070" w:type="dxa"/>
          </w:tcPr>
          <w:p w:rsidR="00066877" w:rsidRDefault="00944E38" w:rsidP="00867818">
            <w:r>
              <w:t>Prioritní osa 5</w:t>
            </w:r>
          </w:p>
        </w:tc>
        <w:tc>
          <w:tcPr>
            <w:tcW w:w="3070" w:type="dxa"/>
          </w:tcPr>
          <w:p w:rsidR="00066877" w:rsidRDefault="00066877" w:rsidP="00867818">
            <w:r>
              <w:t>07</w:t>
            </w:r>
          </w:p>
        </w:tc>
        <w:tc>
          <w:tcPr>
            <w:tcW w:w="2757" w:type="dxa"/>
          </w:tcPr>
          <w:p w:rsidR="00066877" w:rsidRDefault="006D56EC" w:rsidP="00867818">
            <w:r w:rsidRPr="006D56EC">
              <w:t>509</w:t>
            </w:r>
            <w:r w:rsidR="00610C69">
              <w:t xml:space="preserve"> </w:t>
            </w:r>
            <w:r w:rsidRPr="006D56EC">
              <w:t>626</w:t>
            </w:r>
            <w:r w:rsidR="00610C69">
              <w:t xml:space="preserve"> </w:t>
            </w:r>
            <w:r w:rsidRPr="006D56EC">
              <w:t>952</w:t>
            </w:r>
            <w:r>
              <w:t> </w:t>
            </w:r>
          </w:p>
        </w:tc>
      </w:tr>
    </w:tbl>
    <w:p w:rsidR="00066877" w:rsidRDefault="00066877" w:rsidP="00066877"/>
    <w:p w:rsidR="00674BC9" w:rsidRDefault="00066877">
      <w:pPr>
        <w:pStyle w:val="Titulek"/>
      </w:pPr>
      <w:r>
        <w:t>Dimenze 5- Tematický cíl</w:t>
      </w:r>
    </w:p>
    <w:tbl>
      <w:tblPr>
        <w:tblStyle w:val="Mkatabulky"/>
        <w:tblW w:w="0" w:type="auto"/>
        <w:tblLook w:val="04A0" w:firstRow="1" w:lastRow="0" w:firstColumn="1" w:lastColumn="0" w:noHBand="0" w:noVBand="1"/>
      </w:tblPr>
      <w:tblGrid>
        <w:gridCol w:w="3070"/>
        <w:gridCol w:w="3070"/>
        <w:gridCol w:w="2757"/>
      </w:tblGrid>
      <w:tr w:rsidR="00066877" w:rsidTr="00DB2F84">
        <w:tc>
          <w:tcPr>
            <w:tcW w:w="3070" w:type="dxa"/>
          </w:tcPr>
          <w:p w:rsidR="00066877" w:rsidRDefault="00066877" w:rsidP="00867818">
            <w:r>
              <w:t>Fond</w:t>
            </w:r>
          </w:p>
        </w:tc>
        <w:tc>
          <w:tcPr>
            <w:tcW w:w="5827" w:type="dxa"/>
            <w:gridSpan w:val="2"/>
          </w:tcPr>
          <w:p w:rsidR="00066877" w:rsidRDefault="00066877" w:rsidP="00867818">
            <w:r>
              <w:t>Evropský fond pro regionální rozvoj</w:t>
            </w:r>
          </w:p>
        </w:tc>
      </w:tr>
      <w:tr w:rsidR="00066877" w:rsidTr="00DB2F84">
        <w:tc>
          <w:tcPr>
            <w:tcW w:w="3070" w:type="dxa"/>
          </w:tcPr>
          <w:p w:rsidR="00066877" w:rsidRDefault="00066877" w:rsidP="00867818">
            <w:r>
              <w:t>Kategorie regionů</w:t>
            </w:r>
          </w:p>
        </w:tc>
        <w:tc>
          <w:tcPr>
            <w:tcW w:w="5827" w:type="dxa"/>
            <w:gridSpan w:val="2"/>
          </w:tcPr>
          <w:p w:rsidR="00066877" w:rsidRDefault="00066877" w:rsidP="00867818">
            <w:r>
              <w:t>Méně rozvinuté regiony</w:t>
            </w:r>
          </w:p>
        </w:tc>
      </w:tr>
      <w:tr w:rsidR="00066877" w:rsidTr="00DB2F84">
        <w:tc>
          <w:tcPr>
            <w:tcW w:w="3070" w:type="dxa"/>
          </w:tcPr>
          <w:p w:rsidR="00066877" w:rsidRDefault="00066877" w:rsidP="00867818">
            <w:r>
              <w:t>Prioritní osa</w:t>
            </w:r>
          </w:p>
        </w:tc>
        <w:tc>
          <w:tcPr>
            <w:tcW w:w="3070" w:type="dxa"/>
          </w:tcPr>
          <w:p w:rsidR="00066877" w:rsidRDefault="00066877" w:rsidP="00867818">
            <w:r>
              <w:t xml:space="preserve">Kód </w:t>
            </w:r>
          </w:p>
        </w:tc>
        <w:tc>
          <w:tcPr>
            <w:tcW w:w="2757" w:type="dxa"/>
          </w:tcPr>
          <w:p w:rsidR="00066877" w:rsidRDefault="00066877" w:rsidP="00867818">
            <w:r>
              <w:t xml:space="preserve">Částka (v </w:t>
            </w:r>
            <w:proofErr w:type="gramStart"/>
            <w:r>
              <w:t>EUR</w:t>
            </w:r>
            <w:proofErr w:type="gramEnd"/>
            <w:r>
              <w:t>)</w:t>
            </w:r>
          </w:p>
        </w:tc>
      </w:tr>
      <w:tr w:rsidR="00066877" w:rsidTr="00DB2F84">
        <w:tc>
          <w:tcPr>
            <w:tcW w:w="3070" w:type="dxa"/>
          </w:tcPr>
          <w:p w:rsidR="00066877" w:rsidRDefault="00944E38" w:rsidP="00867818">
            <w:r>
              <w:t>Prioritní osa 5</w:t>
            </w:r>
          </w:p>
        </w:tc>
        <w:tc>
          <w:tcPr>
            <w:tcW w:w="3070" w:type="dxa"/>
          </w:tcPr>
          <w:p w:rsidR="00066877" w:rsidRDefault="00066877" w:rsidP="00867818">
            <w:r>
              <w:t>04</w:t>
            </w:r>
          </w:p>
        </w:tc>
        <w:tc>
          <w:tcPr>
            <w:tcW w:w="2757" w:type="dxa"/>
          </w:tcPr>
          <w:p w:rsidR="00066877" w:rsidRDefault="006D56EC" w:rsidP="00867818">
            <w:r w:rsidRPr="006D56EC">
              <w:t>509</w:t>
            </w:r>
            <w:r w:rsidR="00610C69">
              <w:t xml:space="preserve"> </w:t>
            </w:r>
            <w:r w:rsidRPr="006D56EC">
              <w:t>626</w:t>
            </w:r>
            <w:r w:rsidR="00610C69">
              <w:t xml:space="preserve"> </w:t>
            </w:r>
            <w:r w:rsidRPr="006D56EC">
              <w:t>952</w:t>
            </w:r>
            <w:r>
              <w:t> </w:t>
            </w:r>
          </w:p>
        </w:tc>
      </w:tr>
    </w:tbl>
    <w:p w:rsidR="00066877" w:rsidRDefault="00066877" w:rsidP="00066877"/>
    <w:p w:rsidR="00F625C4" w:rsidRDefault="00F625C4" w:rsidP="00066877"/>
    <w:p w:rsidR="00F625C4" w:rsidRPr="00066877" w:rsidRDefault="00F625C4" w:rsidP="00066877"/>
    <w:p w:rsidR="006F7D80" w:rsidRDefault="00F37B40" w:rsidP="00165854">
      <w:pPr>
        <w:pStyle w:val="Nadpis2"/>
      </w:pPr>
      <w:bookmarkStart w:id="2931" w:name="_Toc390414318"/>
      <w:bookmarkStart w:id="2932" w:name="_Toc390414565"/>
      <w:bookmarkStart w:id="2933" w:name="_Toc390414809"/>
      <w:bookmarkStart w:id="2934" w:name="_Toc391014984"/>
      <w:bookmarkStart w:id="2935" w:name="_Toc391016135"/>
      <w:bookmarkStart w:id="2936" w:name="_Toc391017075"/>
      <w:bookmarkStart w:id="2937" w:name="_Toc391018188"/>
      <w:bookmarkStart w:id="2938" w:name="_Toc391019300"/>
      <w:bookmarkStart w:id="2939" w:name="_Toc380745765"/>
      <w:bookmarkStart w:id="2940" w:name="_Toc392151064"/>
      <w:bookmarkEnd w:id="2931"/>
      <w:bookmarkEnd w:id="2932"/>
      <w:bookmarkEnd w:id="2933"/>
      <w:bookmarkEnd w:id="2934"/>
      <w:bookmarkEnd w:id="2935"/>
      <w:bookmarkEnd w:id="2936"/>
      <w:bookmarkEnd w:id="2937"/>
      <w:bookmarkEnd w:id="2938"/>
      <w:r>
        <w:lastRenderedPageBreak/>
        <w:t>PRIORITNÍ OSA 6: Technická pomoc</w:t>
      </w:r>
      <w:bookmarkEnd w:id="2939"/>
      <w:bookmarkEnd w:id="2940"/>
    </w:p>
    <w:p w:rsidR="00674BC9" w:rsidRDefault="0077122D">
      <w:pPr>
        <w:pStyle w:val="Nadpis3"/>
      </w:pPr>
      <w:bookmarkStart w:id="2941" w:name="_Toc392151065"/>
      <w:r>
        <w:t>Odůvodnění stanovení prioritní osy, jež zahrnuje více než jednu kategori</w:t>
      </w:r>
      <w:r w:rsidR="00DB19B0">
        <w:t>i</w:t>
      </w:r>
      <w:r>
        <w:t xml:space="preserve"> regionů</w:t>
      </w:r>
      <w:bookmarkEnd w:id="2941"/>
    </w:p>
    <w:p w:rsidR="00674BC9" w:rsidRDefault="0077122D">
      <w:r>
        <w:t xml:space="preserve">Není relevantní pro </w:t>
      </w:r>
      <w:r w:rsidR="00DB19B0">
        <w:t>prioritní osu 6</w:t>
      </w:r>
    </w:p>
    <w:p w:rsidR="00674BC9" w:rsidRDefault="008A2B1E">
      <w:pPr>
        <w:pStyle w:val="Nadpis3"/>
      </w:pPr>
      <w:bookmarkStart w:id="2942" w:name="_Toc392151066"/>
      <w:r>
        <w:t>Fond a kategorie regionů</w:t>
      </w:r>
      <w:bookmarkEnd w:id="2942"/>
      <w:r>
        <w:t xml:space="preserve"> </w:t>
      </w:r>
    </w:p>
    <w:tbl>
      <w:tblPr>
        <w:tblStyle w:val="Mkatabulky"/>
        <w:tblW w:w="0" w:type="auto"/>
        <w:tblLook w:val="04A0" w:firstRow="1" w:lastRow="0" w:firstColumn="1" w:lastColumn="0" w:noHBand="0" w:noVBand="1"/>
      </w:tblPr>
      <w:tblGrid>
        <w:gridCol w:w="4605"/>
        <w:gridCol w:w="4434"/>
      </w:tblGrid>
      <w:tr w:rsidR="008A2B1E" w:rsidTr="00DB2F84">
        <w:tc>
          <w:tcPr>
            <w:tcW w:w="4605" w:type="dxa"/>
            <w:shd w:val="clear" w:color="auto" w:fill="A6A6A6" w:themeFill="background1" w:themeFillShade="A6"/>
          </w:tcPr>
          <w:p w:rsidR="008A2B1E" w:rsidRPr="000225A5" w:rsidRDefault="008A2B1E" w:rsidP="007B21C6">
            <w:pPr>
              <w:rPr>
                <w:b/>
              </w:rPr>
            </w:pPr>
            <w:r w:rsidRPr="003971AB">
              <w:rPr>
                <w:b/>
              </w:rPr>
              <w:t>Fond</w:t>
            </w:r>
          </w:p>
        </w:tc>
        <w:tc>
          <w:tcPr>
            <w:tcW w:w="4434" w:type="dxa"/>
          </w:tcPr>
          <w:p w:rsidR="008A2B1E" w:rsidRDefault="007B21C6" w:rsidP="003A64BF">
            <w:r>
              <w:t>Fond soudržnosti</w:t>
            </w:r>
          </w:p>
        </w:tc>
      </w:tr>
      <w:tr w:rsidR="008A2B1E" w:rsidTr="00DB2F84">
        <w:trPr>
          <w:trHeight w:val="394"/>
        </w:trPr>
        <w:tc>
          <w:tcPr>
            <w:tcW w:w="4605" w:type="dxa"/>
            <w:shd w:val="clear" w:color="auto" w:fill="A6A6A6" w:themeFill="background1" w:themeFillShade="A6"/>
          </w:tcPr>
          <w:p w:rsidR="008A2B1E" w:rsidRPr="000225A5" w:rsidRDefault="008A2B1E" w:rsidP="007B21C6">
            <w:pPr>
              <w:rPr>
                <w:b/>
              </w:rPr>
            </w:pPr>
            <w:r w:rsidRPr="003971AB">
              <w:rPr>
                <w:b/>
              </w:rPr>
              <w:t>Kategorie regionů</w:t>
            </w:r>
          </w:p>
        </w:tc>
        <w:tc>
          <w:tcPr>
            <w:tcW w:w="4434" w:type="dxa"/>
          </w:tcPr>
          <w:p w:rsidR="008A2B1E" w:rsidRDefault="008A2B1E" w:rsidP="007B21C6">
            <w:r>
              <w:t>Není relevantní pro prioritní osu 6</w:t>
            </w:r>
          </w:p>
        </w:tc>
      </w:tr>
      <w:tr w:rsidR="008A2B1E" w:rsidTr="00DB2F84">
        <w:tc>
          <w:tcPr>
            <w:tcW w:w="4605" w:type="dxa"/>
            <w:shd w:val="clear" w:color="auto" w:fill="A6A6A6" w:themeFill="background1" w:themeFillShade="A6"/>
          </w:tcPr>
          <w:p w:rsidR="008A2B1E" w:rsidRPr="000225A5" w:rsidRDefault="008A2B1E" w:rsidP="007B21C6">
            <w:pPr>
              <w:rPr>
                <w:b/>
              </w:rPr>
            </w:pPr>
            <w:r w:rsidRPr="003971AB">
              <w:rPr>
                <w:b/>
              </w:rPr>
              <w:t>Základ pro výpočet (celkové způsobilé výdaje nebo způsobilé veřejné výdaje)</w:t>
            </w:r>
          </w:p>
        </w:tc>
        <w:tc>
          <w:tcPr>
            <w:tcW w:w="4434" w:type="dxa"/>
          </w:tcPr>
          <w:p w:rsidR="008A2B1E" w:rsidRDefault="00A607AB" w:rsidP="007B21C6">
            <w:r>
              <w:t>Celkové způsobilé výdaje</w:t>
            </w:r>
          </w:p>
        </w:tc>
      </w:tr>
    </w:tbl>
    <w:p w:rsidR="00674BC9" w:rsidRDefault="00674BC9"/>
    <w:p w:rsidR="00F37B40" w:rsidRDefault="00F37B40" w:rsidP="00165854">
      <w:pPr>
        <w:pStyle w:val="Nadpis3"/>
      </w:pPr>
      <w:bookmarkStart w:id="2943" w:name="_Toc391014990"/>
      <w:bookmarkStart w:id="2944" w:name="_Toc391016141"/>
      <w:bookmarkStart w:id="2945" w:name="_Toc391017081"/>
      <w:bookmarkStart w:id="2946" w:name="_Toc391018194"/>
      <w:bookmarkStart w:id="2947" w:name="_Toc391019306"/>
      <w:bookmarkStart w:id="2948" w:name="_Toc380745766"/>
      <w:bookmarkStart w:id="2949" w:name="_Toc392151067"/>
      <w:bookmarkEnd w:id="2943"/>
      <w:bookmarkEnd w:id="2944"/>
      <w:bookmarkEnd w:id="2945"/>
      <w:bookmarkEnd w:id="2946"/>
      <w:bookmarkEnd w:id="2947"/>
      <w:r>
        <w:t>Specifick</w:t>
      </w:r>
      <w:r w:rsidR="008E63E9">
        <w:t>é</w:t>
      </w:r>
      <w:r>
        <w:t xml:space="preserve"> cíl</w:t>
      </w:r>
      <w:r w:rsidR="008E63E9">
        <w:t>e</w:t>
      </w:r>
      <w:r>
        <w:t xml:space="preserve"> a očekávané výsledky</w:t>
      </w:r>
      <w:bookmarkEnd w:id="2948"/>
      <w:bookmarkEnd w:id="2949"/>
    </w:p>
    <w:p w:rsidR="00F37B40" w:rsidRDefault="00F37B40" w:rsidP="00D93A44">
      <w:pPr>
        <w:pStyle w:val="Nadpis6"/>
      </w:pPr>
      <w:bookmarkStart w:id="2950" w:name="_Toc380745767"/>
      <w:r>
        <w:t>Specifický cíl 1</w:t>
      </w:r>
      <w:r w:rsidR="00061AE0">
        <w:t>:</w:t>
      </w:r>
      <w:r w:rsidR="00922F40">
        <w:t xml:space="preserve"> </w:t>
      </w:r>
      <w:r w:rsidR="001A0620">
        <w:t xml:space="preserve">Zajistit </w:t>
      </w:r>
      <w:r w:rsidR="008E63E9" w:rsidRPr="00D93A44">
        <w:t>řádné</w:t>
      </w:r>
      <w:r w:rsidR="008E63E9">
        <w:t xml:space="preserve"> a efektivní řízení a admi</w:t>
      </w:r>
      <w:r w:rsidR="000B7267">
        <w:t>nistraci</w:t>
      </w:r>
      <w:bookmarkEnd w:id="2950"/>
    </w:p>
    <w:p w:rsidR="001541DC" w:rsidRDefault="001541DC" w:rsidP="008E63E9">
      <w:pPr>
        <w:pStyle w:val="Standardntext"/>
        <w:rPr>
          <w:rFonts w:asciiTheme="majorHAnsi" w:hAnsiTheme="majorHAnsi" w:cs="Times New Roman"/>
          <w:bCs/>
          <w:sz w:val="22"/>
          <w:szCs w:val="22"/>
        </w:rPr>
      </w:pPr>
      <w:r>
        <w:rPr>
          <w:rFonts w:asciiTheme="majorHAnsi" w:hAnsiTheme="majorHAnsi" w:cs="Times New Roman"/>
          <w:bCs/>
          <w:sz w:val="22"/>
          <w:szCs w:val="22"/>
        </w:rPr>
        <w:t>SC</w:t>
      </w:r>
      <w:r w:rsidR="001A3519">
        <w:rPr>
          <w:rFonts w:asciiTheme="majorHAnsi" w:hAnsiTheme="majorHAnsi" w:cs="Times New Roman"/>
          <w:bCs/>
          <w:sz w:val="22"/>
          <w:szCs w:val="22"/>
        </w:rPr>
        <w:t xml:space="preserve"> jsou stanovené za účelem poskytování podpůrných aktivit nezbytných pro účinnou implementaci OP ŽP 2014-2020 vedoucí k řádnému</w:t>
      </w:r>
      <w:r>
        <w:rPr>
          <w:rFonts w:asciiTheme="majorHAnsi" w:hAnsiTheme="majorHAnsi" w:cs="Times New Roman"/>
          <w:bCs/>
          <w:sz w:val="22"/>
          <w:szCs w:val="22"/>
        </w:rPr>
        <w:t xml:space="preserve"> čerpání finanční alokace,</w:t>
      </w:r>
      <w:r w:rsidR="000A38C9">
        <w:rPr>
          <w:rFonts w:asciiTheme="majorHAnsi" w:hAnsiTheme="majorHAnsi" w:cs="Times New Roman"/>
          <w:bCs/>
          <w:sz w:val="22"/>
          <w:szCs w:val="22"/>
        </w:rPr>
        <w:t xml:space="preserve"> </w:t>
      </w:r>
      <w:r w:rsidR="001A3519">
        <w:rPr>
          <w:rFonts w:asciiTheme="majorHAnsi" w:hAnsiTheme="majorHAnsi" w:cs="Times New Roman"/>
          <w:bCs/>
          <w:sz w:val="22"/>
          <w:szCs w:val="22"/>
        </w:rPr>
        <w:t xml:space="preserve">a jsou navrženy tak, aby odrážely zkušenosti z programového období 2007-2013. </w:t>
      </w:r>
    </w:p>
    <w:p w:rsidR="00674BC9" w:rsidRDefault="001A3519">
      <w:pPr>
        <w:pStyle w:val="Standardntext"/>
        <w:rPr>
          <w:rFonts w:eastAsiaTheme="majorEastAsia"/>
        </w:rPr>
      </w:pPr>
      <w:r w:rsidRPr="00CD47C8">
        <w:rPr>
          <w:rFonts w:asciiTheme="majorHAnsi" w:hAnsiTheme="majorHAnsi" w:cs="Times New Roman"/>
          <w:bCs/>
          <w:sz w:val="22"/>
          <w:szCs w:val="22"/>
        </w:rPr>
        <w:t xml:space="preserve">Hlavním cílem </w:t>
      </w:r>
      <w:r>
        <w:rPr>
          <w:rFonts w:asciiTheme="majorHAnsi" w:hAnsiTheme="majorHAnsi" w:cs="Times New Roman"/>
          <w:bCs/>
          <w:sz w:val="22"/>
          <w:szCs w:val="22"/>
        </w:rPr>
        <w:t xml:space="preserve">SC1 </w:t>
      </w:r>
      <w:r w:rsidRPr="00CD47C8">
        <w:rPr>
          <w:rFonts w:asciiTheme="majorHAnsi" w:hAnsiTheme="majorHAnsi" w:cs="Times New Roman"/>
          <w:bCs/>
          <w:sz w:val="22"/>
          <w:szCs w:val="22"/>
        </w:rPr>
        <w:t xml:space="preserve">je zajištění </w:t>
      </w:r>
      <w:r w:rsidR="001541DC">
        <w:rPr>
          <w:rFonts w:asciiTheme="majorHAnsi" w:hAnsiTheme="majorHAnsi" w:cs="Times New Roman"/>
          <w:bCs/>
          <w:sz w:val="22"/>
          <w:szCs w:val="22"/>
        </w:rPr>
        <w:t xml:space="preserve">efektivního řízení, </w:t>
      </w:r>
      <w:r w:rsidRPr="00CD47C8">
        <w:rPr>
          <w:rFonts w:asciiTheme="majorHAnsi" w:hAnsiTheme="majorHAnsi" w:cs="Times New Roman"/>
          <w:bCs/>
          <w:sz w:val="22"/>
          <w:szCs w:val="22"/>
        </w:rPr>
        <w:t xml:space="preserve">administrace a monitorování </w:t>
      </w:r>
      <w:r w:rsidR="001541DC">
        <w:rPr>
          <w:rFonts w:asciiTheme="majorHAnsi" w:hAnsiTheme="majorHAnsi" w:cs="Times New Roman"/>
          <w:bCs/>
          <w:sz w:val="22"/>
          <w:szCs w:val="22"/>
        </w:rPr>
        <w:t>programu</w:t>
      </w:r>
      <w:r>
        <w:rPr>
          <w:rFonts w:asciiTheme="majorHAnsi" w:hAnsiTheme="majorHAnsi" w:cs="Times New Roman"/>
          <w:bCs/>
          <w:sz w:val="22"/>
          <w:szCs w:val="22"/>
        </w:rPr>
        <w:t xml:space="preserve">. </w:t>
      </w:r>
      <w:r w:rsidR="0033290F" w:rsidRPr="0033290F">
        <w:rPr>
          <w:rFonts w:asciiTheme="majorHAnsi" w:hAnsiTheme="majorHAnsi" w:cs="Times New Roman"/>
          <w:bCs/>
          <w:sz w:val="22"/>
          <w:szCs w:val="22"/>
        </w:rPr>
        <w:t>Předpoklad</w:t>
      </w:r>
      <w:r w:rsidR="000A38C9" w:rsidRPr="000A38C9">
        <w:rPr>
          <w:rFonts w:asciiTheme="majorHAnsi" w:hAnsiTheme="majorHAnsi" w:cs="Times New Roman"/>
          <w:bCs/>
          <w:sz w:val="22"/>
          <w:szCs w:val="22"/>
        </w:rPr>
        <w:t>em</w:t>
      </w:r>
      <w:r w:rsidR="000A38C9">
        <w:rPr>
          <w:rFonts w:asciiTheme="majorHAnsi" w:hAnsiTheme="majorHAnsi" w:cs="Times New Roman"/>
          <w:bCs/>
          <w:sz w:val="22"/>
          <w:szCs w:val="22"/>
        </w:rPr>
        <w:t xml:space="preserve"> </w:t>
      </w:r>
      <w:r w:rsidR="0033290F" w:rsidRPr="0033290F">
        <w:rPr>
          <w:rFonts w:asciiTheme="majorHAnsi" w:hAnsiTheme="majorHAnsi" w:cs="Times New Roman"/>
          <w:bCs/>
          <w:sz w:val="22"/>
          <w:szCs w:val="22"/>
        </w:rPr>
        <w:t>jsou především kvalitní lidské zdroje, manuály a metodiky pro postupy v</w:t>
      </w:r>
      <w:r w:rsidR="00A81F72">
        <w:rPr>
          <w:rFonts w:asciiTheme="majorHAnsi" w:hAnsiTheme="majorHAnsi" w:cs="Times New Roman"/>
          <w:bCs/>
          <w:sz w:val="22"/>
          <w:szCs w:val="22"/>
        </w:rPr>
        <w:t> </w:t>
      </w:r>
      <w:r w:rsidR="0033290F" w:rsidRPr="0033290F">
        <w:rPr>
          <w:rFonts w:asciiTheme="majorHAnsi" w:hAnsiTheme="majorHAnsi" w:cs="Times New Roman"/>
          <w:bCs/>
          <w:sz w:val="22"/>
          <w:szCs w:val="22"/>
        </w:rPr>
        <w:t xml:space="preserve">implementaci a monitorování, </w:t>
      </w:r>
      <w:r w:rsidR="000A38C9">
        <w:rPr>
          <w:rFonts w:asciiTheme="majorHAnsi" w:hAnsiTheme="majorHAnsi" w:cs="Times New Roman"/>
          <w:bCs/>
          <w:sz w:val="22"/>
          <w:szCs w:val="22"/>
        </w:rPr>
        <w:t xml:space="preserve">analýzy, evaluace, </w:t>
      </w:r>
      <w:r w:rsidR="0033290F" w:rsidRPr="0033290F">
        <w:rPr>
          <w:rFonts w:asciiTheme="majorHAnsi" w:hAnsiTheme="majorHAnsi" w:cs="Times New Roman"/>
          <w:bCs/>
          <w:sz w:val="22"/>
          <w:szCs w:val="22"/>
        </w:rPr>
        <w:t>audit</w:t>
      </w:r>
      <w:r w:rsidR="000A38C9">
        <w:rPr>
          <w:rFonts w:asciiTheme="majorHAnsi" w:hAnsiTheme="majorHAnsi" w:cs="Times New Roman"/>
          <w:bCs/>
          <w:sz w:val="22"/>
          <w:szCs w:val="22"/>
        </w:rPr>
        <w:t>y</w:t>
      </w:r>
      <w:r w:rsidR="001541DC">
        <w:rPr>
          <w:rFonts w:asciiTheme="majorHAnsi" w:hAnsiTheme="majorHAnsi" w:cs="Times New Roman"/>
          <w:bCs/>
          <w:sz w:val="22"/>
          <w:szCs w:val="22"/>
        </w:rPr>
        <w:t xml:space="preserve"> a</w:t>
      </w:r>
      <w:r w:rsidR="0033290F" w:rsidRPr="0033290F">
        <w:rPr>
          <w:rFonts w:asciiTheme="majorHAnsi" w:hAnsiTheme="majorHAnsi" w:cs="Times New Roman"/>
          <w:bCs/>
          <w:sz w:val="22"/>
          <w:szCs w:val="22"/>
        </w:rPr>
        <w:t xml:space="preserve"> </w:t>
      </w:r>
      <w:r w:rsidR="001541DC">
        <w:rPr>
          <w:rFonts w:asciiTheme="majorHAnsi" w:hAnsiTheme="majorHAnsi" w:cs="Times New Roman"/>
          <w:bCs/>
          <w:sz w:val="22"/>
          <w:szCs w:val="22"/>
        </w:rPr>
        <w:t xml:space="preserve">informační </w:t>
      </w:r>
      <w:r w:rsidR="0033290F" w:rsidRPr="0033290F">
        <w:rPr>
          <w:rFonts w:asciiTheme="majorHAnsi" w:hAnsiTheme="majorHAnsi" w:cs="Times New Roman"/>
          <w:bCs/>
          <w:sz w:val="22"/>
          <w:szCs w:val="22"/>
        </w:rPr>
        <w:t xml:space="preserve">systémy. </w:t>
      </w:r>
    </w:p>
    <w:p w:rsidR="00A06D69" w:rsidRPr="00B1394B" w:rsidRDefault="00F37B40" w:rsidP="00B1394B">
      <w:pPr>
        <w:rPr>
          <w:b/>
          <w:i/>
          <w:color w:val="76923C" w:themeColor="accent3" w:themeShade="BF"/>
          <w:sz w:val="24"/>
          <w:szCs w:val="24"/>
        </w:rPr>
      </w:pPr>
      <w:bookmarkStart w:id="2951" w:name="_Toc384907506"/>
      <w:r w:rsidRPr="00B1394B">
        <w:rPr>
          <w:b/>
          <w:i/>
          <w:color w:val="76923C" w:themeColor="accent3" w:themeShade="BF"/>
          <w:sz w:val="24"/>
          <w:szCs w:val="24"/>
        </w:rPr>
        <w:t>Očekávané výsledky s podporou EU</w:t>
      </w:r>
      <w:bookmarkEnd w:id="2951"/>
      <w:r w:rsidRPr="00B1394B">
        <w:rPr>
          <w:b/>
          <w:i/>
          <w:color w:val="76923C" w:themeColor="accent3" w:themeShade="BF"/>
          <w:sz w:val="24"/>
          <w:szCs w:val="24"/>
        </w:rPr>
        <w:tab/>
      </w:r>
    </w:p>
    <w:p w:rsidR="00AA4FC7" w:rsidRDefault="00F37B40" w:rsidP="00B66FDE">
      <w:r>
        <w:t>Předchozí období především ukázalo nezralost přípravy implementace OP</w:t>
      </w:r>
      <w:r w:rsidR="00E16955">
        <w:t xml:space="preserve"> </w:t>
      </w:r>
      <w:r>
        <w:t>ŽP 2007–2013</w:t>
      </w:r>
      <w:r w:rsidR="00B95713">
        <w:t xml:space="preserve"> a </w:t>
      </w:r>
      <w:r>
        <w:t xml:space="preserve">jeho neschopnost efektivně využít zdrojů z ESIF. </w:t>
      </w:r>
      <w:r w:rsidR="00922C83">
        <w:t>Z analýzy MŽP „Střednědobé hodnocení OP ŽP“ (srpen 2012), z Analýzy administrativní náročnosti implementace OP ŽP – Procesně personální audit (duben 2013) a z katalogu rizik a karty rizik odboru fondů EU vyplynulo, že n</w:t>
      </w:r>
      <w:r>
        <w:t>ejvýraznějšími příčinami byly především samotné opoždění spuštění realizace OP</w:t>
      </w:r>
      <w:r w:rsidR="00E16955">
        <w:t xml:space="preserve"> </w:t>
      </w:r>
      <w:r w:rsidR="00A1404B">
        <w:t>ŽP 2007</w:t>
      </w:r>
      <w:r w:rsidR="00A1404B">
        <w:noBreakHyphen/>
      </w:r>
      <w:r>
        <w:t>2013 s vlivem na absorpční kapacitu projektů;</w:t>
      </w:r>
      <w:r w:rsidR="000645E0">
        <w:t xml:space="preserve"> neoptimálně rozložené čerpání,</w:t>
      </w:r>
      <w:r>
        <w:t xml:space="preserve"> nedostatečná kvalifikovaná koordinace a řízení na straně subjektů implementační struktury způsobená např. velkou fluktuací zaměstnanců; nedostačující monitorovací systém; komplikované často nejednotné nastavení pravidel</w:t>
      </w:r>
      <w:r w:rsidR="00D635D7">
        <w:t xml:space="preserve"> dané nejednotným metodickým prostředím</w:t>
      </w:r>
      <w:r w:rsidR="00E61A00">
        <w:t>.</w:t>
      </w:r>
    </w:p>
    <w:p w:rsidR="00674BC9" w:rsidRDefault="00F37B40">
      <w:pPr>
        <w:spacing w:after="0" w:afterAutospacing="0"/>
      </w:pPr>
      <w:bookmarkStart w:id="2952" w:name="_Toc384907507"/>
      <w:r w:rsidRPr="007B000E">
        <w:t>Díky</w:t>
      </w:r>
      <w:r>
        <w:t xml:space="preserve"> podpoře plynoucí z prioritní osy 6 se předpokládá naplnění těchto výsledků:</w:t>
      </w:r>
      <w:bookmarkEnd w:id="2952"/>
    </w:p>
    <w:p w:rsidR="00674BC9" w:rsidRDefault="00A81F72" w:rsidP="00495FC1">
      <w:pPr>
        <w:pStyle w:val="Odstavecseseznamem"/>
        <w:numPr>
          <w:ilvl w:val="0"/>
          <w:numId w:val="42"/>
        </w:numPr>
        <w:spacing w:after="0" w:afterAutospacing="0"/>
      </w:pPr>
      <w:r>
        <w:t>o</w:t>
      </w:r>
      <w:r w:rsidR="00F37B40" w:rsidRPr="00BD12AB">
        <w:t>ptimální nastavení administrativní kapacity zajistí</w:t>
      </w:r>
      <w:r w:rsidR="009133A8" w:rsidRPr="00BD12AB">
        <w:t xml:space="preserve"> efektivní řízení programu (tj. </w:t>
      </w:r>
      <w:r w:rsidR="00F37B40" w:rsidRPr="00BD12AB">
        <w:t>zaměstnanci implementační struktury, systém hodnocení projektů) a povede</w:t>
      </w:r>
      <w:r w:rsidR="009133A8" w:rsidRPr="00BD12AB">
        <w:t xml:space="preserve"> ke </w:t>
      </w:r>
      <w:r w:rsidR="00F37B40" w:rsidRPr="00BD12AB">
        <w:t>snížení administrativní zátěže pro subjekty implementační struktury. Zároveň tak nedojde k problémům při uzavírání a vyhodno</w:t>
      </w:r>
      <w:r w:rsidR="009133A8" w:rsidRPr="00BD12AB">
        <w:t>cení období či ke zpožděním při </w:t>
      </w:r>
      <w:r w:rsidR="00F37B40" w:rsidRPr="00BD12AB">
        <w:t>nastavování nového programového období</w:t>
      </w:r>
      <w:r>
        <w:t>,</w:t>
      </w:r>
    </w:p>
    <w:p w:rsidR="006F7D80" w:rsidRPr="00BD12AB" w:rsidRDefault="00A81F72" w:rsidP="00495FC1">
      <w:pPr>
        <w:pStyle w:val="Odstavecseseznamem"/>
        <w:numPr>
          <w:ilvl w:val="0"/>
          <w:numId w:val="42"/>
        </w:numPr>
      </w:pPr>
      <w:r>
        <w:lastRenderedPageBreak/>
        <w:t>o</w:t>
      </w:r>
      <w:r w:rsidR="00F37B40" w:rsidRPr="00BD12AB">
        <w:t>ptimální zajištění pracovních podmínek (např. kvalitnější řízení lidských zdrojů, vyšší úroveň vzdělávání a školení) povede ke snížení fluktuace zaměstnanců implementační struktury a tím k posílení administrativní a kompetentní kapacity zaměstnanců</w:t>
      </w:r>
      <w:r>
        <w:t>,</w:t>
      </w:r>
      <w:r w:rsidR="00F625C4">
        <w:t xml:space="preserve"> </w:t>
      </w:r>
      <w:r>
        <w:t>z</w:t>
      </w:r>
      <w:r w:rsidR="00F37B40" w:rsidRPr="00BD12AB">
        <w:t>pracování jasných, přehledných, jednotných a ucelených metodik k</w:t>
      </w:r>
      <w:r w:rsidR="0075012E">
        <w:t xml:space="preserve"> řízení a administraci programu v </w:t>
      </w:r>
      <w:r w:rsidR="00F37B40" w:rsidRPr="00BD12AB">
        <w:t xml:space="preserve">novém programovém období </w:t>
      </w:r>
      <w:r w:rsidR="0075012E">
        <w:t xml:space="preserve">vycházejících z pravidel jednotného metodického prostředí na národní úrovni </w:t>
      </w:r>
      <w:r w:rsidR="00F37B40" w:rsidRPr="00BD12AB">
        <w:t xml:space="preserve">zajistí eliminaci častých změn, různých výkladů a z nich plynoucích </w:t>
      </w:r>
      <w:proofErr w:type="gramStart"/>
      <w:r w:rsidR="00F37B40" w:rsidRPr="00BD12AB">
        <w:t>pochybení</w:t>
      </w:r>
      <w:r>
        <w:t>,a</w:t>
      </w:r>
      <w:r w:rsidR="00F37B40" w:rsidRPr="00BD12AB">
        <w:t>ktivní</w:t>
      </w:r>
      <w:proofErr w:type="gramEnd"/>
      <w:r w:rsidR="00F37B40" w:rsidRPr="00BD12AB">
        <w:t xml:space="preserve"> činnost a jednání Monitorovacího výboru OP</w:t>
      </w:r>
      <w:r w:rsidR="00E16955" w:rsidRPr="00BD12AB">
        <w:t xml:space="preserve"> </w:t>
      </w:r>
      <w:r w:rsidR="00F37B40" w:rsidRPr="00BD12AB">
        <w:t>ŽP, pracovních skupin vede k efektivní výměně informací a jejich využití a ke kohezi přístupů pro řádnou administraci programu a zachování dynamiky programu</w:t>
      </w:r>
      <w:r>
        <w:t>,</w:t>
      </w:r>
    </w:p>
    <w:p w:rsidR="006F7D80" w:rsidRPr="00BD12AB" w:rsidRDefault="00A81F72" w:rsidP="00495FC1">
      <w:pPr>
        <w:pStyle w:val="Odstavecseseznamem"/>
        <w:numPr>
          <w:ilvl w:val="0"/>
          <w:numId w:val="42"/>
        </w:numPr>
      </w:pPr>
      <w:r>
        <w:t>e</w:t>
      </w:r>
      <w:r w:rsidR="00F37B40" w:rsidRPr="00BD12AB">
        <w:t>fektivní nastavení kontrolního systému (audity, kontroly prováděné přímo na místě činnosti, vnitřní kontrolní systém, kontrola zadávání veřejných zakázek</w:t>
      </w:r>
      <w:r w:rsidR="0070796B">
        <w:t xml:space="preserve"> a zakázek, které nejsou veřejnou zakázkou ve smyslu paragrafu 7 zákona č. 137/2006 Sb., o veřejných zakázkách, ve znění pozdějších předpisů, a které jsou zároveň spolufinancovány</w:t>
      </w:r>
      <w:r w:rsidR="00270217">
        <w:t xml:space="preserve"> </w:t>
      </w:r>
      <w:r w:rsidR="0070796B">
        <w:t>ze</w:t>
      </w:r>
      <w:r w:rsidR="000A639D">
        <w:t> </w:t>
      </w:r>
      <w:r w:rsidR="0070796B">
        <w:t>zdrojů EU</w:t>
      </w:r>
      <w:r w:rsidR="00F37B40" w:rsidRPr="00BD12AB">
        <w:t xml:space="preserve">) zamezí </w:t>
      </w:r>
      <w:r w:rsidR="004A2788">
        <w:t xml:space="preserve">podvodům a </w:t>
      </w:r>
      <w:r w:rsidR="00F37B40" w:rsidRPr="00BD12AB">
        <w:t>korupci a předchází potenciálnímu zastavení čerpání finančních prostředků z ESIF v případě vážného pochybení</w:t>
      </w:r>
      <w:r w:rsidR="006E5BD6">
        <w:t>.</w:t>
      </w:r>
    </w:p>
    <w:p w:rsidR="00674BC9" w:rsidRDefault="00674BC9">
      <w:pPr>
        <w:pStyle w:val="Odstavecseseznamem"/>
      </w:pPr>
    </w:p>
    <w:p w:rsidR="005B19C6" w:rsidRDefault="00486ED3" w:rsidP="00D93A44">
      <w:pPr>
        <w:pStyle w:val="Nadpis6"/>
      </w:pPr>
      <w:r>
        <w:t xml:space="preserve">Specifický cíl 2: Zajistit informovanost, </w:t>
      </w:r>
      <w:r w:rsidRPr="00D93A44">
        <w:t>publicitu</w:t>
      </w:r>
      <w:r>
        <w:t xml:space="preserve"> a absorpční kapacitu</w:t>
      </w:r>
      <w:r w:rsidR="000B7267">
        <w:t xml:space="preserve"> </w:t>
      </w:r>
    </w:p>
    <w:p w:rsidR="0075012E" w:rsidRDefault="00E61A00" w:rsidP="0026194C">
      <w:r>
        <w:t xml:space="preserve">Ze současného programového období 2007-2013 </w:t>
      </w:r>
      <w:r w:rsidR="00922C83">
        <w:t xml:space="preserve">a z výše uvedených analýz </w:t>
      </w:r>
      <w:r>
        <w:t xml:space="preserve">vyplynuly slabé stránky </w:t>
      </w:r>
      <w:r w:rsidR="00922C83">
        <w:t xml:space="preserve">také </w:t>
      </w:r>
      <w:r>
        <w:t xml:space="preserve">ve vztahu k publicitě </w:t>
      </w:r>
      <w:r w:rsidR="0075012E">
        <w:t>a</w:t>
      </w:r>
      <w:r w:rsidR="00A81F72">
        <w:t> </w:t>
      </w:r>
      <w:r w:rsidR="0075012E">
        <w:t xml:space="preserve">podpoře absorpční kapacity </w:t>
      </w:r>
      <w:r>
        <w:t xml:space="preserve">OP ŽP </w:t>
      </w:r>
      <w:r w:rsidR="00BA2E16">
        <w:t xml:space="preserve">2007-2013. Patří mezi </w:t>
      </w:r>
      <w:r>
        <w:t>ně před</w:t>
      </w:r>
      <w:r w:rsidR="00BA2E16">
        <w:t>e</w:t>
      </w:r>
      <w:r>
        <w:t xml:space="preserve">vším technická náročnost realizace projektů nepřívětivá k žadatelům a příjemcům a spíše negativní povědomí veřejnosti o fondech EU. </w:t>
      </w:r>
      <w:r w:rsidR="00BA2E16">
        <w:t xml:space="preserve">Z tohoto důvodu je cílem </w:t>
      </w:r>
      <w:r w:rsidR="00C12ED2" w:rsidRPr="004646E9">
        <w:t>zajistit včasné, kompl</w:t>
      </w:r>
      <w:r w:rsidR="00C12ED2">
        <w:t xml:space="preserve">exní a přesné informace o </w:t>
      </w:r>
      <w:proofErr w:type="gramStart"/>
      <w:r w:rsidR="00C12ED2">
        <w:t>OP</w:t>
      </w:r>
      <w:proofErr w:type="gramEnd"/>
      <w:r w:rsidR="00C12ED2">
        <w:t xml:space="preserve"> ŽP</w:t>
      </w:r>
      <w:r w:rsidR="00C12ED2" w:rsidRPr="004646E9">
        <w:t xml:space="preserve"> a</w:t>
      </w:r>
      <w:r w:rsidR="00A81F72">
        <w:t> </w:t>
      </w:r>
      <w:r w:rsidR="00C12ED2" w:rsidRPr="004646E9">
        <w:t>dostatečný počet projektových žádostí a realizovaných projektů, které v souladu s národní Společnou komunikační strategií pro programové období 2014-2020 přispějí ke zlepšen</w:t>
      </w:r>
      <w:r w:rsidR="00BA2E16">
        <w:t>í povědomí široké veřejnosti o ESIF</w:t>
      </w:r>
      <w:r w:rsidR="00C12ED2" w:rsidRPr="004646E9">
        <w:t>. Společná komunikační strategie byla vytvořena na úrovni MMR-NOK na základě zkušeností z programového období 20</w:t>
      </w:r>
      <w:r w:rsidR="00C12ED2">
        <w:t>07</w:t>
      </w:r>
      <w:r w:rsidR="00C12ED2" w:rsidRPr="004646E9">
        <w:t>-20</w:t>
      </w:r>
      <w:r w:rsidR="00C12ED2">
        <w:t>13</w:t>
      </w:r>
      <w:r w:rsidR="00A1404B">
        <w:t>. Z </w:t>
      </w:r>
      <w:r w:rsidR="00C12ED2" w:rsidRPr="004646E9">
        <w:t>pr</w:t>
      </w:r>
      <w:r w:rsidR="00C12ED2">
        <w:t>ostředků technické pomoci OP ŽP</w:t>
      </w:r>
      <w:r w:rsidR="00C12ED2" w:rsidRPr="004646E9">
        <w:t xml:space="preserve"> budou vytvářeny a realizován</w:t>
      </w:r>
      <w:r w:rsidR="00C12ED2">
        <w:t>y roční komunikační plány OP ŽP</w:t>
      </w:r>
      <w:r w:rsidR="00C12ED2" w:rsidRPr="004646E9">
        <w:t>, které budou na</w:t>
      </w:r>
      <w:r w:rsidR="00A81F72">
        <w:t> </w:t>
      </w:r>
      <w:r w:rsidR="00C12ED2" w:rsidRPr="0026194C">
        <w:rPr>
          <w:szCs w:val="24"/>
        </w:rPr>
        <w:t xml:space="preserve">Společnou komunikační </w:t>
      </w:r>
      <w:r w:rsidR="00C12ED2" w:rsidRPr="004646E9">
        <w:t>strategii navazovat.</w:t>
      </w:r>
    </w:p>
    <w:p w:rsidR="00922C83" w:rsidRDefault="00922C83" w:rsidP="00922C83">
      <w:r>
        <w:t xml:space="preserve">Žadatelům a příjemcům bude poskytnuta metodická podpora ve formě </w:t>
      </w:r>
      <w:r w:rsidRPr="00B33CB3">
        <w:t>školení</w:t>
      </w:r>
      <w:r>
        <w:t>, seminářů metodických podkladů a následné metodické podpory, v oblastech které se váží přímo k</w:t>
      </w:r>
      <w:r w:rsidR="00A1404B">
        <w:t> </w:t>
      </w:r>
      <w:proofErr w:type="gramStart"/>
      <w:r>
        <w:t>OP</w:t>
      </w:r>
      <w:proofErr w:type="gramEnd"/>
      <w:r w:rsidR="00A1404B">
        <w:t xml:space="preserve"> </w:t>
      </w:r>
      <w:r>
        <w:t>ŽP 2014-2020, a to zejména k problematice</w:t>
      </w:r>
      <w:r w:rsidRPr="00B33CB3">
        <w:t xml:space="preserve"> veřejných zakáz</w:t>
      </w:r>
      <w:r>
        <w:t>e</w:t>
      </w:r>
      <w:r w:rsidRPr="00B33CB3">
        <w:t>k</w:t>
      </w:r>
      <w:r>
        <w:t xml:space="preserve">, případně veřejné podpory. Tyto semináře pomohou žadatelům a příjemcům se zorientovat v dané problematice. Na obecné úrovni bude cílem podporovat žadatele v procesu přípravy kvalitního projektu a následně příjemci pomoci úspěšně realizovat projekt.  </w:t>
      </w:r>
    </w:p>
    <w:p w:rsidR="00922C83" w:rsidRDefault="00922C83">
      <w:r w:rsidRPr="004646E9">
        <w:t>Kromě externí komun</w:t>
      </w:r>
      <w:r>
        <w:t>ikace směrem k žadatelům, příjemcům a dílčím cílovým skupinám OP</w:t>
      </w:r>
      <w:r w:rsidR="00A1404B">
        <w:t xml:space="preserve"> </w:t>
      </w:r>
      <w:r>
        <w:t>ŽP 2014-2020 se na základě zkušenosti z programového období 2007-2013</w:t>
      </w:r>
      <w:r w:rsidRPr="004646E9">
        <w:t xml:space="preserve"> jeví důležitá i podpora podmínek pro zlepšení kvality interní komunikace</w:t>
      </w:r>
      <w:r>
        <w:t xml:space="preserve"> (zejména mezi Řídicím orgánem a Zprostředkujícími subjekty)</w:t>
      </w:r>
      <w:r w:rsidRPr="004646E9">
        <w:t>. Interní komunikace má přímý dopad na kvalitu komunikace externí, která se odráží zejména v informační a</w:t>
      </w:r>
      <w:r>
        <w:t> </w:t>
      </w:r>
      <w:r w:rsidRPr="004646E9">
        <w:t>konzultační pomoci žadatelům a příjemcům.</w:t>
      </w:r>
    </w:p>
    <w:p w:rsidR="00F70BA1" w:rsidRDefault="00F70BA1"/>
    <w:p w:rsidR="00674BC9" w:rsidRDefault="000645E0">
      <w:pPr>
        <w:spacing w:after="0" w:afterAutospacing="0"/>
        <w:rPr>
          <w:rFonts w:eastAsia="MS Minngs" w:cs="Calibri"/>
        </w:rPr>
      </w:pPr>
      <w:r w:rsidRPr="00B1394B">
        <w:lastRenderedPageBreak/>
        <w:t>Očekávané výsledky s podporou EU</w:t>
      </w:r>
      <w:r w:rsidR="00A81F72">
        <w:t>:</w:t>
      </w:r>
    </w:p>
    <w:p w:rsidR="00674BC9" w:rsidRDefault="00A81F72" w:rsidP="00495FC1">
      <w:pPr>
        <w:pStyle w:val="Odstavecseseznamem"/>
        <w:numPr>
          <w:ilvl w:val="0"/>
          <w:numId w:val="108"/>
        </w:numPr>
        <w:spacing w:after="0" w:afterAutospacing="0"/>
      </w:pPr>
      <w:r>
        <w:t>k</w:t>
      </w:r>
      <w:r w:rsidR="00ED04CD">
        <w:t>valitní publicita a propagace OP ŽP povede k v</w:t>
      </w:r>
      <w:r w:rsidR="000B7267" w:rsidRPr="00BD12AB">
        <w:t>yšší mí</w:t>
      </w:r>
      <w:r w:rsidR="00ED04CD">
        <w:t>ře</w:t>
      </w:r>
      <w:r w:rsidR="00A1404B">
        <w:t xml:space="preserve"> povědomí široké veřejnosti o </w:t>
      </w:r>
      <w:r w:rsidR="000B7267" w:rsidRPr="00BD12AB">
        <w:t xml:space="preserve">programu </w:t>
      </w:r>
      <w:r w:rsidR="00ED04CD">
        <w:t xml:space="preserve">a </w:t>
      </w:r>
      <w:r w:rsidR="000B7267" w:rsidRPr="00BD12AB">
        <w:t xml:space="preserve">v konečném </w:t>
      </w:r>
      <w:r w:rsidR="004A580F">
        <w:t>dů</w:t>
      </w:r>
      <w:r w:rsidR="000B7267" w:rsidRPr="00BD12AB">
        <w:t>sledku k navýšení počtu žádostí o</w:t>
      </w:r>
      <w:r>
        <w:t> </w:t>
      </w:r>
      <w:r w:rsidR="000B7267" w:rsidRPr="00BD12AB">
        <w:t>dotace k</w:t>
      </w:r>
      <w:r>
        <w:t> </w:t>
      </w:r>
      <w:r w:rsidR="000B7267" w:rsidRPr="00BD12AB">
        <w:t>projektům</w:t>
      </w:r>
      <w:r>
        <w:t>,</w:t>
      </w:r>
    </w:p>
    <w:p w:rsidR="000B7267" w:rsidRPr="00BD12AB" w:rsidRDefault="00A81F72" w:rsidP="00495FC1">
      <w:pPr>
        <w:pStyle w:val="Odstavecseseznamem"/>
        <w:numPr>
          <w:ilvl w:val="0"/>
          <w:numId w:val="42"/>
        </w:numPr>
      </w:pPr>
      <w:r>
        <w:t>z</w:t>
      </w:r>
      <w:r w:rsidR="000B7267" w:rsidRPr="00BD12AB">
        <w:t>pracování jasných, přehledných, jednotných a ucelených manuálů, příruček a dalších informačních materiálů a organizace školení či seminářů pro veřejnost zajistí eliminaci častých změn, různých výkladů a z nich plynoucích pochybení</w:t>
      </w:r>
      <w:r>
        <w:t>,</w:t>
      </w:r>
    </w:p>
    <w:p w:rsidR="000B7267" w:rsidRDefault="00A81F72" w:rsidP="00495FC1">
      <w:pPr>
        <w:pStyle w:val="Odstavecseseznamem"/>
        <w:numPr>
          <w:ilvl w:val="0"/>
          <w:numId w:val="42"/>
        </w:numPr>
      </w:pPr>
      <w:r>
        <w:t>p</w:t>
      </w:r>
      <w:r w:rsidR="000B7267" w:rsidRPr="00BD12AB">
        <w:t xml:space="preserve">oskytnutím poradenství žadatelům o podporu při přípravě a </w:t>
      </w:r>
      <w:r w:rsidR="00922C83">
        <w:t xml:space="preserve">příjemcům při </w:t>
      </w:r>
      <w:r w:rsidR="000B7267" w:rsidRPr="00BD12AB">
        <w:t xml:space="preserve">realizaci projektů se posílí absorpční kapacita programu a </w:t>
      </w:r>
      <w:r w:rsidR="00A1404B">
        <w:t>sníží administrativní zátěž pro </w:t>
      </w:r>
      <w:r w:rsidR="000B7267" w:rsidRPr="00BD12AB">
        <w:t>žadatele</w:t>
      </w:r>
      <w:r>
        <w:t>,</w:t>
      </w:r>
    </w:p>
    <w:p w:rsidR="005B19C6" w:rsidRDefault="00A81F72" w:rsidP="00495FC1">
      <w:pPr>
        <w:pStyle w:val="Odstavecseseznamem"/>
        <w:numPr>
          <w:ilvl w:val="0"/>
          <w:numId w:val="42"/>
        </w:numPr>
      </w:pPr>
      <w:r>
        <w:t>p</w:t>
      </w:r>
      <w:r w:rsidR="000B7267" w:rsidRPr="00BD12AB">
        <w:t>ři efektivním využití výsledků evaluačních studií se dosáhne optimálního čerpání finančních prostředků programů a zároveň správného nastavení evaluačních kritérií pro nadcházející období</w:t>
      </w:r>
      <w:r>
        <w:t>.</w:t>
      </w:r>
    </w:p>
    <w:p w:rsidR="00674BC9" w:rsidRDefault="00674BC9">
      <w:pPr>
        <w:pStyle w:val="Odstavecseseznamem"/>
      </w:pPr>
    </w:p>
    <w:p w:rsidR="005B19C6" w:rsidRDefault="007B21C6" w:rsidP="00D93A44">
      <w:pPr>
        <w:pStyle w:val="Nadpis3"/>
      </w:pPr>
      <w:bookmarkStart w:id="2953" w:name="_Toc392151068"/>
      <w:r>
        <w:t>Ukazatele výsledků</w:t>
      </w:r>
      <w:bookmarkEnd w:id="2953"/>
    </w:p>
    <w:p w:rsidR="00F63E61" w:rsidRDefault="00AA0008" w:rsidP="00165854">
      <w:pPr>
        <w:pStyle w:val="Titulek"/>
      </w:pPr>
      <w:bookmarkStart w:id="2954" w:name="_Toc380745768"/>
      <w:r>
        <w:t>Programově specifické ukazatele výsledků</w:t>
      </w:r>
      <w:r w:rsidR="00D93A44">
        <w:t xml:space="preserve"> pro SC 1</w:t>
      </w:r>
      <w:r w:rsidR="006B0084">
        <w:t xml:space="preserve"> </w:t>
      </w:r>
    </w:p>
    <w:tbl>
      <w:tblPr>
        <w:tblStyle w:val="Mkatabulky"/>
        <w:tblW w:w="9180" w:type="dxa"/>
        <w:tblLayout w:type="fixed"/>
        <w:tblLook w:val="04A0" w:firstRow="1" w:lastRow="0" w:firstColumn="1" w:lastColumn="0" w:noHBand="0" w:noVBand="1"/>
      </w:tblPr>
      <w:tblGrid>
        <w:gridCol w:w="959"/>
        <w:gridCol w:w="1701"/>
        <w:gridCol w:w="567"/>
        <w:gridCol w:w="1134"/>
        <w:gridCol w:w="1276"/>
        <w:gridCol w:w="992"/>
        <w:gridCol w:w="850"/>
        <w:gridCol w:w="1701"/>
      </w:tblGrid>
      <w:tr w:rsidR="00F63E61" w:rsidTr="00945705">
        <w:tc>
          <w:tcPr>
            <w:tcW w:w="959"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F63E61" w:rsidRPr="00F63E61" w:rsidRDefault="00F63E61" w:rsidP="00B66FDE">
            <w:pPr>
              <w:rPr>
                <w:rFonts w:asciiTheme="majorHAnsi" w:hAnsiTheme="majorHAnsi"/>
                <w:b/>
                <w:sz w:val="20"/>
                <w:szCs w:val="20"/>
              </w:rPr>
            </w:pPr>
            <w:r w:rsidRPr="00F63E61">
              <w:rPr>
                <w:rFonts w:asciiTheme="majorHAnsi" w:hAnsiTheme="majorHAnsi"/>
                <w:b/>
                <w:sz w:val="20"/>
                <w:szCs w:val="20"/>
              </w:rPr>
              <w:t>ID</w:t>
            </w:r>
          </w:p>
        </w:tc>
        <w:tc>
          <w:tcPr>
            <w:tcW w:w="1701"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F63E61" w:rsidRPr="00F63E61" w:rsidRDefault="007B21C6" w:rsidP="00B66FDE">
            <w:pPr>
              <w:rPr>
                <w:rFonts w:asciiTheme="majorHAnsi" w:hAnsiTheme="majorHAnsi"/>
                <w:b/>
                <w:sz w:val="20"/>
                <w:szCs w:val="20"/>
              </w:rPr>
            </w:pPr>
            <w:r>
              <w:rPr>
                <w:rFonts w:asciiTheme="majorHAnsi" w:hAnsiTheme="majorHAnsi"/>
                <w:b/>
                <w:sz w:val="20"/>
                <w:szCs w:val="20"/>
              </w:rPr>
              <w:t>Ukazatel</w:t>
            </w:r>
          </w:p>
        </w:tc>
        <w:tc>
          <w:tcPr>
            <w:tcW w:w="567"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F63E61" w:rsidRPr="00F63E61" w:rsidRDefault="00F63E61" w:rsidP="00B66FDE">
            <w:pPr>
              <w:rPr>
                <w:rFonts w:asciiTheme="majorHAnsi" w:hAnsiTheme="majorHAnsi"/>
                <w:b/>
                <w:sz w:val="20"/>
                <w:szCs w:val="20"/>
              </w:rPr>
            </w:pPr>
            <w:r w:rsidRPr="00F63E61">
              <w:rPr>
                <w:rFonts w:asciiTheme="majorHAnsi" w:hAnsiTheme="majorHAnsi"/>
                <w:b/>
                <w:sz w:val="20"/>
                <w:szCs w:val="20"/>
              </w:rPr>
              <w:t>Měrná jednotka</w:t>
            </w:r>
          </w:p>
        </w:tc>
        <w:tc>
          <w:tcPr>
            <w:tcW w:w="1134"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F63E61" w:rsidRPr="00F63E61" w:rsidRDefault="00F63E61" w:rsidP="00B66FDE">
            <w:pPr>
              <w:rPr>
                <w:rFonts w:asciiTheme="majorHAnsi" w:hAnsiTheme="majorHAnsi"/>
                <w:b/>
                <w:sz w:val="20"/>
                <w:szCs w:val="20"/>
              </w:rPr>
            </w:pPr>
            <w:r w:rsidRPr="00F63E61">
              <w:rPr>
                <w:rFonts w:asciiTheme="majorHAnsi" w:hAnsiTheme="majorHAnsi"/>
                <w:b/>
                <w:sz w:val="20"/>
                <w:szCs w:val="20"/>
              </w:rPr>
              <w:t>Výchozí hodnota</w:t>
            </w:r>
          </w:p>
        </w:tc>
        <w:tc>
          <w:tcPr>
            <w:tcW w:w="1276"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F63E61" w:rsidRPr="00F63E61" w:rsidRDefault="00F63E61" w:rsidP="00B66FDE">
            <w:pPr>
              <w:rPr>
                <w:rFonts w:asciiTheme="majorHAnsi" w:hAnsiTheme="majorHAnsi"/>
                <w:b/>
                <w:sz w:val="20"/>
                <w:szCs w:val="20"/>
              </w:rPr>
            </w:pPr>
            <w:r w:rsidRPr="00F63E61">
              <w:rPr>
                <w:rFonts w:asciiTheme="majorHAnsi" w:hAnsiTheme="majorHAnsi"/>
                <w:b/>
                <w:sz w:val="20"/>
                <w:szCs w:val="20"/>
              </w:rPr>
              <w:t>Výchozí rok</w:t>
            </w:r>
          </w:p>
        </w:tc>
        <w:tc>
          <w:tcPr>
            <w:tcW w:w="992"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F63E61" w:rsidRPr="00F63E61" w:rsidRDefault="00F63E61" w:rsidP="00B66FDE">
            <w:pPr>
              <w:rPr>
                <w:rFonts w:asciiTheme="majorHAnsi" w:hAnsiTheme="majorHAnsi"/>
                <w:b/>
                <w:sz w:val="20"/>
                <w:szCs w:val="20"/>
              </w:rPr>
            </w:pPr>
            <w:r w:rsidRPr="00F63E61">
              <w:rPr>
                <w:rFonts w:asciiTheme="majorHAnsi" w:hAnsiTheme="majorHAnsi"/>
                <w:b/>
                <w:sz w:val="20"/>
                <w:szCs w:val="20"/>
              </w:rPr>
              <w:t>Cílová hodnota (2023)</w:t>
            </w:r>
          </w:p>
        </w:tc>
        <w:tc>
          <w:tcPr>
            <w:tcW w:w="850"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F63E61" w:rsidRPr="00F63E61" w:rsidRDefault="00F63E61" w:rsidP="00B66FDE">
            <w:pPr>
              <w:rPr>
                <w:rFonts w:asciiTheme="majorHAnsi" w:hAnsiTheme="majorHAnsi"/>
                <w:b/>
                <w:sz w:val="20"/>
                <w:szCs w:val="20"/>
              </w:rPr>
            </w:pPr>
            <w:r w:rsidRPr="00F63E61">
              <w:rPr>
                <w:rFonts w:asciiTheme="majorHAnsi" w:hAnsiTheme="majorHAnsi"/>
                <w:b/>
                <w:sz w:val="20"/>
                <w:szCs w:val="20"/>
              </w:rPr>
              <w:t>Zdroj údajů</w:t>
            </w:r>
          </w:p>
        </w:tc>
        <w:tc>
          <w:tcPr>
            <w:tcW w:w="1701"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F63E61" w:rsidRPr="00F63E61" w:rsidRDefault="007B21C6" w:rsidP="00B66FDE">
            <w:pPr>
              <w:rPr>
                <w:rFonts w:asciiTheme="majorHAnsi" w:hAnsiTheme="majorHAnsi"/>
                <w:b/>
                <w:sz w:val="20"/>
                <w:szCs w:val="20"/>
              </w:rPr>
            </w:pPr>
            <w:r>
              <w:rPr>
                <w:rFonts w:asciiTheme="majorHAnsi" w:hAnsiTheme="majorHAnsi"/>
                <w:b/>
                <w:sz w:val="20"/>
                <w:szCs w:val="20"/>
              </w:rPr>
              <w:t>Četnost podávání zpráv</w:t>
            </w:r>
          </w:p>
        </w:tc>
      </w:tr>
      <w:tr w:rsidR="00F63E61" w:rsidTr="00945705">
        <w:tc>
          <w:tcPr>
            <w:tcW w:w="959" w:type="dxa"/>
            <w:tcBorders>
              <w:top w:val="single" w:sz="4" w:space="0" w:color="auto"/>
              <w:left w:val="single" w:sz="4" w:space="0" w:color="auto"/>
              <w:bottom w:val="single" w:sz="4" w:space="0" w:color="auto"/>
              <w:right w:val="single" w:sz="4" w:space="0" w:color="auto"/>
            </w:tcBorders>
          </w:tcPr>
          <w:p w:rsidR="00F63E61" w:rsidRDefault="00534BBB" w:rsidP="00B66FDE">
            <w:pPr>
              <w:rPr>
                <w:rFonts w:asciiTheme="majorHAnsi" w:hAnsiTheme="majorHAnsi"/>
                <w:sz w:val="20"/>
                <w:szCs w:val="20"/>
              </w:rPr>
            </w:pPr>
            <w:r>
              <w:rPr>
                <w:rFonts w:asciiTheme="majorHAnsi" w:hAnsiTheme="majorHAnsi"/>
                <w:sz w:val="20"/>
                <w:szCs w:val="20"/>
              </w:rPr>
              <w:t>825</w:t>
            </w:r>
            <w:r w:rsidRPr="00534BBB">
              <w:rPr>
                <w:rFonts w:asciiTheme="majorHAnsi" w:hAnsi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hideMark/>
          </w:tcPr>
          <w:p w:rsidR="00F63E61" w:rsidRDefault="00F63E61" w:rsidP="00B66FDE">
            <w:pPr>
              <w:rPr>
                <w:rFonts w:asciiTheme="majorHAnsi" w:hAnsiTheme="majorHAnsi" w:cstheme="minorHAnsi"/>
                <w:bCs/>
                <w:sz w:val="20"/>
                <w:szCs w:val="20"/>
              </w:rPr>
            </w:pPr>
            <w:r>
              <w:rPr>
                <w:rFonts w:asciiTheme="majorHAnsi" w:hAnsiTheme="majorHAnsi" w:cstheme="minorHAnsi"/>
                <w:color w:val="000000"/>
                <w:sz w:val="20"/>
                <w:szCs w:val="20"/>
              </w:rPr>
              <w:t>Míra stabilizace zaměstnanců implementační struktury</w:t>
            </w:r>
          </w:p>
        </w:tc>
        <w:tc>
          <w:tcPr>
            <w:tcW w:w="567" w:type="dxa"/>
            <w:tcBorders>
              <w:top w:val="single" w:sz="4" w:space="0" w:color="auto"/>
              <w:left w:val="single" w:sz="4" w:space="0" w:color="auto"/>
              <w:bottom w:val="single" w:sz="4" w:space="0" w:color="auto"/>
              <w:right w:val="single" w:sz="4" w:space="0" w:color="auto"/>
            </w:tcBorders>
            <w:hideMark/>
          </w:tcPr>
          <w:p w:rsidR="00F63E61" w:rsidRDefault="00F63E61" w:rsidP="00B66FDE">
            <w:pPr>
              <w:rPr>
                <w:rFonts w:asciiTheme="majorHAnsi" w:hAnsiTheme="majorHAnsi" w:cstheme="minorHAnsi"/>
                <w:bCs/>
                <w:sz w:val="20"/>
                <w:szCs w:val="20"/>
              </w:rPr>
            </w:pPr>
            <w:r>
              <w:rPr>
                <w:rFonts w:asciiTheme="majorHAnsi" w:hAnsiTheme="majorHAnsi" w:cstheme="minorHAnsi"/>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3E61" w:rsidRDefault="005827FC" w:rsidP="00B66FDE">
            <w:pPr>
              <w:rPr>
                <w:rFonts w:asciiTheme="majorHAnsi" w:hAnsiTheme="majorHAnsi"/>
                <w:sz w:val="20"/>
                <w:szCs w:val="20"/>
              </w:rPr>
            </w:pPr>
            <w:r>
              <w:rPr>
                <w:rFonts w:asciiTheme="majorHAnsi" w:hAnsiTheme="majorHAnsi"/>
                <w:sz w:val="20"/>
                <w:szCs w:val="20"/>
              </w:rPr>
              <w:t>45</w:t>
            </w:r>
          </w:p>
        </w:tc>
        <w:tc>
          <w:tcPr>
            <w:tcW w:w="1276" w:type="dxa"/>
            <w:tcBorders>
              <w:top w:val="single" w:sz="4" w:space="0" w:color="auto"/>
              <w:left w:val="single" w:sz="4" w:space="0" w:color="auto"/>
              <w:bottom w:val="single" w:sz="4" w:space="0" w:color="auto"/>
              <w:right w:val="single" w:sz="4" w:space="0" w:color="auto"/>
            </w:tcBorders>
            <w:hideMark/>
          </w:tcPr>
          <w:p w:rsidR="00F63E61" w:rsidRDefault="00694CCD" w:rsidP="00B66FDE">
            <w:pPr>
              <w:rPr>
                <w:rFonts w:asciiTheme="majorHAnsi" w:hAnsiTheme="majorHAnsi"/>
                <w:sz w:val="20"/>
                <w:szCs w:val="20"/>
              </w:rPr>
            </w:pPr>
            <w:r>
              <w:rPr>
                <w:rFonts w:asciiTheme="majorHAnsi" w:hAnsiTheme="majorHAnsi"/>
                <w:sz w:val="20"/>
                <w:szCs w:val="20"/>
              </w:rPr>
              <w:t>2013</w:t>
            </w:r>
          </w:p>
        </w:tc>
        <w:tc>
          <w:tcPr>
            <w:tcW w:w="992" w:type="dxa"/>
            <w:tcBorders>
              <w:top w:val="single" w:sz="4" w:space="0" w:color="auto"/>
              <w:left w:val="single" w:sz="4" w:space="0" w:color="auto"/>
              <w:bottom w:val="single" w:sz="4" w:space="0" w:color="auto"/>
              <w:right w:val="single" w:sz="4" w:space="0" w:color="auto"/>
            </w:tcBorders>
          </w:tcPr>
          <w:p w:rsidR="00F63E61" w:rsidRDefault="005827FC" w:rsidP="00B66FDE">
            <w:pPr>
              <w:rPr>
                <w:rFonts w:asciiTheme="majorHAnsi" w:hAnsiTheme="majorHAnsi"/>
                <w:sz w:val="20"/>
                <w:szCs w:val="20"/>
              </w:rPr>
            </w:pPr>
            <w:r>
              <w:rPr>
                <w:rFonts w:asciiTheme="majorHAnsi" w:hAnsiTheme="majorHAnsi"/>
                <w:sz w:val="20"/>
                <w:szCs w:val="20"/>
              </w:rPr>
              <w:t>50</w:t>
            </w:r>
          </w:p>
        </w:tc>
        <w:tc>
          <w:tcPr>
            <w:tcW w:w="850" w:type="dxa"/>
            <w:tcBorders>
              <w:top w:val="single" w:sz="4" w:space="0" w:color="auto"/>
              <w:left w:val="single" w:sz="4" w:space="0" w:color="auto"/>
              <w:bottom w:val="single" w:sz="4" w:space="0" w:color="auto"/>
              <w:right w:val="single" w:sz="4" w:space="0" w:color="auto"/>
            </w:tcBorders>
            <w:hideMark/>
          </w:tcPr>
          <w:p w:rsidR="00F63E61" w:rsidRDefault="00F63E61" w:rsidP="00B66FDE">
            <w:pPr>
              <w:rPr>
                <w:rFonts w:asciiTheme="majorHAnsi" w:hAnsiTheme="majorHAnsi" w:cstheme="minorHAnsi"/>
                <w:bCs/>
                <w:sz w:val="20"/>
                <w:szCs w:val="20"/>
              </w:rPr>
            </w:pPr>
            <w:r>
              <w:rPr>
                <w:rFonts w:asciiTheme="majorHAnsi" w:hAnsiTheme="majorHAnsi" w:cstheme="minorHAnsi"/>
                <w:bCs/>
                <w:sz w:val="20"/>
                <w:szCs w:val="20"/>
              </w:rPr>
              <w:t>ŘO</w:t>
            </w:r>
          </w:p>
        </w:tc>
        <w:tc>
          <w:tcPr>
            <w:tcW w:w="1701" w:type="dxa"/>
            <w:tcBorders>
              <w:top w:val="single" w:sz="4" w:space="0" w:color="auto"/>
              <w:left w:val="single" w:sz="4" w:space="0" w:color="auto"/>
              <w:bottom w:val="single" w:sz="4" w:space="0" w:color="auto"/>
              <w:right w:val="single" w:sz="4" w:space="0" w:color="auto"/>
            </w:tcBorders>
            <w:hideMark/>
          </w:tcPr>
          <w:p w:rsidR="00F63E61" w:rsidRDefault="008E07C7" w:rsidP="00B66FDE">
            <w:pPr>
              <w:rPr>
                <w:rFonts w:asciiTheme="majorHAnsi" w:hAnsiTheme="majorHAnsi" w:cstheme="minorHAnsi"/>
                <w:bCs/>
                <w:sz w:val="20"/>
                <w:szCs w:val="20"/>
              </w:rPr>
            </w:pPr>
            <w:r>
              <w:rPr>
                <w:rFonts w:asciiTheme="majorHAnsi" w:hAnsiTheme="majorHAnsi" w:cstheme="minorHAnsi"/>
                <w:bCs/>
                <w:sz w:val="20"/>
                <w:szCs w:val="20"/>
              </w:rPr>
              <w:t>ročně</w:t>
            </w:r>
          </w:p>
        </w:tc>
      </w:tr>
    </w:tbl>
    <w:p w:rsidR="00F63E61" w:rsidRDefault="00F63E61" w:rsidP="00B66FDE"/>
    <w:p w:rsidR="00674BC9" w:rsidRDefault="00417573">
      <w:pPr>
        <w:pStyle w:val="Titulek"/>
      </w:pPr>
      <w:r>
        <w:t xml:space="preserve"> Programově specifické ukazatele výsledků</w:t>
      </w:r>
      <w:r w:rsidR="00D93A44">
        <w:t xml:space="preserve"> pro SC 2</w:t>
      </w:r>
    </w:p>
    <w:tbl>
      <w:tblPr>
        <w:tblStyle w:val="Mkatabulky"/>
        <w:tblW w:w="9180" w:type="dxa"/>
        <w:tblLayout w:type="fixed"/>
        <w:tblLook w:val="04A0" w:firstRow="1" w:lastRow="0" w:firstColumn="1" w:lastColumn="0" w:noHBand="0" w:noVBand="1"/>
      </w:tblPr>
      <w:tblGrid>
        <w:gridCol w:w="959"/>
        <w:gridCol w:w="1701"/>
        <w:gridCol w:w="567"/>
        <w:gridCol w:w="1134"/>
        <w:gridCol w:w="1276"/>
        <w:gridCol w:w="992"/>
        <w:gridCol w:w="850"/>
        <w:gridCol w:w="1701"/>
      </w:tblGrid>
      <w:tr w:rsidR="00AA0008" w:rsidRPr="00F63E61" w:rsidTr="001568E4">
        <w:tc>
          <w:tcPr>
            <w:tcW w:w="959"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AA0008" w:rsidRPr="00F63E61" w:rsidRDefault="00AA0008" w:rsidP="001568E4">
            <w:pPr>
              <w:rPr>
                <w:rFonts w:asciiTheme="majorHAnsi" w:hAnsiTheme="majorHAnsi"/>
                <w:b/>
                <w:sz w:val="20"/>
                <w:szCs w:val="20"/>
              </w:rPr>
            </w:pPr>
            <w:r w:rsidRPr="00F63E61">
              <w:rPr>
                <w:rFonts w:asciiTheme="majorHAnsi" w:hAnsiTheme="majorHAnsi"/>
                <w:b/>
                <w:sz w:val="20"/>
                <w:szCs w:val="20"/>
              </w:rPr>
              <w:t>ID</w:t>
            </w:r>
          </w:p>
        </w:tc>
        <w:tc>
          <w:tcPr>
            <w:tcW w:w="1701"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AA0008" w:rsidRPr="00F63E61" w:rsidRDefault="00AA0008" w:rsidP="001568E4">
            <w:pPr>
              <w:rPr>
                <w:rFonts w:asciiTheme="majorHAnsi" w:hAnsiTheme="majorHAnsi"/>
                <w:b/>
                <w:sz w:val="20"/>
                <w:szCs w:val="20"/>
              </w:rPr>
            </w:pPr>
            <w:r>
              <w:rPr>
                <w:rFonts w:asciiTheme="majorHAnsi" w:hAnsiTheme="majorHAnsi"/>
                <w:b/>
                <w:sz w:val="20"/>
                <w:szCs w:val="20"/>
              </w:rPr>
              <w:t>Ukazatel</w:t>
            </w:r>
          </w:p>
        </w:tc>
        <w:tc>
          <w:tcPr>
            <w:tcW w:w="567"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AA0008" w:rsidRPr="00F63E61" w:rsidRDefault="00AA0008" w:rsidP="001568E4">
            <w:pPr>
              <w:rPr>
                <w:rFonts w:asciiTheme="majorHAnsi" w:hAnsiTheme="majorHAnsi"/>
                <w:b/>
                <w:sz w:val="20"/>
                <w:szCs w:val="20"/>
              </w:rPr>
            </w:pPr>
            <w:r w:rsidRPr="00F63E61">
              <w:rPr>
                <w:rFonts w:asciiTheme="majorHAnsi" w:hAnsiTheme="majorHAnsi"/>
                <w:b/>
                <w:sz w:val="20"/>
                <w:szCs w:val="20"/>
              </w:rPr>
              <w:t>Měrná jednotka</w:t>
            </w:r>
          </w:p>
        </w:tc>
        <w:tc>
          <w:tcPr>
            <w:tcW w:w="1134"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AA0008" w:rsidRPr="00F63E61" w:rsidRDefault="00AA0008" w:rsidP="001568E4">
            <w:pPr>
              <w:rPr>
                <w:rFonts w:asciiTheme="majorHAnsi" w:hAnsiTheme="majorHAnsi"/>
                <w:b/>
                <w:sz w:val="20"/>
                <w:szCs w:val="20"/>
              </w:rPr>
            </w:pPr>
            <w:r w:rsidRPr="00F63E61">
              <w:rPr>
                <w:rFonts w:asciiTheme="majorHAnsi" w:hAnsiTheme="majorHAnsi"/>
                <w:b/>
                <w:sz w:val="20"/>
                <w:szCs w:val="20"/>
              </w:rPr>
              <w:t>Výchozí hodnota</w:t>
            </w:r>
          </w:p>
        </w:tc>
        <w:tc>
          <w:tcPr>
            <w:tcW w:w="1276"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AA0008" w:rsidRPr="00F63E61" w:rsidRDefault="00AA0008" w:rsidP="001568E4">
            <w:pPr>
              <w:rPr>
                <w:rFonts w:asciiTheme="majorHAnsi" w:hAnsiTheme="majorHAnsi"/>
                <w:b/>
                <w:sz w:val="20"/>
                <w:szCs w:val="20"/>
              </w:rPr>
            </w:pPr>
            <w:r w:rsidRPr="00F63E61">
              <w:rPr>
                <w:rFonts w:asciiTheme="majorHAnsi" w:hAnsiTheme="majorHAnsi"/>
                <w:b/>
                <w:sz w:val="20"/>
                <w:szCs w:val="20"/>
              </w:rPr>
              <w:t>Výchozí rok</w:t>
            </w:r>
          </w:p>
        </w:tc>
        <w:tc>
          <w:tcPr>
            <w:tcW w:w="992"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AA0008" w:rsidRPr="00F63E61" w:rsidRDefault="00AA0008" w:rsidP="001568E4">
            <w:pPr>
              <w:rPr>
                <w:rFonts w:asciiTheme="majorHAnsi" w:hAnsiTheme="majorHAnsi"/>
                <w:b/>
                <w:sz w:val="20"/>
                <w:szCs w:val="20"/>
              </w:rPr>
            </w:pPr>
            <w:r w:rsidRPr="00F63E61">
              <w:rPr>
                <w:rFonts w:asciiTheme="majorHAnsi" w:hAnsiTheme="majorHAnsi"/>
                <w:b/>
                <w:sz w:val="20"/>
                <w:szCs w:val="20"/>
              </w:rPr>
              <w:t>Cílová hodnota (2023)</w:t>
            </w:r>
          </w:p>
        </w:tc>
        <w:tc>
          <w:tcPr>
            <w:tcW w:w="850"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AA0008" w:rsidRPr="00F63E61" w:rsidRDefault="00AA0008" w:rsidP="001568E4">
            <w:pPr>
              <w:rPr>
                <w:rFonts w:asciiTheme="majorHAnsi" w:hAnsiTheme="majorHAnsi"/>
                <w:b/>
                <w:sz w:val="20"/>
                <w:szCs w:val="20"/>
              </w:rPr>
            </w:pPr>
            <w:r w:rsidRPr="00F63E61">
              <w:rPr>
                <w:rFonts w:asciiTheme="majorHAnsi" w:hAnsiTheme="majorHAnsi"/>
                <w:b/>
                <w:sz w:val="20"/>
                <w:szCs w:val="20"/>
              </w:rPr>
              <w:t>Zdroj údajů</w:t>
            </w:r>
          </w:p>
        </w:tc>
        <w:tc>
          <w:tcPr>
            <w:tcW w:w="1701"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AA0008" w:rsidRPr="00F63E61" w:rsidRDefault="00AA0008" w:rsidP="001568E4">
            <w:pPr>
              <w:rPr>
                <w:rFonts w:asciiTheme="majorHAnsi" w:hAnsiTheme="majorHAnsi"/>
                <w:b/>
                <w:sz w:val="20"/>
                <w:szCs w:val="20"/>
              </w:rPr>
            </w:pPr>
            <w:r>
              <w:rPr>
                <w:rFonts w:asciiTheme="majorHAnsi" w:hAnsiTheme="majorHAnsi"/>
                <w:b/>
                <w:sz w:val="20"/>
                <w:szCs w:val="20"/>
              </w:rPr>
              <w:t>Četnost podávání zpráv</w:t>
            </w:r>
          </w:p>
        </w:tc>
      </w:tr>
      <w:tr w:rsidR="00AA0008" w:rsidTr="00AA0008">
        <w:tc>
          <w:tcPr>
            <w:tcW w:w="959" w:type="dxa"/>
          </w:tcPr>
          <w:p w:rsidR="00AA0008" w:rsidRDefault="00AA0008" w:rsidP="001568E4">
            <w:pPr>
              <w:rPr>
                <w:rFonts w:asciiTheme="majorHAnsi" w:hAnsiTheme="majorHAnsi"/>
                <w:sz w:val="20"/>
                <w:szCs w:val="20"/>
              </w:rPr>
            </w:pPr>
            <w:r>
              <w:rPr>
                <w:rFonts w:asciiTheme="majorHAnsi" w:hAnsiTheme="majorHAnsi"/>
                <w:sz w:val="20"/>
                <w:szCs w:val="20"/>
              </w:rPr>
              <w:t>801</w:t>
            </w:r>
            <w:r w:rsidRPr="00534BBB">
              <w:rPr>
                <w:rFonts w:asciiTheme="majorHAnsi" w:hAnsiTheme="majorHAnsi"/>
                <w:sz w:val="20"/>
                <w:szCs w:val="20"/>
              </w:rPr>
              <w:t>10</w:t>
            </w:r>
          </w:p>
        </w:tc>
        <w:tc>
          <w:tcPr>
            <w:tcW w:w="1701" w:type="dxa"/>
            <w:hideMark/>
          </w:tcPr>
          <w:p w:rsidR="00AA0008" w:rsidRDefault="00AA0008" w:rsidP="001568E4">
            <w:pPr>
              <w:rPr>
                <w:rFonts w:asciiTheme="majorHAnsi" w:hAnsiTheme="majorHAnsi"/>
                <w:sz w:val="20"/>
                <w:szCs w:val="20"/>
              </w:rPr>
            </w:pPr>
            <w:r>
              <w:rPr>
                <w:rFonts w:asciiTheme="majorHAnsi" w:hAnsiTheme="majorHAnsi" w:cstheme="minorHAnsi"/>
                <w:bCs/>
                <w:sz w:val="20"/>
                <w:szCs w:val="20"/>
              </w:rPr>
              <w:t>Míra znalosti podpořených projektů u cílové skupiny</w:t>
            </w:r>
          </w:p>
        </w:tc>
        <w:tc>
          <w:tcPr>
            <w:tcW w:w="567" w:type="dxa"/>
            <w:hideMark/>
          </w:tcPr>
          <w:p w:rsidR="00AA0008" w:rsidRDefault="00AA0008" w:rsidP="001568E4">
            <w:pPr>
              <w:rPr>
                <w:rFonts w:asciiTheme="majorHAnsi" w:hAnsiTheme="majorHAnsi"/>
                <w:sz w:val="20"/>
                <w:szCs w:val="20"/>
              </w:rPr>
            </w:pPr>
            <w:r>
              <w:rPr>
                <w:rFonts w:asciiTheme="majorHAnsi" w:hAnsiTheme="majorHAnsi" w:cstheme="minorHAnsi"/>
                <w:bCs/>
                <w:sz w:val="20"/>
                <w:szCs w:val="20"/>
              </w:rPr>
              <w:t>%</w:t>
            </w:r>
          </w:p>
        </w:tc>
        <w:tc>
          <w:tcPr>
            <w:tcW w:w="1134" w:type="dxa"/>
          </w:tcPr>
          <w:p w:rsidR="00AA0008" w:rsidRDefault="005827FC" w:rsidP="001568E4">
            <w:pPr>
              <w:rPr>
                <w:rFonts w:asciiTheme="majorHAnsi" w:hAnsiTheme="majorHAnsi"/>
                <w:sz w:val="20"/>
                <w:szCs w:val="20"/>
              </w:rPr>
            </w:pPr>
            <w:r>
              <w:rPr>
                <w:rFonts w:asciiTheme="majorHAnsi" w:hAnsiTheme="majorHAnsi"/>
                <w:sz w:val="20"/>
                <w:szCs w:val="20"/>
              </w:rPr>
              <w:t>67</w:t>
            </w:r>
          </w:p>
        </w:tc>
        <w:tc>
          <w:tcPr>
            <w:tcW w:w="1276" w:type="dxa"/>
            <w:hideMark/>
          </w:tcPr>
          <w:p w:rsidR="00AA0008" w:rsidRDefault="00AA0008" w:rsidP="001568E4">
            <w:pPr>
              <w:rPr>
                <w:rFonts w:asciiTheme="majorHAnsi" w:hAnsiTheme="majorHAnsi"/>
                <w:sz w:val="20"/>
                <w:szCs w:val="20"/>
              </w:rPr>
            </w:pPr>
            <w:r>
              <w:rPr>
                <w:rFonts w:asciiTheme="majorHAnsi" w:hAnsiTheme="majorHAnsi"/>
                <w:sz w:val="20"/>
                <w:szCs w:val="20"/>
              </w:rPr>
              <w:t>2013</w:t>
            </w:r>
          </w:p>
        </w:tc>
        <w:tc>
          <w:tcPr>
            <w:tcW w:w="992" w:type="dxa"/>
          </w:tcPr>
          <w:p w:rsidR="00AA0008" w:rsidRDefault="005827FC" w:rsidP="001568E4">
            <w:pPr>
              <w:rPr>
                <w:rFonts w:asciiTheme="majorHAnsi" w:hAnsiTheme="majorHAnsi"/>
                <w:sz w:val="20"/>
                <w:szCs w:val="20"/>
              </w:rPr>
            </w:pPr>
            <w:r>
              <w:rPr>
                <w:rFonts w:asciiTheme="majorHAnsi" w:hAnsiTheme="majorHAnsi"/>
                <w:sz w:val="20"/>
                <w:szCs w:val="20"/>
              </w:rPr>
              <w:t>70</w:t>
            </w:r>
          </w:p>
        </w:tc>
        <w:tc>
          <w:tcPr>
            <w:tcW w:w="850" w:type="dxa"/>
            <w:hideMark/>
          </w:tcPr>
          <w:p w:rsidR="00AA0008" w:rsidRDefault="00AA0008" w:rsidP="001568E4">
            <w:pPr>
              <w:rPr>
                <w:rFonts w:asciiTheme="majorHAnsi" w:hAnsiTheme="majorHAnsi"/>
                <w:sz w:val="20"/>
                <w:szCs w:val="20"/>
              </w:rPr>
            </w:pPr>
            <w:r>
              <w:rPr>
                <w:rFonts w:asciiTheme="majorHAnsi" w:hAnsiTheme="majorHAnsi" w:cstheme="minorHAnsi"/>
                <w:bCs/>
                <w:sz w:val="20"/>
                <w:szCs w:val="20"/>
              </w:rPr>
              <w:t xml:space="preserve">Dotazníkové šetření </w:t>
            </w:r>
          </w:p>
        </w:tc>
        <w:tc>
          <w:tcPr>
            <w:tcW w:w="1701" w:type="dxa"/>
            <w:hideMark/>
          </w:tcPr>
          <w:p w:rsidR="00AA0008" w:rsidRDefault="00AA0008" w:rsidP="001568E4">
            <w:pPr>
              <w:rPr>
                <w:rFonts w:asciiTheme="majorHAnsi" w:hAnsiTheme="majorHAnsi"/>
                <w:sz w:val="20"/>
                <w:szCs w:val="20"/>
              </w:rPr>
            </w:pPr>
            <w:r>
              <w:rPr>
                <w:rFonts w:asciiTheme="majorHAnsi" w:hAnsiTheme="majorHAnsi"/>
                <w:sz w:val="20"/>
                <w:szCs w:val="20"/>
              </w:rPr>
              <w:t>ročně</w:t>
            </w:r>
          </w:p>
        </w:tc>
      </w:tr>
      <w:tr w:rsidR="00AA0008" w:rsidTr="00AA0008">
        <w:tc>
          <w:tcPr>
            <w:tcW w:w="959" w:type="dxa"/>
          </w:tcPr>
          <w:p w:rsidR="00AA0008" w:rsidRDefault="00AA0008" w:rsidP="001568E4">
            <w:pPr>
              <w:rPr>
                <w:rFonts w:asciiTheme="majorHAnsi" w:hAnsiTheme="majorHAnsi"/>
                <w:sz w:val="20"/>
                <w:szCs w:val="20"/>
              </w:rPr>
            </w:pPr>
            <w:r>
              <w:rPr>
                <w:rFonts w:asciiTheme="majorHAnsi" w:hAnsiTheme="majorHAnsi"/>
                <w:sz w:val="20"/>
                <w:szCs w:val="20"/>
              </w:rPr>
              <w:t>801</w:t>
            </w:r>
            <w:r w:rsidRPr="00534BBB">
              <w:rPr>
                <w:rFonts w:asciiTheme="majorHAnsi" w:hAnsiTheme="majorHAnsi"/>
                <w:sz w:val="20"/>
                <w:szCs w:val="20"/>
              </w:rPr>
              <w:t>20</w:t>
            </w:r>
          </w:p>
        </w:tc>
        <w:tc>
          <w:tcPr>
            <w:tcW w:w="1701" w:type="dxa"/>
            <w:hideMark/>
          </w:tcPr>
          <w:p w:rsidR="00AA0008" w:rsidRDefault="00AA0008" w:rsidP="001568E4">
            <w:pPr>
              <w:rPr>
                <w:rFonts w:asciiTheme="majorHAnsi" w:hAnsiTheme="majorHAnsi" w:cstheme="minorHAnsi"/>
                <w:bCs/>
                <w:sz w:val="20"/>
                <w:szCs w:val="20"/>
              </w:rPr>
            </w:pPr>
            <w:r>
              <w:rPr>
                <w:rFonts w:asciiTheme="majorHAnsi" w:hAnsiTheme="majorHAnsi" w:cstheme="minorHAnsi"/>
                <w:bCs/>
                <w:sz w:val="20"/>
                <w:szCs w:val="20"/>
              </w:rPr>
              <w:t>Míra informovanosti o fondech u cílových skupin</w:t>
            </w:r>
          </w:p>
        </w:tc>
        <w:tc>
          <w:tcPr>
            <w:tcW w:w="567" w:type="dxa"/>
            <w:hideMark/>
          </w:tcPr>
          <w:p w:rsidR="00AA0008" w:rsidRDefault="00AA0008" w:rsidP="001568E4">
            <w:pPr>
              <w:rPr>
                <w:rFonts w:asciiTheme="majorHAnsi" w:hAnsiTheme="majorHAnsi" w:cstheme="minorHAnsi"/>
                <w:bCs/>
                <w:sz w:val="20"/>
                <w:szCs w:val="20"/>
              </w:rPr>
            </w:pPr>
            <w:r>
              <w:rPr>
                <w:rFonts w:asciiTheme="majorHAnsi" w:hAnsiTheme="majorHAnsi" w:cstheme="minorHAnsi"/>
                <w:bCs/>
                <w:sz w:val="20"/>
                <w:szCs w:val="20"/>
              </w:rPr>
              <w:t>%</w:t>
            </w:r>
          </w:p>
        </w:tc>
        <w:tc>
          <w:tcPr>
            <w:tcW w:w="1134" w:type="dxa"/>
          </w:tcPr>
          <w:p w:rsidR="00AA0008" w:rsidRDefault="005827FC" w:rsidP="001568E4">
            <w:pPr>
              <w:rPr>
                <w:rFonts w:asciiTheme="majorHAnsi" w:hAnsiTheme="majorHAnsi"/>
                <w:sz w:val="20"/>
                <w:szCs w:val="20"/>
              </w:rPr>
            </w:pPr>
            <w:r>
              <w:rPr>
                <w:rFonts w:asciiTheme="majorHAnsi" w:hAnsiTheme="majorHAnsi"/>
                <w:sz w:val="20"/>
                <w:szCs w:val="20"/>
              </w:rPr>
              <w:t>65</w:t>
            </w:r>
          </w:p>
        </w:tc>
        <w:tc>
          <w:tcPr>
            <w:tcW w:w="1276" w:type="dxa"/>
            <w:hideMark/>
          </w:tcPr>
          <w:p w:rsidR="00AA0008" w:rsidRDefault="00AA0008" w:rsidP="001568E4">
            <w:pPr>
              <w:rPr>
                <w:rFonts w:asciiTheme="majorHAnsi" w:hAnsiTheme="majorHAnsi"/>
                <w:sz w:val="20"/>
                <w:szCs w:val="20"/>
              </w:rPr>
            </w:pPr>
            <w:r>
              <w:rPr>
                <w:rFonts w:asciiTheme="majorHAnsi" w:hAnsiTheme="majorHAnsi"/>
                <w:sz w:val="20"/>
                <w:szCs w:val="20"/>
              </w:rPr>
              <w:t>2013</w:t>
            </w:r>
          </w:p>
        </w:tc>
        <w:tc>
          <w:tcPr>
            <w:tcW w:w="992" w:type="dxa"/>
          </w:tcPr>
          <w:p w:rsidR="00AA0008" w:rsidRDefault="005827FC" w:rsidP="001568E4">
            <w:pPr>
              <w:rPr>
                <w:rFonts w:asciiTheme="majorHAnsi" w:hAnsiTheme="majorHAnsi"/>
                <w:sz w:val="20"/>
                <w:szCs w:val="20"/>
              </w:rPr>
            </w:pPr>
            <w:r>
              <w:rPr>
                <w:rFonts w:asciiTheme="majorHAnsi" w:hAnsiTheme="majorHAnsi"/>
                <w:sz w:val="20"/>
                <w:szCs w:val="20"/>
              </w:rPr>
              <w:t>65</w:t>
            </w:r>
          </w:p>
        </w:tc>
        <w:tc>
          <w:tcPr>
            <w:tcW w:w="850" w:type="dxa"/>
            <w:hideMark/>
          </w:tcPr>
          <w:p w:rsidR="00AA0008" w:rsidRDefault="00AA0008" w:rsidP="001568E4">
            <w:pPr>
              <w:rPr>
                <w:rFonts w:asciiTheme="majorHAnsi" w:hAnsiTheme="majorHAnsi" w:cstheme="minorHAnsi"/>
                <w:bCs/>
                <w:sz w:val="20"/>
                <w:szCs w:val="20"/>
              </w:rPr>
            </w:pPr>
            <w:r>
              <w:rPr>
                <w:rFonts w:asciiTheme="majorHAnsi" w:hAnsiTheme="majorHAnsi" w:cstheme="minorHAnsi"/>
                <w:bCs/>
                <w:sz w:val="20"/>
                <w:szCs w:val="20"/>
              </w:rPr>
              <w:t xml:space="preserve">Dotazníkové šetření </w:t>
            </w:r>
          </w:p>
        </w:tc>
        <w:tc>
          <w:tcPr>
            <w:tcW w:w="1701" w:type="dxa"/>
            <w:hideMark/>
          </w:tcPr>
          <w:p w:rsidR="00AA0008" w:rsidRDefault="00AA0008" w:rsidP="001568E4">
            <w:pPr>
              <w:rPr>
                <w:rFonts w:asciiTheme="majorHAnsi" w:hAnsiTheme="majorHAnsi" w:cstheme="minorHAnsi"/>
                <w:bCs/>
                <w:sz w:val="20"/>
                <w:szCs w:val="20"/>
              </w:rPr>
            </w:pPr>
            <w:r>
              <w:rPr>
                <w:rFonts w:asciiTheme="majorHAnsi" w:hAnsiTheme="majorHAnsi" w:cstheme="minorHAnsi"/>
                <w:bCs/>
                <w:sz w:val="20"/>
                <w:szCs w:val="20"/>
              </w:rPr>
              <w:t>ročně</w:t>
            </w:r>
          </w:p>
        </w:tc>
      </w:tr>
    </w:tbl>
    <w:p w:rsidR="00E203D5" w:rsidRDefault="00E203D5" w:rsidP="00B66FDE"/>
    <w:p w:rsidR="006F7D80" w:rsidRDefault="00C44D57" w:rsidP="00165854">
      <w:pPr>
        <w:pStyle w:val="Nadpis3"/>
      </w:pPr>
      <w:bookmarkStart w:id="2955" w:name="_Toc392151069"/>
      <w:r>
        <w:lastRenderedPageBreak/>
        <w:t>Opatření, která mají být podpořena, a jeji</w:t>
      </w:r>
      <w:r w:rsidR="008715C3">
        <w:t>ch očekávaný přínos ke </w:t>
      </w:r>
      <w:r>
        <w:t>specifickým cílům</w:t>
      </w:r>
      <w:bookmarkEnd w:id="2955"/>
      <w:r>
        <w:t xml:space="preserve"> </w:t>
      </w:r>
      <w:bookmarkEnd w:id="2954"/>
    </w:p>
    <w:p w:rsidR="00674BC9" w:rsidRDefault="00922F40">
      <w:pPr>
        <w:pStyle w:val="Nadpis4"/>
      </w:pPr>
      <w:bookmarkStart w:id="2956" w:name="_Toc392151070"/>
      <w:r>
        <w:t>Popis opatření, kter</w:t>
      </w:r>
      <w:r w:rsidR="00BB7A71">
        <w:t>á</w:t>
      </w:r>
      <w:r w:rsidR="00C44D57">
        <w:t xml:space="preserve"> mají být p</w:t>
      </w:r>
      <w:r w:rsidR="0066666D">
        <w:t>o</w:t>
      </w:r>
      <w:r w:rsidR="00C44D57">
        <w:t>dpo</w:t>
      </w:r>
      <w:r>
        <w:t>řena, a jejich očekávaný přínos k</w:t>
      </w:r>
      <w:r w:rsidR="008715C3">
        <w:t>e </w:t>
      </w:r>
      <w:r w:rsidR="00C44D57">
        <w:t>specifickým cílům</w:t>
      </w:r>
      <w:bookmarkEnd w:id="2956"/>
      <w:r w:rsidR="00C44D57">
        <w:t xml:space="preserve"> </w:t>
      </w:r>
    </w:p>
    <w:p w:rsidR="007D3FEB" w:rsidRPr="004646E9" w:rsidRDefault="007D3FEB" w:rsidP="007D3FEB">
      <w:pPr>
        <w:rPr>
          <w:rFonts w:cs="Calibri"/>
        </w:rPr>
      </w:pPr>
      <w:bookmarkStart w:id="2957" w:name="_Toc389480167"/>
      <w:r>
        <w:rPr>
          <w:b/>
          <w:color w:val="FF0000"/>
        </w:rPr>
        <w:t> </w:t>
      </w:r>
      <w:bookmarkEnd w:id="2957"/>
      <w:r w:rsidRPr="004646E9">
        <w:rPr>
          <w:rFonts w:cs="Calibri"/>
        </w:rPr>
        <w:t>Podporované aktivity budou prováděny za účelem naplnění vytyčených SC, které jsou nezby</w:t>
      </w:r>
      <w:r>
        <w:rPr>
          <w:rFonts w:cs="Calibri"/>
        </w:rPr>
        <w:t>tné pro účinnou realizaci OP ŽP 2014-</w:t>
      </w:r>
      <w:proofErr w:type="gramStart"/>
      <w:r>
        <w:rPr>
          <w:rFonts w:cs="Calibri"/>
        </w:rPr>
        <w:t>2020</w:t>
      </w:r>
      <w:r w:rsidRPr="004646E9">
        <w:rPr>
          <w:rFonts w:cs="Calibri"/>
        </w:rPr>
        <w:t>.Mezi</w:t>
      </w:r>
      <w:proofErr w:type="gramEnd"/>
      <w:r w:rsidRPr="004646E9">
        <w:rPr>
          <w:rFonts w:cs="Calibri"/>
        </w:rPr>
        <w:t xml:space="preserve"> tyto aktivity patří:</w:t>
      </w:r>
    </w:p>
    <w:p w:rsidR="00674BC9" w:rsidRDefault="008715C3" w:rsidP="00495FC1">
      <w:pPr>
        <w:pStyle w:val="Odstavecseseznamem"/>
        <w:numPr>
          <w:ilvl w:val="0"/>
          <w:numId w:val="110"/>
        </w:numPr>
        <w:spacing w:after="200" w:afterAutospacing="0"/>
        <w:rPr>
          <w:rFonts w:cs="Calibri"/>
          <w:color w:val="000000"/>
        </w:rPr>
      </w:pPr>
      <w:r>
        <w:t>t</w:t>
      </w:r>
      <w:r w:rsidR="00F37B40" w:rsidRPr="00E73D5B">
        <w:t xml:space="preserve">echnické a provozní zajištění </w:t>
      </w:r>
      <w:r w:rsidR="00F37B40">
        <w:t>funkcí ŘO OP</w:t>
      </w:r>
      <w:r w:rsidR="00E16955">
        <w:t xml:space="preserve"> </w:t>
      </w:r>
      <w:r w:rsidR="00F37B40">
        <w:t>ŽP a</w:t>
      </w:r>
      <w:r w:rsidR="00F37B40" w:rsidRPr="00E73D5B">
        <w:t xml:space="preserve"> zprostředkujících subjektů během celého průběhu </w:t>
      </w:r>
      <w:r w:rsidR="00F37B40">
        <w:t>programové</w:t>
      </w:r>
      <w:r w:rsidR="00F37B40" w:rsidRPr="00E73D5B">
        <w:t>ho období (</w:t>
      </w:r>
      <w:r w:rsidR="00392D85">
        <w:t xml:space="preserve">prostorové zajištění implementace a technické vybavení, </w:t>
      </w:r>
      <w:r w:rsidR="00392D85" w:rsidRPr="00E73D5B">
        <w:t>nákup zboží a služeb potřebných k zajištění implementace programu</w:t>
      </w:r>
      <w:r w:rsidR="00A1404B">
        <w:t>, mzdy a s </w:t>
      </w:r>
      <w:r w:rsidR="00392D85">
        <w:t>nimi související zákonné odvody a finanční motivace za</w:t>
      </w:r>
      <w:r w:rsidR="00A1404B">
        <w:t>městnanců, kteří se podílejí na </w:t>
      </w:r>
      <w:r w:rsidR="00392D85">
        <w:t>přípravě, výběru, hodnocení a monitorování programu, au</w:t>
      </w:r>
      <w:r w:rsidR="006554D3">
        <w:t>d</w:t>
      </w:r>
      <w:r w:rsidR="00392D85">
        <w:t>itech a kont</w:t>
      </w:r>
      <w:r w:rsidR="006554D3">
        <w:t>r</w:t>
      </w:r>
      <w:r w:rsidR="00F625C4">
        <w:t>olách</w:t>
      </w:r>
      <w:r w:rsidR="00F37B40">
        <w:t>,</w:t>
      </w:r>
      <w:r w:rsidR="00F37B40" w:rsidRPr="00E73D5B">
        <w:t xml:space="preserve"> osobní náklady zprostředkujících subjektů, včetně příslušenství</w:t>
      </w:r>
      <w:r w:rsidR="00C06B49">
        <w:t>)</w:t>
      </w:r>
      <w:r w:rsidR="00F37B40" w:rsidRPr="00E73D5B">
        <w:t>,</w:t>
      </w:r>
      <w:r w:rsidR="00F625C4">
        <w:t xml:space="preserve"> </w:t>
      </w:r>
      <w:r>
        <w:rPr>
          <w:color w:val="000000"/>
        </w:rPr>
        <w:t>a</w:t>
      </w:r>
      <w:r w:rsidR="0033290F" w:rsidRPr="0033290F">
        <w:rPr>
          <w:color w:val="000000"/>
        </w:rPr>
        <w:t xml:space="preserve">ktivity na podporu stabilizace personálních kapacit, které zároveň přispívají k horizontálním principům </w:t>
      </w:r>
      <w:r w:rsidR="005F3430" w:rsidRPr="005F3430">
        <w:rPr>
          <w:color w:val="000000"/>
        </w:rPr>
        <w:t>(např.</w:t>
      </w:r>
      <w:r w:rsidR="0033290F" w:rsidRPr="0033290F">
        <w:rPr>
          <w:color w:val="000000"/>
        </w:rPr>
        <w:t xml:space="preserve"> náklady spojené s částečnými úvazky a flexibilní pracovní dobou</w:t>
      </w:r>
      <w:r w:rsidR="00176040">
        <w:rPr>
          <w:color w:val="000000"/>
        </w:rPr>
        <w:t>, firemní školka</w:t>
      </w:r>
      <w:r w:rsidR="0033290F" w:rsidRPr="0033290F">
        <w:rPr>
          <w:color w:val="000000"/>
        </w:rPr>
        <w:t>)</w:t>
      </w:r>
      <w:r>
        <w:rPr>
          <w:color w:val="000000"/>
        </w:rPr>
        <w:t>,</w:t>
      </w:r>
      <w:r w:rsidR="00C06B49">
        <w:rPr>
          <w:color w:val="000000"/>
        </w:rPr>
        <w:t xml:space="preserve"> </w:t>
      </w:r>
      <w:r w:rsidR="00C06B49" w:rsidRPr="004646E9">
        <w:rPr>
          <w:szCs w:val="24"/>
        </w:rPr>
        <w:t>Ve vazbě na národní Strategii rozvoje lidských zdrojů bude na úrovni programu aplikován transparentní a spravedlivý systém příjmu z</w:t>
      </w:r>
      <w:r w:rsidR="00A1404B">
        <w:rPr>
          <w:szCs w:val="24"/>
        </w:rPr>
        <w:t>aměstnanců, jejich odměňování a </w:t>
      </w:r>
      <w:r w:rsidR="00C06B49" w:rsidRPr="004646E9">
        <w:rPr>
          <w:szCs w:val="24"/>
        </w:rPr>
        <w:t>propouštění, který společně s kvalitním řízením v porovnání s pr</w:t>
      </w:r>
      <w:r w:rsidR="00C06B49">
        <w:rPr>
          <w:szCs w:val="24"/>
        </w:rPr>
        <w:t>ogramovým obdobím 2007-2013</w:t>
      </w:r>
      <w:r w:rsidR="00C06B49" w:rsidRPr="004646E9">
        <w:rPr>
          <w:szCs w:val="24"/>
        </w:rPr>
        <w:t xml:space="preserve"> přispěje ke s</w:t>
      </w:r>
      <w:r w:rsidR="00C06B49">
        <w:rPr>
          <w:szCs w:val="24"/>
        </w:rPr>
        <w:t>tabilizaci personální kapacity,</w:t>
      </w:r>
    </w:p>
    <w:p w:rsidR="00674BC9" w:rsidRDefault="008715C3" w:rsidP="00495FC1">
      <w:pPr>
        <w:pStyle w:val="Odstavecseseznamem"/>
        <w:numPr>
          <w:ilvl w:val="0"/>
          <w:numId w:val="109"/>
        </w:numPr>
        <w:spacing w:after="0"/>
        <w:rPr>
          <w:rFonts w:cs="Calibri"/>
        </w:rPr>
      </w:pPr>
      <w:r>
        <w:t>v</w:t>
      </w:r>
      <w:r w:rsidR="00F37B40" w:rsidRPr="00E73D5B">
        <w:t>zdělávání s hlavním cílem zajištění zvyšová</w:t>
      </w:r>
      <w:r w:rsidR="00F37B40">
        <w:t xml:space="preserve">ní kvalifikace </w:t>
      </w:r>
      <w:r w:rsidR="005C1F6C">
        <w:t xml:space="preserve">a odbornosti </w:t>
      </w:r>
      <w:r w:rsidR="00F37B40">
        <w:t>subjektů implementační struktury</w:t>
      </w:r>
      <w:r w:rsidR="00F37B40" w:rsidRPr="00E73D5B">
        <w:t xml:space="preserve"> </w:t>
      </w:r>
      <w:r w:rsidR="005C1F6C">
        <w:t xml:space="preserve">OP ŽP 2014-2020 </w:t>
      </w:r>
      <w:r w:rsidR="00F37B40" w:rsidRPr="00E73D5B">
        <w:t>(školení, semináře, workshopy)</w:t>
      </w:r>
      <w:r w:rsidR="005C1F6C">
        <w:t xml:space="preserve">, které také napomůže efektivní administraci a částečně i stabilizaci personálních kapacit. </w:t>
      </w:r>
      <w:r w:rsidR="005C1F6C" w:rsidRPr="005C1F6C">
        <w:rPr>
          <w:szCs w:val="18"/>
        </w:rPr>
        <w:t xml:space="preserve">V </w:t>
      </w:r>
      <w:r w:rsidR="005C1F6C">
        <w:rPr>
          <w:szCs w:val="18"/>
        </w:rPr>
        <w:t>rámci technické pomoci OP ŽP</w:t>
      </w:r>
      <w:r w:rsidR="005C1F6C" w:rsidRPr="005C1F6C">
        <w:rPr>
          <w:szCs w:val="18"/>
        </w:rPr>
        <w:t xml:space="preserve"> bude realizováno vzdělávání sp</w:t>
      </w:r>
      <w:r w:rsidR="005C1F6C">
        <w:rPr>
          <w:szCs w:val="18"/>
        </w:rPr>
        <w:t>ecifické pro implementaci OP ŽP</w:t>
      </w:r>
      <w:r w:rsidR="005C1F6C" w:rsidRPr="005C1F6C">
        <w:rPr>
          <w:szCs w:val="18"/>
        </w:rPr>
        <w:t>. Průřezové vzdělávání využitelné pro implementaci všech programů bude realizováno a financováno v rámci podporovaných aktivit OP TP</w:t>
      </w:r>
      <w:r>
        <w:rPr>
          <w:szCs w:val="18"/>
        </w:rPr>
        <w:t>,</w:t>
      </w:r>
    </w:p>
    <w:p w:rsidR="00F93745" w:rsidRDefault="008715C3" w:rsidP="00495FC1">
      <w:pPr>
        <w:pStyle w:val="Odstavecseseznamem"/>
        <w:numPr>
          <w:ilvl w:val="0"/>
          <w:numId w:val="43"/>
        </w:numPr>
      </w:pPr>
      <w:r>
        <w:t>t</w:t>
      </w:r>
      <w:r w:rsidR="00F37B40" w:rsidRPr="00E73D5B">
        <w:t xml:space="preserve">vorba </w:t>
      </w:r>
      <w:r w:rsidR="005C1F6C">
        <w:t xml:space="preserve">a aktualizace </w:t>
      </w:r>
      <w:r w:rsidR="00F37B40" w:rsidRPr="00E73D5B">
        <w:t>metodických dokumentů a manuálů</w:t>
      </w:r>
      <w:r w:rsidR="005C1F6C">
        <w:t xml:space="preserve"> implementace</w:t>
      </w:r>
      <w:r w:rsidR="00F37B40" w:rsidRPr="00E73D5B">
        <w:t>,</w:t>
      </w:r>
      <w:r w:rsidR="00A1404B">
        <w:t xml:space="preserve"> pokynů a </w:t>
      </w:r>
      <w:r w:rsidR="005C1F6C">
        <w:t>doporučení zajišťující realizaci OP ŽP,</w:t>
      </w:r>
      <w:r w:rsidR="00F37B40" w:rsidRPr="00E73D5B">
        <w:t xml:space="preserve"> (např. supervize, kontroly a administrace žádostí o platbu)</w:t>
      </w:r>
      <w:r>
        <w:t>,</w:t>
      </w:r>
    </w:p>
    <w:p w:rsidR="00F93745" w:rsidRDefault="00F93745" w:rsidP="00495FC1">
      <w:pPr>
        <w:pStyle w:val="Odstavecseseznamem"/>
        <w:numPr>
          <w:ilvl w:val="0"/>
          <w:numId w:val="43"/>
        </w:numPr>
      </w:pPr>
      <w:r>
        <w:t xml:space="preserve">zpracování odborných </w:t>
      </w:r>
      <w:r w:rsidRPr="00E73D5B">
        <w:t>metodik</w:t>
      </w:r>
      <w:r>
        <w:t>, např. k zajištění hodnocení stavu složek životního prostředí ve vazbě na hodnocení přínosu opatření, vedení evidence pro hodnocení opatření,</w:t>
      </w:r>
    </w:p>
    <w:p w:rsidR="006F7D80" w:rsidRDefault="008715C3" w:rsidP="00495FC1">
      <w:pPr>
        <w:pStyle w:val="Odstavecseseznamem"/>
        <w:numPr>
          <w:ilvl w:val="0"/>
          <w:numId w:val="43"/>
        </w:numPr>
      </w:pPr>
      <w:r>
        <w:t>p</w:t>
      </w:r>
      <w:r w:rsidR="00F37B40" w:rsidRPr="00E73D5B">
        <w:t>odpora jednání orgánů a jejich pracovních skupin, zasedání hodnotitelských komisí, včetně nákladů na účast a činnos</w:t>
      </w:r>
      <w:r w:rsidR="00F37B40">
        <w:t>t externích odborníků, činnost M</w:t>
      </w:r>
      <w:r w:rsidR="00F37B40" w:rsidRPr="00E73D5B">
        <w:t>onitorovacího výboru programu a jeho pracovních skupin</w:t>
      </w:r>
      <w:r>
        <w:t>,</w:t>
      </w:r>
    </w:p>
    <w:p w:rsidR="006F7D80" w:rsidRDefault="008715C3" w:rsidP="00495FC1">
      <w:pPr>
        <w:pStyle w:val="Odstavecseseznamem"/>
        <w:numPr>
          <w:ilvl w:val="0"/>
          <w:numId w:val="43"/>
        </w:numPr>
      </w:pPr>
      <w:r>
        <w:t>z</w:t>
      </w:r>
      <w:r w:rsidR="00F37B40">
        <w:t>ajištění přípravy, výběru, kontrahování, hodnocení, administrace, monitorování projektů, archivace dokumentů</w:t>
      </w:r>
      <w:r>
        <w:t>,</w:t>
      </w:r>
    </w:p>
    <w:p w:rsidR="006F7D80" w:rsidRDefault="008715C3" w:rsidP="00495FC1">
      <w:pPr>
        <w:pStyle w:val="Odstavecseseznamem"/>
        <w:numPr>
          <w:ilvl w:val="0"/>
          <w:numId w:val="43"/>
        </w:numPr>
      </w:pPr>
      <w:r>
        <w:t>n</w:t>
      </w:r>
      <w:r w:rsidR="00F37B40" w:rsidRPr="00E73D5B">
        <w:t>astavení a zajištění kontrolních mechanismů (kontrola a audit projektů/operací, kontroly na místě)</w:t>
      </w:r>
      <w:r>
        <w:t>,</w:t>
      </w:r>
    </w:p>
    <w:p w:rsidR="006F7D80" w:rsidRDefault="008715C3" w:rsidP="00495FC1">
      <w:pPr>
        <w:pStyle w:val="Odstavecseseznamem"/>
        <w:numPr>
          <w:ilvl w:val="0"/>
          <w:numId w:val="43"/>
        </w:numPr>
      </w:pPr>
      <w:r>
        <w:t>z</w:t>
      </w:r>
      <w:r w:rsidR="00F37B40" w:rsidRPr="00E73D5B">
        <w:t>pracování dat z jednotného monitorovacího systému pro další manaž</w:t>
      </w:r>
      <w:r w:rsidR="00F37B40">
        <w:t>erská rozhodnutí ŘO</w:t>
      </w:r>
      <w:r>
        <w:t>,</w:t>
      </w:r>
    </w:p>
    <w:p w:rsidR="006F7D80" w:rsidRDefault="008715C3" w:rsidP="00495FC1">
      <w:pPr>
        <w:pStyle w:val="Odstavecseseznamem"/>
        <w:numPr>
          <w:ilvl w:val="0"/>
          <w:numId w:val="43"/>
        </w:numPr>
      </w:pPr>
      <w:r>
        <w:t>e</w:t>
      </w:r>
      <w:r w:rsidR="00F37B40" w:rsidRPr="00E73D5B">
        <w:t>valuace</w:t>
      </w:r>
      <w:r w:rsidR="00F37B40">
        <w:t xml:space="preserve"> (</w:t>
      </w:r>
      <w:r w:rsidR="00F37B40" w:rsidRPr="00E73D5B">
        <w:t xml:space="preserve">vypracování podpůrných analýz a hodnocení nastavení výběrových kritérií, zpracování analýz a studií zaměřených na sledování dopadů realizace programu, </w:t>
      </w:r>
      <w:r w:rsidR="00F37B40" w:rsidRPr="00E73D5B">
        <w:lastRenderedPageBreak/>
        <w:t>analyzování průběhu jejich realizace, vhodnosti a efektivnosti implementačních struktur, identifikování slabých míst implementační struktury a kapacity, vypracování výzkumných studií a šetření zaměřených na další rozvoj programu</w:t>
      </w:r>
      <w:r w:rsidR="00F37B40">
        <w:t>)</w:t>
      </w:r>
      <w:r>
        <w:t>,</w:t>
      </w:r>
    </w:p>
    <w:p w:rsidR="0021550D" w:rsidRDefault="008715C3" w:rsidP="00495FC1">
      <w:pPr>
        <w:pStyle w:val="Odstavecseseznamem"/>
        <w:numPr>
          <w:ilvl w:val="0"/>
          <w:numId w:val="43"/>
        </w:numPr>
      </w:pPr>
      <w:r>
        <w:t>z</w:t>
      </w:r>
      <w:r w:rsidR="005F3430">
        <w:t>ajiš</w:t>
      </w:r>
      <w:r w:rsidR="0026124B">
        <w:t>tění protikorupčních mechanismů v souladu se Strategií pro boj s podvody a korupcí</w:t>
      </w:r>
      <w:r w:rsidR="0021550D">
        <w:t xml:space="preserve"> </w:t>
      </w:r>
      <w:r w:rsidR="0026124B">
        <w:t>v rámci čerpání fondů SSR v období 2014-2020. M</w:t>
      </w:r>
      <w:r w:rsidR="00A1404B">
        <w:t>ŽP se bude při boji s podvody a </w:t>
      </w:r>
      <w:r w:rsidR="0026124B">
        <w:t>korupcí řídit Akčním plánem připravený k plnění této strategie, např. prostřednictvím standardizace procesů a pravidel, elektronizací systému,</w:t>
      </w:r>
      <w:r w:rsidR="00A1404B">
        <w:t xml:space="preserve"> nastavení systému vzdělávání a </w:t>
      </w:r>
      <w:r w:rsidR="0026124B">
        <w:t>přenosu informací o korupčních rizicích</w:t>
      </w:r>
      <w:r w:rsidR="0021550D">
        <w:t xml:space="preserve"> atd.</w:t>
      </w:r>
      <w:r>
        <w:t>,</w:t>
      </w:r>
    </w:p>
    <w:p w:rsidR="005F3430" w:rsidRDefault="008715C3" w:rsidP="00495FC1">
      <w:pPr>
        <w:pStyle w:val="Odstavecseseznamem"/>
        <w:numPr>
          <w:ilvl w:val="0"/>
          <w:numId w:val="43"/>
        </w:numPr>
      </w:pPr>
      <w:r>
        <w:t>z</w:t>
      </w:r>
      <w:r w:rsidR="005F3430">
        <w:t>ajištění plynulého průběhu ukončování a vyhod</w:t>
      </w:r>
      <w:r w:rsidR="00A1404B">
        <w:t>nocení programového období 2007</w:t>
      </w:r>
      <w:r w:rsidR="00A1404B">
        <w:noBreakHyphen/>
      </w:r>
      <w:r w:rsidR="005F3430">
        <w:t>2013</w:t>
      </w:r>
      <w:r>
        <w:t>,</w:t>
      </w:r>
    </w:p>
    <w:p w:rsidR="00674BC9" w:rsidRDefault="008715C3" w:rsidP="00495FC1">
      <w:pPr>
        <w:pStyle w:val="Odstavecseseznamem"/>
        <w:numPr>
          <w:ilvl w:val="0"/>
          <w:numId w:val="43"/>
        </w:numPr>
      </w:pPr>
      <w:r>
        <w:t>v</w:t>
      </w:r>
      <w:r w:rsidR="00F37B40" w:rsidRPr="00E73D5B">
        <w:t>časná příprava a realizace nového programového období 2021+ – zejména náklady</w:t>
      </w:r>
      <w:r w:rsidR="00F37B40">
        <w:t xml:space="preserve"> spojené s dokončením realizace, a </w:t>
      </w:r>
      <w:r w:rsidR="00F37B40" w:rsidRPr="00E73D5B">
        <w:t>náklady spojené s realizací počáteční fáze nového prog</w:t>
      </w:r>
      <w:r w:rsidR="00F37B40">
        <w:t xml:space="preserve">ramového období 2021+, </w:t>
      </w:r>
      <w:r w:rsidR="00F37B40" w:rsidRPr="00E73D5B">
        <w:t>zpracování analýz a podkl</w:t>
      </w:r>
      <w:r w:rsidR="009133A8">
        <w:t>adových studií či strategií pro </w:t>
      </w:r>
      <w:r w:rsidR="00F37B40" w:rsidRPr="00E73D5B">
        <w:t>samotno</w:t>
      </w:r>
      <w:r w:rsidR="00F37B40">
        <w:t>u přípravu operačního programu v programovém</w:t>
      </w:r>
      <w:r w:rsidR="00F37B40" w:rsidRPr="00E73D5B">
        <w:t xml:space="preserve"> období 2021+, vč. </w:t>
      </w:r>
      <w:r w:rsidR="00E16955">
        <w:t>e</w:t>
      </w:r>
      <w:r w:rsidR="00F37B40" w:rsidRPr="00E73D5B">
        <w:t>x-ante hodnocení a hodnocení SEA.</w:t>
      </w:r>
    </w:p>
    <w:p w:rsidR="00674BC9" w:rsidRDefault="00674BC9">
      <w:pPr>
        <w:pStyle w:val="Odstavecseseznamem"/>
        <w:rPr>
          <w:rFonts w:cs="Calibri"/>
        </w:rPr>
      </w:pPr>
    </w:p>
    <w:p w:rsidR="00674BC9" w:rsidRDefault="00633F21">
      <w:r w:rsidRPr="00633F21">
        <w:t>Podporované aktivity zaměřené na informovanost, publicitu a absorpční kapacitu vytváří komplexní a jednotný systém</w:t>
      </w:r>
      <w:r>
        <w:t xml:space="preserve"> informování veřejnosti o </w:t>
      </w:r>
      <w:proofErr w:type="gramStart"/>
      <w:r>
        <w:t>OP</w:t>
      </w:r>
      <w:proofErr w:type="gramEnd"/>
      <w:r>
        <w:t xml:space="preserve"> ŽP</w:t>
      </w:r>
      <w:r w:rsidRPr="00633F21">
        <w:t xml:space="preserve"> a společně s vytvořenými nástroji zajišťují a vhodnými opatřeními z</w:t>
      </w:r>
      <w:r>
        <w:t>vyšují absorpční kapacitu OP ŽP</w:t>
      </w:r>
      <w:r w:rsidRPr="00633F21">
        <w:t>. Mezi tyto podporované aktivity patří:</w:t>
      </w:r>
    </w:p>
    <w:p w:rsidR="00674BC9" w:rsidRDefault="00C06B49" w:rsidP="00495FC1">
      <w:pPr>
        <w:pStyle w:val="Odstavecseseznamem"/>
        <w:numPr>
          <w:ilvl w:val="0"/>
          <w:numId w:val="111"/>
        </w:numPr>
      </w:pPr>
      <w:r>
        <w:rPr>
          <w:rFonts w:cs="Calibri"/>
          <w:bCs/>
        </w:rPr>
        <w:t>p</w:t>
      </w:r>
      <w:r w:rsidR="00633F21" w:rsidRPr="00633F21">
        <w:rPr>
          <w:rFonts w:cs="Calibri"/>
          <w:bCs/>
        </w:rPr>
        <w:t>lánování publicitních a propagačních opatření včetně realizace průzkumů zaměřených na specifické cílové skupiny pro identifikaci jejich informačních potřeb a požadavků</w:t>
      </w:r>
      <w:r>
        <w:rPr>
          <w:rFonts w:cs="Calibri"/>
          <w:bCs/>
        </w:rPr>
        <w:t>,</w:t>
      </w:r>
    </w:p>
    <w:p w:rsidR="00674BC9" w:rsidRDefault="00C06B49" w:rsidP="00495FC1">
      <w:pPr>
        <w:pStyle w:val="Odstavecseseznamem"/>
        <w:numPr>
          <w:ilvl w:val="0"/>
          <w:numId w:val="111"/>
        </w:numPr>
      </w:pPr>
      <w:r>
        <w:rPr>
          <w:rFonts w:cs="Calibri"/>
          <w:bCs/>
        </w:rPr>
        <w:t>r</w:t>
      </w:r>
      <w:r w:rsidR="00633F21" w:rsidRPr="00633F21">
        <w:rPr>
          <w:rFonts w:cs="Calibri"/>
          <w:bCs/>
        </w:rPr>
        <w:t>ealizace publicitních a propagačních opatření. Aktivity a informační nástroje zaměřené na propagaci a publicitu, informativní akce. Vývoj, správa, rozvoj a</w:t>
      </w:r>
      <w:r w:rsidR="00633F21" w:rsidRPr="007D2B1B">
        <w:rPr>
          <w:rFonts w:cs="Calibri"/>
          <w:bCs/>
        </w:rPr>
        <w:t> technické zajištění informačních</w:t>
      </w:r>
      <w:r w:rsidR="00633F21" w:rsidRPr="003D4993">
        <w:rPr>
          <w:rFonts w:cs="Calibri"/>
          <w:bCs/>
        </w:rPr>
        <w:t xml:space="preserve"> a komunikačních nástrojů</w:t>
      </w:r>
      <w:r>
        <w:rPr>
          <w:rFonts w:cs="Calibri"/>
          <w:bCs/>
        </w:rPr>
        <w:t>,</w:t>
      </w:r>
    </w:p>
    <w:p w:rsidR="00674BC9" w:rsidRDefault="00C06B49" w:rsidP="00495FC1">
      <w:pPr>
        <w:pStyle w:val="Odstavecseseznamem"/>
        <w:numPr>
          <w:ilvl w:val="0"/>
          <w:numId w:val="111"/>
        </w:numPr>
      </w:pPr>
      <w:r>
        <w:rPr>
          <w:rFonts w:cs="Calibri"/>
          <w:bCs/>
        </w:rPr>
        <w:t>i</w:t>
      </w:r>
      <w:r w:rsidR="007D2B1B">
        <w:rPr>
          <w:rFonts w:cs="Calibri"/>
          <w:bCs/>
        </w:rPr>
        <w:t>n</w:t>
      </w:r>
      <w:r w:rsidR="00633F21" w:rsidRPr="00633F21">
        <w:rPr>
          <w:rFonts w:cs="Calibri"/>
          <w:bCs/>
        </w:rPr>
        <w:t>formační a poradenská podpora pro žadatele a příjemce (semináře, workshopy, výměna informací, know-how</w:t>
      </w:r>
      <w:r w:rsidR="007D2B1B">
        <w:rPr>
          <w:rFonts w:cs="Calibri"/>
          <w:bCs/>
        </w:rPr>
        <w:t xml:space="preserve">, školení, </w:t>
      </w:r>
      <w:proofErr w:type="spellStart"/>
      <w:r w:rsidR="007D2B1B">
        <w:rPr>
          <w:rFonts w:cs="Calibri"/>
          <w:bCs/>
        </w:rPr>
        <w:t>networking</w:t>
      </w:r>
      <w:proofErr w:type="spellEnd"/>
      <w:r w:rsidR="007D2B1B">
        <w:rPr>
          <w:rFonts w:cs="Calibri"/>
          <w:bCs/>
        </w:rPr>
        <w:t xml:space="preserve">, </w:t>
      </w:r>
      <w:proofErr w:type="spellStart"/>
      <w:r w:rsidR="007D2B1B">
        <w:rPr>
          <w:rFonts w:cs="Calibri"/>
          <w:bCs/>
        </w:rPr>
        <w:t>best</w:t>
      </w:r>
      <w:proofErr w:type="spellEnd"/>
      <w:r w:rsidR="007D2B1B">
        <w:rPr>
          <w:rFonts w:cs="Calibri"/>
          <w:bCs/>
        </w:rPr>
        <w:t xml:space="preserve"> </w:t>
      </w:r>
      <w:proofErr w:type="spellStart"/>
      <w:r w:rsidR="007D2B1B">
        <w:rPr>
          <w:rFonts w:cs="Calibri"/>
          <w:bCs/>
        </w:rPr>
        <w:t>practices</w:t>
      </w:r>
      <w:proofErr w:type="spellEnd"/>
      <w:r w:rsidR="00633F21" w:rsidRPr="00633F21">
        <w:rPr>
          <w:rFonts w:cs="Calibri"/>
          <w:bCs/>
        </w:rPr>
        <w:t>). Podpora tvorby a</w:t>
      </w:r>
      <w:r>
        <w:rPr>
          <w:rFonts w:cs="Calibri"/>
          <w:bCs/>
        </w:rPr>
        <w:t> </w:t>
      </w:r>
      <w:r w:rsidR="00633F21" w:rsidRPr="00633F21">
        <w:rPr>
          <w:rFonts w:cs="Calibri"/>
          <w:bCs/>
        </w:rPr>
        <w:t>přípravy p</w:t>
      </w:r>
      <w:r w:rsidR="007D2B1B">
        <w:rPr>
          <w:rFonts w:cs="Calibri"/>
          <w:bCs/>
        </w:rPr>
        <w:t xml:space="preserve">rojektů pro předložení do </w:t>
      </w:r>
      <w:proofErr w:type="gramStart"/>
      <w:r w:rsidR="007D2B1B">
        <w:rPr>
          <w:rFonts w:cs="Calibri"/>
          <w:bCs/>
        </w:rPr>
        <w:t>OP</w:t>
      </w:r>
      <w:proofErr w:type="gramEnd"/>
      <w:r w:rsidR="007D2B1B">
        <w:rPr>
          <w:rFonts w:cs="Calibri"/>
          <w:bCs/>
        </w:rPr>
        <w:t xml:space="preserve"> ŽP</w:t>
      </w:r>
      <w:r w:rsidR="00633F21" w:rsidRPr="00633F21">
        <w:rPr>
          <w:rFonts w:cs="Calibri"/>
          <w:bCs/>
        </w:rPr>
        <w:t xml:space="preserve"> a podpora úspěšnosti realizace podpořených projektů včetně pod</w:t>
      </w:r>
      <w:r w:rsidR="00633F21" w:rsidRPr="007D2B1B">
        <w:rPr>
          <w:rFonts w:cs="Calibri"/>
          <w:bCs/>
        </w:rPr>
        <w:t>pory řízení projektu u příjemce</w:t>
      </w:r>
      <w:r w:rsidR="007D2B1B" w:rsidRPr="007D2B1B">
        <w:rPr>
          <w:rFonts w:cs="Calibri"/>
          <w:bCs/>
        </w:rPr>
        <w:t xml:space="preserve"> (</w:t>
      </w:r>
      <w:r w:rsidR="0033290F" w:rsidRPr="0033290F">
        <w:t>metodická, konzultační a p</w:t>
      </w:r>
      <w:r w:rsidR="007D2B1B" w:rsidRPr="007D2B1B">
        <w:t>rávní podpora</w:t>
      </w:r>
      <w:r w:rsidR="0033290F" w:rsidRPr="0033290F">
        <w:t>, předběžné posouzení přijatelnosti, podpora při řešení stížností atd.)</w:t>
      </w:r>
      <w:r>
        <w:t>,</w:t>
      </w:r>
    </w:p>
    <w:p w:rsidR="00674BC9" w:rsidRDefault="00C06B49" w:rsidP="00495FC1">
      <w:pPr>
        <w:pStyle w:val="Odstavecseseznamem"/>
        <w:numPr>
          <w:ilvl w:val="0"/>
          <w:numId w:val="111"/>
        </w:numPr>
      </w:pPr>
      <w:r>
        <w:rPr>
          <w:rFonts w:cs="Calibri"/>
          <w:bCs/>
        </w:rPr>
        <w:t>a</w:t>
      </w:r>
      <w:r w:rsidR="00633F21" w:rsidRPr="00633F21">
        <w:rPr>
          <w:rFonts w:cs="Calibri"/>
          <w:bCs/>
        </w:rPr>
        <w:t xml:space="preserve">ktivity vedoucí k upevnění interní komunikace (např. redakční správa a rozvoj intranetu, zpracování a vydávání interního </w:t>
      </w:r>
      <w:proofErr w:type="spellStart"/>
      <w:r w:rsidR="00633F21" w:rsidRPr="00633F21">
        <w:rPr>
          <w:rFonts w:cs="Calibri"/>
          <w:bCs/>
        </w:rPr>
        <w:t>newsletteru</w:t>
      </w:r>
      <w:proofErr w:type="spellEnd"/>
      <w:r w:rsidR="00633F21" w:rsidRPr="00633F21">
        <w:rPr>
          <w:rFonts w:cs="Calibri"/>
          <w:bCs/>
        </w:rPr>
        <w:t xml:space="preserve">, realizace </w:t>
      </w:r>
      <w:proofErr w:type="spellStart"/>
      <w:r w:rsidR="00633F21" w:rsidRPr="00633F21">
        <w:rPr>
          <w:rFonts w:cs="Calibri"/>
          <w:bCs/>
        </w:rPr>
        <w:t>eventů</w:t>
      </w:r>
      <w:proofErr w:type="spellEnd"/>
      <w:r w:rsidR="00633F21" w:rsidRPr="00633F21">
        <w:rPr>
          <w:rFonts w:cs="Calibri"/>
          <w:bCs/>
        </w:rPr>
        <w:t>, analýzy a</w:t>
      </w:r>
      <w:r w:rsidR="00633F21" w:rsidRPr="007D2B1B">
        <w:rPr>
          <w:rFonts w:cs="Calibri"/>
          <w:bCs/>
        </w:rPr>
        <w:t xml:space="preserve"> průběžné nastavování opatření a postupů pro zlepšení interní komunikace, zvyšování informovanosti a povědomí pracovníků o výstupech interních analýz a evaluací apod.). Tyto aktivity kromě zlepšení informovanosti přispějí ke zvýšení kvality administrativní kapacity </w:t>
      </w:r>
      <w:r w:rsidR="00633F21" w:rsidRPr="00C758FA">
        <w:rPr>
          <w:rFonts w:cs="Calibri"/>
          <w:bCs/>
        </w:rPr>
        <w:t>programu a nepřímo přispěje i k</w:t>
      </w:r>
      <w:r w:rsidR="00633F21" w:rsidRPr="009559E4">
        <w:rPr>
          <w:rFonts w:cs="Calibri"/>
          <w:bCs/>
        </w:rPr>
        <w:t xml:space="preserve"> </w:t>
      </w:r>
      <w:r w:rsidR="00633F21" w:rsidRPr="003D4993">
        <w:rPr>
          <w:rFonts w:cs="Calibri"/>
          <w:bCs/>
        </w:rPr>
        <w:t>potřebě stabilizace personální kapacity.</w:t>
      </w:r>
    </w:p>
    <w:p w:rsidR="00674BC9" w:rsidRDefault="00674BC9">
      <w:pPr>
        <w:pStyle w:val="Odstavecseseznamem"/>
      </w:pPr>
    </w:p>
    <w:p w:rsidR="00C06B49" w:rsidRDefault="00C06B49" w:rsidP="00C06B49">
      <w:pPr>
        <w:pStyle w:val="Odstavecseseznamem"/>
      </w:pPr>
    </w:p>
    <w:p w:rsidR="00C06B49" w:rsidRDefault="00633F21" w:rsidP="00C06B49">
      <w:pPr>
        <w:pStyle w:val="Odstavecseseznamem"/>
        <w:ind w:left="0"/>
      </w:pPr>
      <w:r w:rsidRPr="00633F21">
        <w:t xml:space="preserve">Služby externích dodavatelů na aktivity podporované v </w:t>
      </w:r>
      <w:r>
        <w:t xml:space="preserve">rámci technické pomoci OP ŽP </w:t>
      </w:r>
      <w:r w:rsidRPr="00633F21">
        <w:t xml:space="preserve">budou využívány výhradně pro ty specifické činnosti, které nebude možné, anebo účelné a efektivní zabezpečit interní administrativní kapacitou. Může se jednat o činnosti provozního charakteru </w:t>
      </w:r>
      <w:r w:rsidRPr="00633F21">
        <w:lastRenderedPageBreak/>
        <w:t>související se zajištěním chodu organizace, a o následující služby:</w:t>
      </w:r>
      <w:r w:rsidRPr="00633F21" w:rsidDel="007031DE">
        <w:t xml:space="preserve"> </w:t>
      </w:r>
      <w:r w:rsidRPr="00633F21">
        <w:t>tvorba evaluačních studií nebo analýz, překlady a tlumočení, zajištění vzdělávání zaměstnanců implementační struktury, zajištění expertů pro posílení a zefektivnění výkonu auditu a provádění kontrol na</w:t>
      </w:r>
      <w:r w:rsidR="00C06B49">
        <w:t> </w:t>
      </w:r>
      <w:r w:rsidRPr="00633F21">
        <w:t>místě, propagace programu, specializované právní, ekonomické a jiné nezbytné odborné expertízy a</w:t>
      </w:r>
      <w:r w:rsidR="00C06B49">
        <w:t> </w:t>
      </w:r>
      <w:r w:rsidRPr="00633F21">
        <w:t>služby.</w:t>
      </w:r>
    </w:p>
    <w:p w:rsidR="00C06B49" w:rsidRDefault="00C06B49" w:rsidP="00C06B49">
      <w:pPr>
        <w:pStyle w:val="Odstavecseseznamem"/>
        <w:ind w:left="0"/>
      </w:pPr>
    </w:p>
    <w:p w:rsidR="00C06B49" w:rsidRPr="00C06B49" w:rsidRDefault="00633F21" w:rsidP="00C06B49">
      <w:pPr>
        <w:pStyle w:val="Odstavecseseznamem"/>
        <w:ind w:left="0"/>
        <w:rPr>
          <w:highlight w:val="yellow"/>
        </w:rPr>
      </w:pPr>
      <w:r w:rsidRPr="00633F21">
        <w:t>Činnosti související s nákupem zboží, služeb a prací budou s cílem optimalizace a</w:t>
      </w:r>
      <w:r w:rsidR="00C06B49">
        <w:t> </w:t>
      </w:r>
      <w:r w:rsidRPr="00633F21">
        <w:t xml:space="preserve">efektivního využívání finančních prostředků technické pomoci koordinovány, a to jak vnitřně v </w:t>
      </w:r>
      <w:r>
        <w:t>rámci ŘO OP ŽP</w:t>
      </w:r>
      <w:r w:rsidRPr="00633F21">
        <w:t xml:space="preserve">, tak i ve vazbě na </w:t>
      </w:r>
      <w:proofErr w:type="gramStart"/>
      <w:r w:rsidRPr="00633F21">
        <w:t>OP</w:t>
      </w:r>
      <w:proofErr w:type="gramEnd"/>
      <w:r w:rsidRPr="00633F21">
        <w:t xml:space="preserve"> TP. Realizované veřejné zakázky budou prováděny v</w:t>
      </w:r>
      <w:r w:rsidR="00C06B49">
        <w:t> </w:t>
      </w:r>
      <w:r w:rsidRPr="00633F21">
        <w:t>souladu s platnou komunitární a národní legislativou.</w:t>
      </w:r>
    </w:p>
    <w:p w:rsidR="00C06B49" w:rsidRDefault="00633F21">
      <w:r w:rsidRPr="00633F21">
        <w:rPr>
          <w:szCs w:val="24"/>
        </w:rPr>
        <w:t xml:space="preserve">Pro potřeby efektivní implementace technické pomoci v </w:t>
      </w:r>
      <w:r>
        <w:rPr>
          <w:szCs w:val="24"/>
        </w:rPr>
        <w:t xml:space="preserve">rámci OP ŽP </w:t>
      </w:r>
      <w:r w:rsidRPr="00633F21">
        <w:rPr>
          <w:szCs w:val="24"/>
        </w:rPr>
        <w:t>bude v rámci programu definován dlouhodobý plán aktivit technické pomoci (s detailní specifikací aktivit na rok) a</w:t>
      </w:r>
      <w:r w:rsidR="00C06B49">
        <w:rPr>
          <w:szCs w:val="24"/>
        </w:rPr>
        <w:t> </w:t>
      </w:r>
      <w:r w:rsidRPr="00633F21">
        <w:rPr>
          <w:szCs w:val="24"/>
        </w:rPr>
        <w:t>postup koordinace, který bude specifikovat koordinaci č</w:t>
      </w:r>
      <w:r>
        <w:rPr>
          <w:szCs w:val="24"/>
        </w:rPr>
        <w:t>inností jednak v rámci ŘO OP ŽP</w:t>
      </w:r>
      <w:r w:rsidRPr="00633F21">
        <w:rPr>
          <w:szCs w:val="24"/>
        </w:rPr>
        <w:t>, a</w:t>
      </w:r>
      <w:r w:rsidR="00C06B49">
        <w:rPr>
          <w:szCs w:val="24"/>
        </w:rPr>
        <w:t> </w:t>
      </w:r>
      <w:r w:rsidRPr="00633F21">
        <w:rPr>
          <w:szCs w:val="24"/>
        </w:rPr>
        <w:t>jednak ve vazbě na implementaci a podporované aktivity OP TP.</w:t>
      </w:r>
    </w:p>
    <w:p w:rsidR="00F37B40" w:rsidRDefault="00633F21" w:rsidP="00B66FDE">
      <w:r w:rsidRPr="00633F21">
        <w:rPr>
          <w:szCs w:val="24"/>
        </w:rPr>
        <w:t xml:space="preserve">Ve vazbě na získané zkušenosti z implementace technické pomoci </w:t>
      </w:r>
      <w:r>
        <w:rPr>
          <w:szCs w:val="24"/>
        </w:rPr>
        <w:t>v programovém období 2007</w:t>
      </w:r>
      <w:r w:rsidR="00C06B49">
        <w:rPr>
          <w:szCs w:val="24"/>
        </w:rPr>
        <w:noBreakHyphen/>
      </w:r>
      <w:r>
        <w:rPr>
          <w:szCs w:val="24"/>
        </w:rPr>
        <w:t>2013</w:t>
      </w:r>
      <w:r w:rsidRPr="00633F21">
        <w:rPr>
          <w:szCs w:val="24"/>
        </w:rPr>
        <w:t xml:space="preserve"> budou </w:t>
      </w:r>
      <w:r w:rsidRPr="00633F21">
        <w:t>za účelem snížení administrativní náročnosti a zvýšení efektivity realizovány rámcové projekty technické pomoci zahrnující více podporovaných aktivit.</w:t>
      </w:r>
      <w:r w:rsidR="00A1404B">
        <w:t xml:space="preserve"> </w:t>
      </w:r>
      <w:r w:rsidR="00F37B40" w:rsidRPr="00972DD4">
        <w:t>Cílové skupiny zahrnují především subjek</w:t>
      </w:r>
      <w:r w:rsidR="00F37B40">
        <w:t>ty implementační strukt</w:t>
      </w:r>
      <w:r w:rsidR="00943AD3">
        <w:t>ury OP</w:t>
      </w:r>
      <w:r w:rsidR="00E16955">
        <w:t xml:space="preserve"> </w:t>
      </w:r>
      <w:r w:rsidR="00943AD3">
        <w:t>ŽP.</w:t>
      </w:r>
    </w:p>
    <w:p w:rsidR="00674BC9" w:rsidRDefault="007B21C6">
      <w:pPr>
        <w:pStyle w:val="Nadpis4"/>
      </w:pPr>
      <w:bookmarkStart w:id="2958" w:name="_Toc392151071"/>
      <w:r>
        <w:t>Ukazatele výstupů, které by podle očekávání měly přispět k dosažení výsledků</w:t>
      </w:r>
      <w:bookmarkEnd w:id="2958"/>
    </w:p>
    <w:p w:rsidR="00F37B40" w:rsidRDefault="007B21C6" w:rsidP="00165854">
      <w:pPr>
        <w:pStyle w:val="Titulek"/>
        <w:rPr>
          <w:rFonts w:asciiTheme="majorHAnsi" w:hAnsiTheme="majorHAnsi"/>
          <w:sz w:val="20"/>
          <w:szCs w:val="20"/>
        </w:rPr>
      </w:pPr>
      <w:r>
        <w:t>Ukazatele výstupů</w:t>
      </w:r>
    </w:p>
    <w:tbl>
      <w:tblPr>
        <w:tblStyle w:val="Mkatabulky"/>
        <w:tblW w:w="9180" w:type="dxa"/>
        <w:tblLook w:val="04A0" w:firstRow="1" w:lastRow="0" w:firstColumn="1" w:lastColumn="0" w:noHBand="0" w:noVBand="1"/>
      </w:tblPr>
      <w:tblGrid>
        <w:gridCol w:w="770"/>
        <w:gridCol w:w="2830"/>
        <w:gridCol w:w="1520"/>
        <w:gridCol w:w="1647"/>
        <w:gridCol w:w="2413"/>
      </w:tblGrid>
      <w:tr w:rsidR="00AA2A81" w:rsidTr="00A1404B">
        <w:trPr>
          <w:trHeight w:val="272"/>
        </w:trPr>
        <w:tc>
          <w:tcPr>
            <w:tcW w:w="770"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AA2A81" w:rsidRPr="007F4F2B" w:rsidRDefault="00AA2A81" w:rsidP="00B66FDE">
            <w:pPr>
              <w:rPr>
                <w:rFonts w:asciiTheme="majorHAnsi" w:hAnsiTheme="majorHAnsi"/>
                <w:b/>
                <w:sz w:val="20"/>
                <w:szCs w:val="20"/>
              </w:rPr>
            </w:pPr>
            <w:r w:rsidRPr="007F4F2B">
              <w:rPr>
                <w:rFonts w:asciiTheme="majorHAnsi" w:hAnsiTheme="majorHAnsi"/>
                <w:b/>
                <w:sz w:val="20"/>
                <w:szCs w:val="20"/>
              </w:rPr>
              <w:t xml:space="preserve">ID </w:t>
            </w:r>
          </w:p>
        </w:tc>
        <w:tc>
          <w:tcPr>
            <w:tcW w:w="2830"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AA2A81" w:rsidRPr="007F4F2B" w:rsidRDefault="00AA2A81" w:rsidP="00B66FDE">
            <w:pPr>
              <w:rPr>
                <w:rFonts w:asciiTheme="majorHAnsi" w:hAnsiTheme="majorHAnsi"/>
                <w:b/>
                <w:sz w:val="20"/>
                <w:szCs w:val="20"/>
              </w:rPr>
            </w:pPr>
            <w:r w:rsidRPr="007F4F2B">
              <w:rPr>
                <w:rFonts w:asciiTheme="majorHAnsi" w:hAnsiTheme="majorHAnsi"/>
                <w:b/>
                <w:sz w:val="20"/>
                <w:szCs w:val="20"/>
              </w:rPr>
              <w:t xml:space="preserve">Indikátor </w:t>
            </w:r>
          </w:p>
        </w:tc>
        <w:tc>
          <w:tcPr>
            <w:tcW w:w="1520"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AA2A81" w:rsidRPr="007F4F2B" w:rsidRDefault="00AA2A81" w:rsidP="00B66FDE">
            <w:pPr>
              <w:rPr>
                <w:rFonts w:asciiTheme="majorHAnsi" w:hAnsiTheme="majorHAnsi"/>
                <w:b/>
                <w:sz w:val="20"/>
                <w:szCs w:val="20"/>
              </w:rPr>
            </w:pPr>
            <w:r w:rsidRPr="007F4F2B">
              <w:rPr>
                <w:rFonts w:asciiTheme="majorHAnsi" w:hAnsiTheme="majorHAnsi"/>
                <w:b/>
                <w:sz w:val="20"/>
                <w:szCs w:val="20"/>
              </w:rPr>
              <w:t>Měrná jednotka</w:t>
            </w:r>
          </w:p>
        </w:tc>
        <w:tc>
          <w:tcPr>
            <w:tcW w:w="1647"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AA2A81" w:rsidRPr="007F4F2B" w:rsidRDefault="00AA2A81" w:rsidP="00B66FDE">
            <w:pPr>
              <w:rPr>
                <w:rFonts w:asciiTheme="majorHAnsi" w:hAnsiTheme="majorHAnsi"/>
                <w:b/>
                <w:sz w:val="20"/>
                <w:szCs w:val="20"/>
              </w:rPr>
            </w:pPr>
            <w:r w:rsidRPr="007F4F2B">
              <w:rPr>
                <w:rFonts w:asciiTheme="majorHAnsi" w:hAnsiTheme="majorHAnsi"/>
                <w:b/>
                <w:sz w:val="20"/>
                <w:szCs w:val="20"/>
              </w:rPr>
              <w:t>Cílová hodnota (2023)</w:t>
            </w:r>
          </w:p>
        </w:tc>
        <w:tc>
          <w:tcPr>
            <w:tcW w:w="2413"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rsidR="00AA2A81" w:rsidRPr="007F4F2B" w:rsidRDefault="00AA2A81" w:rsidP="00B66FDE">
            <w:pPr>
              <w:rPr>
                <w:rFonts w:asciiTheme="majorHAnsi" w:hAnsiTheme="majorHAnsi"/>
                <w:b/>
                <w:sz w:val="20"/>
                <w:szCs w:val="20"/>
              </w:rPr>
            </w:pPr>
            <w:r w:rsidRPr="007F4F2B">
              <w:rPr>
                <w:rFonts w:asciiTheme="majorHAnsi" w:hAnsiTheme="majorHAnsi"/>
                <w:b/>
                <w:sz w:val="20"/>
                <w:szCs w:val="20"/>
              </w:rPr>
              <w:t>Zdroj dat</w:t>
            </w:r>
          </w:p>
        </w:tc>
      </w:tr>
      <w:tr w:rsidR="00AA2A81" w:rsidTr="00A1404B">
        <w:trPr>
          <w:trHeight w:val="366"/>
        </w:trPr>
        <w:tc>
          <w:tcPr>
            <w:tcW w:w="770" w:type="dxa"/>
            <w:tcBorders>
              <w:top w:val="single" w:sz="12" w:space="0" w:color="auto"/>
              <w:left w:val="single" w:sz="4" w:space="0" w:color="auto"/>
              <w:bottom w:val="single" w:sz="4" w:space="0" w:color="auto"/>
              <w:right w:val="single" w:sz="4" w:space="0" w:color="auto"/>
            </w:tcBorders>
          </w:tcPr>
          <w:p w:rsidR="00AA2A81" w:rsidRDefault="00534BBB" w:rsidP="00B66FDE">
            <w:pPr>
              <w:rPr>
                <w:rFonts w:asciiTheme="majorHAnsi" w:hAnsiTheme="majorHAnsi"/>
                <w:sz w:val="20"/>
                <w:szCs w:val="20"/>
              </w:rPr>
            </w:pPr>
            <w:r>
              <w:rPr>
                <w:rFonts w:asciiTheme="majorHAnsi" w:hAnsiTheme="majorHAnsi"/>
                <w:sz w:val="20"/>
                <w:szCs w:val="20"/>
              </w:rPr>
              <w:t>806</w:t>
            </w:r>
            <w:r w:rsidRPr="00534BBB">
              <w:rPr>
                <w:rFonts w:asciiTheme="majorHAnsi" w:hAnsiTheme="majorHAnsi"/>
                <w:sz w:val="20"/>
                <w:szCs w:val="20"/>
              </w:rPr>
              <w:t>00</w:t>
            </w:r>
          </w:p>
        </w:tc>
        <w:tc>
          <w:tcPr>
            <w:tcW w:w="2830" w:type="dxa"/>
            <w:tcBorders>
              <w:top w:val="single" w:sz="12" w:space="0" w:color="auto"/>
              <w:left w:val="single" w:sz="4" w:space="0" w:color="auto"/>
              <w:bottom w:val="single" w:sz="4" w:space="0" w:color="auto"/>
              <w:right w:val="single" w:sz="4" w:space="0" w:color="auto"/>
            </w:tcBorders>
            <w:hideMark/>
          </w:tcPr>
          <w:p w:rsidR="00AA2A81" w:rsidRDefault="00AA2A81" w:rsidP="00B66FDE">
            <w:pPr>
              <w:rPr>
                <w:rFonts w:asciiTheme="majorHAnsi" w:hAnsiTheme="majorHAnsi"/>
                <w:sz w:val="20"/>
                <w:szCs w:val="20"/>
              </w:rPr>
            </w:pPr>
            <w:r>
              <w:rPr>
                <w:rFonts w:asciiTheme="majorHAnsi" w:hAnsiTheme="majorHAnsi" w:cs="Helv"/>
                <w:color w:val="000000"/>
                <w:sz w:val="20"/>
                <w:szCs w:val="20"/>
              </w:rPr>
              <w:t>Počet jednání orgánů, pracovních či poradních skupin</w:t>
            </w:r>
          </w:p>
        </w:tc>
        <w:tc>
          <w:tcPr>
            <w:tcW w:w="1520" w:type="dxa"/>
            <w:tcBorders>
              <w:top w:val="single" w:sz="12" w:space="0" w:color="auto"/>
              <w:left w:val="single" w:sz="4" w:space="0" w:color="auto"/>
              <w:bottom w:val="single" w:sz="4" w:space="0" w:color="auto"/>
              <w:right w:val="single" w:sz="4" w:space="0" w:color="auto"/>
            </w:tcBorders>
            <w:hideMark/>
          </w:tcPr>
          <w:p w:rsidR="00AA2A81" w:rsidRDefault="00AA2A81" w:rsidP="00B66FDE">
            <w:pPr>
              <w:rPr>
                <w:rFonts w:asciiTheme="majorHAnsi" w:hAnsiTheme="majorHAnsi"/>
                <w:sz w:val="20"/>
                <w:szCs w:val="20"/>
              </w:rPr>
            </w:pPr>
            <w:r>
              <w:rPr>
                <w:rFonts w:asciiTheme="majorHAnsi" w:hAnsiTheme="majorHAnsi"/>
                <w:sz w:val="20"/>
                <w:szCs w:val="20"/>
              </w:rPr>
              <w:t>jednání</w:t>
            </w:r>
          </w:p>
        </w:tc>
        <w:tc>
          <w:tcPr>
            <w:tcW w:w="1647" w:type="dxa"/>
            <w:tcBorders>
              <w:top w:val="single" w:sz="12" w:space="0" w:color="auto"/>
              <w:left w:val="single" w:sz="4" w:space="0" w:color="auto"/>
              <w:bottom w:val="single" w:sz="4" w:space="0" w:color="auto"/>
              <w:right w:val="single" w:sz="4" w:space="0" w:color="auto"/>
            </w:tcBorders>
          </w:tcPr>
          <w:p w:rsidR="00AA2A81" w:rsidRDefault="005827FC" w:rsidP="00B66FDE">
            <w:pPr>
              <w:rPr>
                <w:rFonts w:asciiTheme="majorHAnsi" w:hAnsiTheme="majorHAnsi"/>
                <w:sz w:val="20"/>
                <w:szCs w:val="20"/>
              </w:rPr>
            </w:pPr>
            <w:r>
              <w:rPr>
                <w:rFonts w:asciiTheme="majorHAnsi" w:hAnsiTheme="majorHAnsi"/>
                <w:sz w:val="20"/>
                <w:szCs w:val="20"/>
              </w:rPr>
              <w:t>150</w:t>
            </w:r>
          </w:p>
        </w:tc>
        <w:tc>
          <w:tcPr>
            <w:tcW w:w="2413" w:type="dxa"/>
            <w:tcBorders>
              <w:top w:val="single" w:sz="12" w:space="0" w:color="auto"/>
              <w:left w:val="single" w:sz="4" w:space="0" w:color="auto"/>
              <w:bottom w:val="single" w:sz="4" w:space="0" w:color="auto"/>
              <w:right w:val="single" w:sz="4" w:space="0" w:color="auto"/>
            </w:tcBorders>
            <w:hideMark/>
          </w:tcPr>
          <w:p w:rsidR="00AA2A81" w:rsidRDefault="00AC59B8" w:rsidP="00B66FDE">
            <w:pPr>
              <w:rPr>
                <w:rFonts w:asciiTheme="majorHAnsi" w:hAnsiTheme="majorHAnsi"/>
                <w:sz w:val="20"/>
                <w:szCs w:val="20"/>
              </w:rPr>
            </w:pPr>
            <w:r>
              <w:rPr>
                <w:rFonts w:asciiTheme="majorHAnsi" w:hAnsiTheme="majorHAnsi"/>
                <w:sz w:val="20"/>
                <w:szCs w:val="20"/>
              </w:rPr>
              <w:t>ŘO</w:t>
            </w:r>
          </w:p>
        </w:tc>
      </w:tr>
      <w:tr w:rsidR="00AA2A81" w:rsidTr="00A1404B">
        <w:trPr>
          <w:trHeight w:val="179"/>
        </w:trPr>
        <w:tc>
          <w:tcPr>
            <w:tcW w:w="770" w:type="dxa"/>
            <w:tcBorders>
              <w:top w:val="single" w:sz="4" w:space="0" w:color="auto"/>
              <w:left w:val="single" w:sz="4" w:space="0" w:color="auto"/>
              <w:bottom w:val="single" w:sz="4" w:space="0" w:color="auto"/>
              <w:right w:val="single" w:sz="4" w:space="0" w:color="auto"/>
            </w:tcBorders>
          </w:tcPr>
          <w:p w:rsidR="00AA2A81" w:rsidRDefault="00534BBB" w:rsidP="00B66FDE">
            <w:pPr>
              <w:rPr>
                <w:rFonts w:asciiTheme="majorHAnsi" w:hAnsiTheme="majorHAnsi"/>
                <w:sz w:val="20"/>
                <w:szCs w:val="20"/>
              </w:rPr>
            </w:pPr>
            <w:r>
              <w:rPr>
                <w:rFonts w:asciiTheme="majorHAnsi" w:hAnsiTheme="majorHAnsi"/>
                <w:sz w:val="20"/>
                <w:szCs w:val="20"/>
              </w:rPr>
              <w:t>820</w:t>
            </w:r>
            <w:r w:rsidRPr="00534BBB">
              <w:rPr>
                <w:rFonts w:asciiTheme="majorHAnsi" w:hAnsiTheme="majorHAnsi"/>
                <w:sz w:val="20"/>
                <w:szCs w:val="20"/>
              </w:rPr>
              <w:t>00</w:t>
            </w:r>
          </w:p>
        </w:tc>
        <w:tc>
          <w:tcPr>
            <w:tcW w:w="2830" w:type="dxa"/>
            <w:tcBorders>
              <w:top w:val="single" w:sz="4" w:space="0" w:color="auto"/>
              <w:left w:val="single" w:sz="4" w:space="0" w:color="auto"/>
              <w:bottom w:val="single" w:sz="4" w:space="0" w:color="auto"/>
              <w:right w:val="single" w:sz="4" w:space="0" w:color="auto"/>
            </w:tcBorders>
            <w:hideMark/>
          </w:tcPr>
          <w:p w:rsidR="00AA2A81" w:rsidRDefault="00AA2A81" w:rsidP="00B66FDE">
            <w:pPr>
              <w:rPr>
                <w:rFonts w:asciiTheme="majorHAnsi" w:hAnsiTheme="majorHAnsi" w:cs="Helv"/>
                <w:color w:val="000000"/>
                <w:sz w:val="20"/>
                <w:szCs w:val="20"/>
              </w:rPr>
            </w:pPr>
            <w:r>
              <w:rPr>
                <w:rFonts w:asciiTheme="majorHAnsi" w:hAnsiTheme="majorHAnsi" w:cs="Helv"/>
                <w:color w:val="000000"/>
                <w:sz w:val="20"/>
                <w:szCs w:val="20"/>
              </w:rPr>
              <w:t>Počet uskutečněných školení, seminářů, workshopů, konferencí a ostatní podobné aktivity</w:t>
            </w:r>
          </w:p>
        </w:tc>
        <w:tc>
          <w:tcPr>
            <w:tcW w:w="1520" w:type="dxa"/>
            <w:tcBorders>
              <w:top w:val="single" w:sz="4" w:space="0" w:color="auto"/>
              <w:left w:val="single" w:sz="4" w:space="0" w:color="auto"/>
              <w:bottom w:val="single" w:sz="4" w:space="0" w:color="auto"/>
              <w:right w:val="single" w:sz="4" w:space="0" w:color="auto"/>
            </w:tcBorders>
            <w:hideMark/>
          </w:tcPr>
          <w:p w:rsidR="00AA2A81" w:rsidRDefault="00AA2A81" w:rsidP="00B66FDE">
            <w:pPr>
              <w:rPr>
                <w:rFonts w:asciiTheme="majorHAnsi" w:hAnsiTheme="majorHAnsi"/>
                <w:sz w:val="20"/>
                <w:szCs w:val="20"/>
              </w:rPr>
            </w:pPr>
            <w:r>
              <w:rPr>
                <w:rFonts w:asciiTheme="majorHAnsi" w:hAnsiTheme="majorHAnsi"/>
                <w:sz w:val="20"/>
                <w:szCs w:val="20"/>
              </w:rPr>
              <w:t>aktivita</w:t>
            </w:r>
          </w:p>
        </w:tc>
        <w:tc>
          <w:tcPr>
            <w:tcW w:w="1647" w:type="dxa"/>
            <w:tcBorders>
              <w:top w:val="single" w:sz="4" w:space="0" w:color="auto"/>
              <w:left w:val="single" w:sz="4" w:space="0" w:color="auto"/>
              <w:bottom w:val="single" w:sz="4" w:space="0" w:color="auto"/>
              <w:right w:val="single" w:sz="4" w:space="0" w:color="auto"/>
            </w:tcBorders>
          </w:tcPr>
          <w:p w:rsidR="00AA2A81" w:rsidRPr="005827FC" w:rsidRDefault="0033290F" w:rsidP="00B66FDE">
            <w:pPr>
              <w:spacing w:line="276" w:lineRule="auto"/>
              <w:rPr>
                <w:rFonts w:asciiTheme="majorHAnsi" w:eastAsia="Times New Roman" w:hAnsiTheme="majorHAnsi" w:cs="Times New Roman"/>
                <w:sz w:val="20"/>
                <w:szCs w:val="20"/>
                <w:lang w:val="en-GB" w:eastAsia="fr-BE"/>
              </w:rPr>
            </w:pPr>
            <w:r w:rsidRPr="0033290F">
              <w:rPr>
                <w:rFonts w:asciiTheme="majorHAnsi" w:eastAsia="Times New Roman" w:hAnsiTheme="majorHAnsi" w:cs="Times New Roman"/>
                <w:sz w:val="20"/>
                <w:szCs w:val="20"/>
                <w:lang w:val="en-GB" w:eastAsia="fr-BE"/>
              </w:rPr>
              <w:t>200</w:t>
            </w:r>
          </w:p>
        </w:tc>
        <w:tc>
          <w:tcPr>
            <w:tcW w:w="2413" w:type="dxa"/>
            <w:tcBorders>
              <w:top w:val="single" w:sz="4" w:space="0" w:color="auto"/>
              <w:left w:val="single" w:sz="4" w:space="0" w:color="auto"/>
              <w:bottom w:val="single" w:sz="4" w:space="0" w:color="auto"/>
              <w:right w:val="single" w:sz="4" w:space="0" w:color="auto"/>
            </w:tcBorders>
            <w:hideMark/>
          </w:tcPr>
          <w:p w:rsidR="00AA2A81" w:rsidRDefault="00AC59B8" w:rsidP="00B66FDE">
            <w:pPr>
              <w:rPr>
                <w:rFonts w:asciiTheme="majorHAnsi" w:hAnsiTheme="majorHAnsi"/>
                <w:sz w:val="20"/>
                <w:szCs w:val="20"/>
              </w:rPr>
            </w:pPr>
            <w:r>
              <w:rPr>
                <w:rFonts w:asciiTheme="majorHAnsi" w:hAnsiTheme="majorHAnsi"/>
                <w:sz w:val="20"/>
                <w:szCs w:val="20"/>
              </w:rPr>
              <w:t>ŘO</w:t>
            </w:r>
          </w:p>
        </w:tc>
      </w:tr>
      <w:tr w:rsidR="00AA2A81" w:rsidTr="00A1404B">
        <w:trPr>
          <w:trHeight w:val="179"/>
        </w:trPr>
        <w:tc>
          <w:tcPr>
            <w:tcW w:w="770" w:type="dxa"/>
            <w:tcBorders>
              <w:top w:val="single" w:sz="4" w:space="0" w:color="auto"/>
              <w:left w:val="single" w:sz="4" w:space="0" w:color="auto"/>
              <w:bottom w:val="single" w:sz="4" w:space="0" w:color="auto"/>
              <w:right w:val="single" w:sz="4" w:space="0" w:color="auto"/>
            </w:tcBorders>
          </w:tcPr>
          <w:p w:rsidR="00AA2A81" w:rsidRDefault="00534BBB" w:rsidP="00B66FDE">
            <w:pPr>
              <w:rPr>
                <w:rFonts w:asciiTheme="majorHAnsi" w:hAnsiTheme="majorHAnsi"/>
                <w:sz w:val="20"/>
                <w:szCs w:val="20"/>
              </w:rPr>
            </w:pPr>
            <w:r>
              <w:rPr>
                <w:rFonts w:asciiTheme="majorHAnsi" w:hAnsiTheme="majorHAnsi"/>
                <w:sz w:val="20"/>
                <w:szCs w:val="20"/>
              </w:rPr>
              <w:t>800</w:t>
            </w:r>
            <w:r w:rsidRPr="00534BBB">
              <w:rPr>
                <w:rFonts w:asciiTheme="majorHAnsi" w:hAnsiTheme="majorHAnsi"/>
                <w:sz w:val="20"/>
                <w:szCs w:val="20"/>
              </w:rPr>
              <w:t>01</w:t>
            </w:r>
          </w:p>
        </w:tc>
        <w:tc>
          <w:tcPr>
            <w:tcW w:w="2830" w:type="dxa"/>
            <w:tcBorders>
              <w:top w:val="single" w:sz="4" w:space="0" w:color="auto"/>
              <w:left w:val="single" w:sz="4" w:space="0" w:color="auto"/>
              <w:bottom w:val="single" w:sz="4" w:space="0" w:color="auto"/>
              <w:right w:val="single" w:sz="4" w:space="0" w:color="auto"/>
            </w:tcBorders>
            <w:hideMark/>
          </w:tcPr>
          <w:p w:rsidR="00AA2A81" w:rsidRDefault="00AA2A81" w:rsidP="00B66FDE">
            <w:pPr>
              <w:rPr>
                <w:rFonts w:asciiTheme="majorHAnsi" w:hAnsiTheme="majorHAnsi" w:cstheme="minorHAnsi"/>
                <w:color w:val="000000"/>
                <w:sz w:val="20"/>
                <w:szCs w:val="20"/>
              </w:rPr>
            </w:pPr>
            <w:r>
              <w:rPr>
                <w:rFonts w:asciiTheme="majorHAnsi" w:hAnsiTheme="majorHAnsi" w:cstheme="minorHAnsi"/>
                <w:color w:val="000000"/>
                <w:sz w:val="20"/>
                <w:szCs w:val="20"/>
              </w:rPr>
              <w:t>Počet uspořádaných informačních a propagačních aktivit</w:t>
            </w:r>
          </w:p>
        </w:tc>
        <w:tc>
          <w:tcPr>
            <w:tcW w:w="1520" w:type="dxa"/>
            <w:tcBorders>
              <w:top w:val="single" w:sz="4" w:space="0" w:color="auto"/>
              <w:left w:val="single" w:sz="4" w:space="0" w:color="auto"/>
              <w:bottom w:val="single" w:sz="4" w:space="0" w:color="auto"/>
              <w:right w:val="single" w:sz="4" w:space="0" w:color="auto"/>
            </w:tcBorders>
            <w:hideMark/>
          </w:tcPr>
          <w:p w:rsidR="00AA2A81" w:rsidRDefault="00AA2A81" w:rsidP="00B66FDE">
            <w:pPr>
              <w:rPr>
                <w:rFonts w:asciiTheme="majorHAnsi" w:hAnsiTheme="majorHAnsi"/>
                <w:sz w:val="20"/>
                <w:szCs w:val="20"/>
              </w:rPr>
            </w:pPr>
            <w:r>
              <w:rPr>
                <w:rFonts w:asciiTheme="majorHAnsi" w:hAnsiTheme="majorHAnsi"/>
                <w:sz w:val="20"/>
                <w:szCs w:val="20"/>
              </w:rPr>
              <w:t>aktivita</w:t>
            </w:r>
          </w:p>
        </w:tc>
        <w:tc>
          <w:tcPr>
            <w:tcW w:w="1647" w:type="dxa"/>
            <w:tcBorders>
              <w:top w:val="single" w:sz="4" w:space="0" w:color="auto"/>
              <w:left w:val="single" w:sz="4" w:space="0" w:color="auto"/>
              <w:bottom w:val="single" w:sz="4" w:space="0" w:color="auto"/>
              <w:right w:val="single" w:sz="4" w:space="0" w:color="auto"/>
            </w:tcBorders>
          </w:tcPr>
          <w:p w:rsidR="00AA2A81" w:rsidRDefault="005827FC" w:rsidP="00B66FDE">
            <w:pPr>
              <w:rPr>
                <w:rFonts w:asciiTheme="majorHAnsi" w:hAnsiTheme="majorHAnsi"/>
                <w:sz w:val="20"/>
                <w:szCs w:val="20"/>
              </w:rPr>
            </w:pPr>
            <w:r>
              <w:rPr>
                <w:rFonts w:asciiTheme="majorHAnsi" w:hAnsiTheme="majorHAnsi"/>
                <w:sz w:val="20"/>
                <w:szCs w:val="20"/>
              </w:rPr>
              <w:t>20</w:t>
            </w:r>
          </w:p>
        </w:tc>
        <w:tc>
          <w:tcPr>
            <w:tcW w:w="2413" w:type="dxa"/>
            <w:tcBorders>
              <w:top w:val="single" w:sz="4" w:space="0" w:color="auto"/>
              <w:left w:val="single" w:sz="4" w:space="0" w:color="auto"/>
              <w:bottom w:val="single" w:sz="4" w:space="0" w:color="auto"/>
              <w:right w:val="single" w:sz="4" w:space="0" w:color="auto"/>
            </w:tcBorders>
            <w:hideMark/>
          </w:tcPr>
          <w:p w:rsidR="00AA2A81" w:rsidRDefault="00AC59B8" w:rsidP="00B66FDE">
            <w:pPr>
              <w:rPr>
                <w:rFonts w:asciiTheme="majorHAnsi" w:hAnsiTheme="majorHAnsi"/>
                <w:sz w:val="20"/>
                <w:szCs w:val="20"/>
              </w:rPr>
            </w:pPr>
            <w:r>
              <w:rPr>
                <w:rFonts w:asciiTheme="majorHAnsi" w:hAnsiTheme="majorHAnsi"/>
                <w:sz w:val="20"/>
                <w:szCs w:val="20"/>
              </w:rPr>
              <w:t>ŘO</w:t>
            </w:r>
          </w:p>
        </w:tc>
      </w:tr>
      <w:tr w:rsidR="00AA2A81" w:rsidTr="00A1404B">
        <w:trPr>
          <w:trHeight w:val="179"/>
        </w:trPr>
        <w:tc>
          <w:tcPr>
            <w:tcW w:w="770" w:type="dxa"/>
            <w:tcBorders>
              <w:top w:val="single" w:sz="4" w:space="0" w:color="auto"/>
              <w:left w:val="single" w:sz="4" w:space="0" w:color="auto"/>
              <w:bottom w:val="single" w:sz="4" w:space="0" w:color="auto"/>
              <w:right w:val="single" w:sz="4" w:space="0" w:color="auto"/>
            </w:tcBorders>
          </w:tcPr>
          <w:p w:rsidR="00AA2A81" w:rsidRDefault="00534BBB" w:rsidP="00B66FDE">
            <w:pPr>
              <w:rPr>
                <w:rFonts w:asciiTheme="majorHAnsi" w:hAnsiTheme="majorHAnsi"/>
                <w:sz w:val="20"/>
                <w:szCs w:val="20"/>
              </w:rPr>
            </w:pPr>
            <w:r>
              <w:rPr>
                <w:rFonts w:asciiTheme="majorHAnsi" w:hAnsiTheme="majorHAnsi"/>
                <w:sz w:val="20"/>
                <w:szCs w:val="20"/>
              </w:rPr>
              <w:t>825</w:t>
            </w:r>
            <w:r w:rsidRPr="00534BBB">
              <w:rPr>
                <w:rFonts w:asciiTheme="majorHAnsi" w:hAnsiTheme="majorHAnsi"/>
                <w:sz w:val="20"/>
                <w:szCs w:val="20"/>
              </w:rPr>
              <w:t>00</w:t>
            </w:r>
          </w:p>
        </w:tc>
        <w:tc>
          <w:tcPr>
            <w:tcW w:w="2830" w:type="dxa"/>
            <w:tcBorders>
              <w:top w:val="single" w:sz="4" w:space="0" w:color="auto"/>
              <w:left w:val="single" w:sz="4" w:space="0" w:color="auto"/>
              <w:bottom w:val="single" w:sz="4" w:space="0" w:color="auto"/>
              <w:right w:val="single" w:sz="4" w:space="0" w:color="auto"/>
            </w:tcBorders>
            <w:hideMark/>
          </w:tcPr>
          <w:p w:rsidR="00AA2A81" w:rsidRDefault="00AA2A81" w:rsidP="00B66FDE">
            <w:pPr>
              <w:rPr>
                <w:rFonts w:asciiTheme="majorHAnsi" w:hAnsiTheme="majorHAnsi" w:cstheme="minorHAnsi"/>
                <w:color w:val="000000"/>
                <w:sz w:val="20"/>
                <w:szCs w:val="20"/>
              </w:rPr>
            </w:pPr>
            <w:r>
              <w:rPr>
                <w:rFonts w:asciiTheme="majorHAnsi" w:hAnsiTheme="majorHAnsi" w:cstheme="minorHAnsi"/>
                <w:color w:val="000000"/>
                <w:sz w:val="20"/>
                <w:szCs w:val="20"/>
              </w:rPr>
              <w:t>Počet pracovních míst financovaných z programu</w:t>
            </w:r>
          </w:p>
        </w:tc>
        <w:tc>
          <w:tcPr>
            <w:tcW w:w="1520" w:type="dxa"/>
            <w:tcBorders>
              <w:top w:val="single" w:sz="4" w:space="0" w:color="auto"/>
              <w:left w:val="single" w:sz="4" w:space="0" w:color="auto"/>
              <w:bottom w:val="single" w:sz="4" w:space="0" w:color="auto"/>
              <w:right w:val="single" w:sz="4" w:space="0" w:color="auto"/>
            </w:tcBorders>
            <w:hideMark/>
          </w:tcPr>
          <w:p w:rsidR="00AA2A81" w:rsidRDefault="00AA2A81" w:rsidP="00B66FDE">
            <w:pPr>
              <w:rPr>
                <w:rFonts w:asciiTheme="majorHAnsi" w:hAnsiTheme="majorHAnsi"/>
                <w:sz w:val="20"/>
                <w:szCs w:val="20"/>
              </w:rPr>
            </w:pPr>
            <w:r>
              <w:rPr>
                <w:rFonts w:asciiTheme="majorHAnsi" w:hAnsiTheme="majorHAnsi"/>
                <w:sz w:val="20"/>
                <w:szCs w:val="20"/>
              </w:rPr>
              <w:t>FTE</w:t>
            </w:r>
          </w:p>
        </w:tc>
        <w:tc>
          <w:tcPr>
            <w:tcW w:w="1647" w:type="dxa"/>
            <w:tcBorders>
              <w:top w:val="single" w:sz="4" w:space="0" w:color="auto"/>
              <w:left w:val="single" w:sz="4" w:space="0" w:color="auto"/>
              <w:bottom w:val="single" w:sz="4" w:space="0" w:color="auto"/>
              <w:right w:val="single" w:sz="4" w:space="0" w:color="auto"/>
            </w:tcBorders>
          </w:tcPr>
          <w:p w:rsidR="00AA2A81" w:rsidRDefault="00D76E6A" w:rsidP="00B66FDE">
            <w:pPr>
              <w:rPr>
                <w:rFonts w:asciiTheme="majorHAnsi" w:hAnsiTheme="majorHAnsi"/>
                <w:sz w:val="20"/>
                <w:szCs w:val="20"/>
              </w:rPr>
            </w:pPr>
            <w:r>
              <w:rPr>
                <w:rFonts w:asciiTheme="majorHAnsi" w:hAnsiTheme="majorHAnsi"/>
                <w:sz w:val="20"/>
                <w:szCs w:val="20"/>
              </w:rPr>
              <w:t>3</w:t>
            </w:r>
            <w:r w:rsidR="003009B6">
              <w:rPr>
                <w:rFonts w:asciiTheme="majorHAnsi" w:hAnsiTheme="majorHAnsi"/>
                <w:sz w:val="20"/>
                <w:szCs w:val="20"/>
              </w:rPr>
              <w:t>1</w:t>
            </w:r>
            <w:r w:rsidR="00674BC9">
              <w:rPr>
                <w:rFonts w:asciiTheme="majorHAnsi" w:hAnsiTheme="majorHAnsi"/>
                <w:sz w:val="20"/>
                <w:szCs w:val="20"/>
              </w:rPr>
              <w:t>0</w:t>
            </w:r>
          </w:p>
        </w:tc>
        <w:tc>
          <w:tcPr>
            <w:tcW w:w="2413" w:type="dxa"/>
            <w:tcBorders>
              <w:top w:val="single" w:sz="4" w:space="0" w:color="auto"/>
              <w:left w:val="single" w:sz="4" w:space="0" w:color="auto"/>
              <w:bottom w:val="single" w:sz="4" w:space="0" w:color="auto"/>
              <w:right w:val="single" w:sz="4" w:space="0" w:color="auto"/>
            </w:tcBorders>
            <w:hideMark/>
          </w:tcPr>
          <w:p w:rsidR="00AA2A81" w:rsidRDefault="00AC59B8" w:rsidP="00B66FDE">
            <w:pPr>
              <w:rPr>
                <w:rFonts w:asciiTheme="majorHAnsi" w:hAnsiTheme="majorHAnsi"/>
                <w:sz w:val="20"/>
                <w:szCs w:val="20"/>
              </w:rPr>
            </w:pPr>
            <w:r>
              <w:rPr>
                <w:rFonts w:asciiTheme="majorHAnsi" w:hAnsiTheme="majorHAnsi"/>
                <w:sz w:val="20"/>
                <w:szCs w:val="20"/>
              </w:rPr>
              <w:t>ŘO</w:t>
            </w:r>
          </w:p>
        </w:tc>
      </w:tr>
    </w:tbl>
    <w:p w:rsidR="00F37B40" w:rsidRDefault="00F37B40" w:rsidP="00B66FDE"/>
    <w:p w:rsidR="00F625C4" w:rsidRDefault="00F625C4" w:rsidP="00B66FDE"/>
    <w:p w:rsidR="00F625C4" w:rsidRDefault="00F625C4" w:rsidP="00B66FDE"/>
    <w:p w:rsidR="00E03ABF" w:rsidRDefault="00E03ABF" w:rsidP="00B66FDE"/>
    <w:p w:rsidR="006F7D80" w:rsidRDefault="00F37B40" w:rsidP="00165854">
      <w:pPr>
        <w:pStyle w:val="Nadpis3"/>
      </w:pPr>
      <w:bookmarkStart w:id="2959" w:name="_Toc391014997"/>
      <w:bookmarkStart w:id="2960" w:name="_Toc391016148"/>
      <w:bookmarkStart w:id="2961" w:name="_Toc391017087"/>
      <w:bookmarkStart w:id="2962" w:name="_Toc391018200"/>
      <w:bookmarkStart w:id="2963" w:name="_Toc391019312"/>
      <w:bookmarkStart w:id="2964" w:name="_Toc391014998"/>
      <w:bookmarkStart w:id="2965" w:name="_Toc391016149"/>
      <w:bookmarkStart w:id="2966" w:name="_Toc391017088"/>
      <w:bookmarkStart w:id="2967" w:name="_Toc391018201"/>
      <w:bookmarkStart w:id="2968" w:name="_Toc391019313"/>
      <w:bookmarkStart w:id="2969" w:name="_Toc391015000"/>
      <w:bookmarkStart w:id="2970" w:name="_Toc391016151"/>
      <w:bookmarkStart w:id="2971" w:name="_Toc391017090"/>
      <w:bookmarkStart w:id="2972" w:name="_Toc391018203"/>
      <w:bookmarkStart w:id="2973" w:name="_Toc391019315"/>
      <w:bookmarkStart w:id="2974" w:name="_Toc391015001"/>
      <w:bookmarkStart w:id="2975" w:name="_Toc391016152"/>
      <w:bookmarkStart w:id="2976" w:name="_Toc391017091"/>
      <w:bookmarkStart w:id="2977" w:name="_Toc391018204"/>
      <w:bookmarkStart w:id="2978" w:name="_Toc391019316"/>
      <w:bookmarkStart w:id="2979" w:name="_Toc391015003"/>
      <w:bookmarkStart w:id="2980" w:name="_Toc391016154"/>
      <w:bookmarkStart w:id="2981" w:name="_Toc391017093"/>
      <w:bookmarkStart w:id="2982" w:name="_Toc391018206"/>
      <w:bookmarkStart w:id="2983" w:name="_Toc391019318"/>
      <w:bookmarkStart w:id="2984" w:name="_Toc380745769"/>
      <w:bookmarkStart w:id="2985" w:name="_Toc392151072"/>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r>
        <w:lastRenderedPageBreak/>
        <w:t xml:space="preserve">Kategorie </w:t>
      </w:r>
      <w:bookmarkEnd w:id="2984"/>
      <w:r w:rsidR="007B21C6">
        <w:t>zásahů</w:t>
      </w:r>
      <w:bookmarkEnd w:id="2985"/>
    </w:p>
    <w:p w:rsidR="00860EE2" w:rsidRDefault="00F45EA7" w:rsidP="00B66FDE">
      <w:pPr>
        <w:pStyle w:val="Titulek"/>
      </w:pPr>
      <w:bookmarkStart w:id="2986" w:name="_Toc384907514"/>
      <w:r>
        <w:t>Dimenze 1 -  Oblast zásahu</w:t>
      </w:r>
      <w:bookmarkEnd w:id="2986"/>
    </w:p>
    <w:tbl>
      <w:tblPr>
        <w:tblStyle w:val="Mkatabulky"/>
        <w:tblW w:w="0" w:type="auto"/>
        <w:tblLook w:val="04A0" w:firstRow="1" w:lastRow="0" w:firstColumn="1" w:lastColumn="0" w:noHBand="0" w:noVBand="1"/>
      </w:tblPr>
      <w:tblGrid>
        <w:gridCol w:w="3070"/>
        <w:gridCol w:w="3070"/>
        <w:gridCol w:w="2899"/>
      </w:tblGrid>
      <w:tr w:rsidR="00944E38" w:rsidTr="000A639D">
        <w:tc>
          <w:tcPr>
            <w:tcW w:w="3070" w:type="dxa"/>
          </w:tcPr>
          <w:p w:rsidR="00944E38" w:rsidRDefault="00944E38" w:rsidP="00867818">
            <w:r>
              <w:t>Fond</w:t>
            </w:r>
          </w:p>
        </w:tc>
        <w:tc>
          <w:tcPr>
            <w:tcW w:w="5969" w:type="dxa"/>
            <w:gridSpan w:val="2"/>
          </w:tcPr>
          <w:p w:rsidR="00944E38" w:rsidRDefault="00944E38" w:rsidP="00867818">
            <w:r>
              <w:t>Fond soudržnosti</w:t>
            </w:r>
          </w:p>
        </w:tc>
      </w:tr>
      <w:tr w:rsidR="00944E38" w:rsidTr="000A639D">
        <w:tc>
          <w:tcPr>
            <w:tcW w:w="3070" w:type="dxa"/>
          </w:tcPr>
          <w:p w:rsidR="00944E38" w:rsidRDefault="00944E38" w:rsidP="00867818">
            <w:r>
              <w:t>Kategorie regionů</w:t>
            </w:r>
          </w:p>
        </w:tc>
        <w:tc>
          <w:tcPr>
            <w:tcW w:w="5969" w:type="dxa"/>
            <w:gridSpan w:val="2"/>
          </w:tcPr>
          <w:p w:rsidR="00944E38" w:rsidRDefault="00944E38" w:rsidP="00867818">
            <w:r>
              <w:t>Není relevantní pro prioritní osu 6</w:t>
            </w:r>
          </w:p>
        </w:tc>
      </w:tr>
      <w:tr w:rsidR="00944E38" w:rsidTr="000A639D">
        <w:tc>
          <w:tcPr>
            <w:tcW w:w="3070" w:type="dxa"/>
          </w:tcPr>
          <w:p w:rsidR="00944E38" w:rsidRDefault="00944E38" w:rsidP="00867818">
            <w:r>
              <w:t>Prioritní osa</w:t>
            </w:r>
          </w:p>
        </w:tc>
        <w:tc>
          <w:tcPr>
            <w:tcW w:w="3070" w:type="dxa"/>
          </w:tcPr>
          <w:p w:rsidR="00944E38" w:rsidRDefault="00944E38" w:rsidP="00867818">
            <w:r>
              <w:t xml:space="preserve">Kód </w:t>
            </w:r>
          </w:p>
        </w:tc>
        <w:tc>
          <w:tcPr>
            <w:tcW w:w="2899" w:type="dxa"/>
          </w:tcPr>
          <w:p w:rsidR="00944E38" w:rsidRDefault="00944E38" w:rsidP="00867818">
            <w:r>
              <w:t xml:space="preserve">Částka (v </w:t>
            </w:r>
            <w:proofErr w:type="gramStart"/>
            <w:r>
              <w:t>EUR</w:t>
            </w:r>
            <w:proofErr w:type="gramEnd"/>
            <w:r>
              <w:t>)</w:t>
            </w:r>
          </w:p>
        </w:tc>
      </w:tr>
      <w:tr w:rsidR="00944E38" w:rsidTr="000A639D">
        <w:tc>
          <w:tcPr>
            <w:tcW w:w="3070" w:type="dxa"/>
          </w:tcPr>
          <w:p w:rsidR="00944E38" w:rsidRDefault="00944E38" w:rsidP="00867818">
            <w:r>
              <w:t>Prioritní osa 6</w:t>
            </w:r>
          </w:p>
        </w:tc>
        <w:tc>
          <w:tcPr>
            <w:tcW w:w="3070" w:type="dxa"/>
          </w:tcPr>
          <w:p w:rsidR="00944E38" w:rsidRDefault="005B2673" w:rsidP="00867818">
            <w:r>
              <w:t>121</w:t>
            </w:r>
          </w:p>
        </w:tc>
        <w:tc>
          <w:tcPr>
            <w:tcW w:w="2899" w:type="dxa"/>
          </w:tcPr>
          <w:p w:rsidR="00944E38" w:rsidRDefault="005827FC" w:rsidP="00867818">
            <w:r>
              <w:t>63 000 000</w:t>
            </w:r>
          </w:p>
        </w:tc>
      </w:tr>
      <w:tr w:rsidR="005B2673" w:rsidTr="000A639D">
        <w:tc>
          <w:tcPr>
            <w:tcW w:w="3070" w:type="dxa"/>
          </w:tcPr>
          <w:p w:rsidR="005B2673" w:rsidRDefault="005B2673" w:rsidP="00867818">
            <w:r>
              <w:t>Prioritní osa 6</w:t>
            </w:r>
          </w:p>
        </w:tc>
        <w:tc>
          <w:tcPr>
            <w:tcW w:w="3070" w:type="dxa"/>
          </w:tcPr>
          <w:p w:rsidR="005B2673" w:rsidRDefault="005B2673" w:rsidP="00867818">
            <w:r>
              <w:t>122</w:t>
            </w:r>
          </w:p>
        </w:tc>
        <w:tc>
          <w:tcPr>
            <w:tcW w:w="2899" w:type="dxa"/>
          </w:tcPr>
          <w:p w:rsidR="005B2673" w:rsidRDefault="005827FC" w:rsidP="00867818">
            <w:r>
              <w:t>8 000 000</w:t>
            </w:r>
          </w:p>
        </w:tc>
      </w:tr>
      <w:tr w:rsidR="005B2673" w:rsidTr="000A639D">
        <w:tc>
          <w:tcPr>
            <w:tcW w:w="3070" w:type="dxa"/>
          </w:tcPr>
          <w:p w:rsidR="005B2673" w:rsidRDefault="005B2673" w:rsidP="00867818">
            <w:r>
              <w:t>Prioritní osa 6</w:t>
            </w:r>
          </w:p>
        </w:tc>
        <w:tc>
          <w:tcPr>
            <w:tcW w:w="3070" w:type="dxa"/>
          </w:tcPr>
          <w:p w:rsidR="005B2673" w:rsidRDefault="005B2673" w:rsidP="00867818">
            <w:r>
              <w:t>123</w:t>
            </w:r>
          </w:p>
        </w:tc>
        <w:tc>
          <w:tcPr>
            <w:tcW w:w="2899" w:type="dxa"/>
          </w:tcPr>
          <w:p w:rsidR="005B2673" w:rsidRDefault="005827FC" w:rsidP="00867818">
            <w:r>
              <w:t>2 115 012</w:t>
            </w:r>
          </w:p>
        </w:tc>
      </w:tr>
    </w:tbl>
    <w:p w:rsidR="00F45EA7" w:rsidRDefault="00F45EA7" w:rsidP="00B66FDE"/>
    <w:p w:rsidR="00674BC9" w:rsidRDefault="00803B02">
      <w:pPr>
        <w:pStyle w:val="Titulek"/>
        <w:jc w:val="left"/>
      </w:pPr>
      <w:r w:rsidRPr="00803B02">
        <w:t>Dimenze 2 – Forma finan</w:t>
      </w:r>
      <w:r w:rsidR="00E13B65">
        <w:t>čních prostředků</w:t>
      </w:r>
      <w:r w:rsidRPr="00803B02">
        <w:t xml:space="preserve"> </w:t>
      </w:r>
    </w:p>
    <w:tbl>
      <w:tblPr>
        <w:tblStyle w:val="Mkatabulky"/>
        <w:tblW w:w="0" w:type="auto"/>
        <w:tblLook w:val="04A0" w:firstRow="1" w:lastRow="0" w:firstColumn="1" w:lastColumn="0" w:noHBand="0" w:noVBand="1"/>
      </w:tblPr>
      <w:tblGrid>
        <w:gridCol w:w="3070"/>
        <w:gridCol w:w="3070"/>
        <w:gridCol w:w="2899"/>
      </w:tblGrid>
      <w:tr w:rsidR="00803B02" w:rsidTr="000A639D">
        <w:tc>
          <w:tcPr>
            <w:tcW w:w="3070" w:type="dxa"/>
          </w:tcPr>
          <w:p w:rsidR="00803B02" w:rsidRDefault="00803B02" w:rsidP="00B1391A">
            <w:r>
              <w:t>Fond</w:t>
            </w:r>
          </w:p>
        </w:tc>
        <w:tc>
          <w:tcPr>
            <w:tcW w:w="5969" w:type="dxa"/>
            <w:gridSpan w:val="2"/>
          </w:tcPr>
          <w:p w:rsidR="00803B02" w:rsidRDefault="00803B02" w:rsidP="00B1391A">
            <w:r>
              <w:t>Fond soudržnosti</w:t>
            </w:r>
          </w:p>
        </w:tc>
      </w:tr>
      <w:tr w:rsidR="00803B02" w:rsidTr="000A639D">
        <w:tc>
          <w:tcPr>
            <w:tcW w:w="3070" w:type="dxa"/>
          </w:tcPr>
          <w:p w:rsidR="00803B02" w:rsidRDefault="00803B02" w:rsidP="00B1391A">
            <w:r>
              <w:t>Kategorie regionů</w:t>
            </w:r>
          </w:p>
        </w:tc>
        <w:tc>
          <w:tcPr>
            <w:tcW w:w="5969" w:type="dxa"/>
            <w:gridSpan w:val="2"/>
          </w:tcPr>
          <w:p w:rsidR="00803B02" w:rsidRDefault="00803B02" w:rsidP="00B1391A">
            <w:r>
              <w:t>Není relevantní pro prioritní osu 6</w:t>
            </w:r>
          </w:p>
        </w:tc>
      </w:tr>
      <w:tr w:rsidR="00803B02" w:rsidTr="000A639D">
        <w:tc>
          <w:tcPr>
            <w:tcW w:w="3070" w:type="dxa"/>
          </w:tcPr>
          <w:p w:rsidR="00803B02" w:rsidRDefault="00803B02" w:rsidP="00B1391A">
            <w:r>
              <w:t>Prioritní osa</w:t>
            </w:r>
          </w:p>
        </w:tc>
        <w:tc>
          <w:tcPr>
            <w:tcW w:w="3070" w:type="dxa"/>
          </w:tcPr>
          <w:p w:rsidR="00803B02" w:rsidRDefault="00803B02" w:rsidP="00B1391A">
            <w:r>
              <w:t xml:space="preserve">Kód </w:t>
            </w:r>
          </w:p>
        </w:tc>
        <w:tc>
          <w:tcPr>
            <w:tcW w:w="2899" w:type="dxa"/>
          </w:tcPr>
          <w:p w:rsidR="00803B02" w:rsidRDefault="00803B02" w:rsidP="00B1391A">
            <w:r>
              <w:t xml:space="preserve">Částka (v </w:t>
            </w:r>
            <w:proofErr w:type="gramStart"/>
            <w:r>
              <w:t>EUR</w:t>
            </w:r>
            <w:proofErr w:type="gramEnd"/>
            <w:r>
              <w:t>)</w:t>
            </w:r>
          </w:p>
        </w:tc>
      </w:tr>
      <w:tr w:rsidR="00803B02" w:rsidTr="000A639D">
        <w:tc>
          <w:tcPr>
            <w:tcW w:w="3070" w:type="dxa"/>
          </w:tcPr>
          <w:p w:rsidR="00803B02" w:rsidRDefault="00803B02" w:rsidP="00B1391A">
            <w:r>
              <w:t>Prioritní osa 6</w:t>
            </w:r>
          </w:p>
        </w:tc>
        <w:tc>
          <w:tcPr>
            <w:tcW w:w="3070" w:type="dxa"/>
          </w:tcPr>
          <w:p w:rsidR="00803B02" w:rsidRDefault="005B2673" w:rsidP="00B1391A">
            <w:r>
              <w:t>01</w:t>
            </w:r>
          </w:p>
        </w:tc>
        <w:tc>
          <w:tcPr>
            <w:tcW w:w="2899" w:type="dxa"/>
          </w:tcPr>
          <w:p w:rsidR="00803B02" w:rsidRDefault="0014232C" w:rsidP="00B1391A">
            <w:r w:rsidRPr="0014232C">
              <w:t>73</w:t>
            </w:r>
            <w:r>
              <w:t xml:space="preserve"> </w:t>
            </w:r>
            <w:r w:rsidRPr="0014232C">
              <w:t>115</w:t>
            </w:r>
            <w:r>
              <w:t xml:space="preserve"> </w:t>
            </w:r>
            <w:r w:rsidRPr="0014232C">
              <w:t>012</w:t>
            </w:r>
          </w:p>
        </w:tc>
      </w:tr>
    </w:tbl>
    <w:p w:rsidR="00803B02" w:rsidRDefault="00803B02" w:rsidP="00803B02"/>
    <w:p w:rsidR="00674BC9" w:rsidRDefault="00803B02">
      <w:pPr>
        <w:pStyle w:val="Titulek"/>
      </w:pPr>
      <w:r>
        <w:t>Dimenze 3 – Typ území</w:t>
      </w:r>
    </w:p>
    <w:tbl>
      <w:tblPr>
        <w:tblStyle w:val="Mkatabulky"/>
        <w:tblW w:w="0" w:type="auto"/>
        <w:tblLook w:val="04A0" w:firstRow="1" w:lastRow="0" w:firstColumn="1" w:lastColumn="0" w:noHBand="0" w:noVBand="1"/>
      </w:tblPr>
      <w:tblGrid>
        <w:gridCol w:w="3070"/>
        <w:gridCol w:w="3070"/>
        <w:gridCol w:w="2899"/>
      </w:tblGrid>
      <w:tr w:rsidR="00803B02" w:rsidTr="000A639D">
        <w:tc>
          <w:tcPr>
            <w:tcW w:w="3070" w:type="dxa"/>
          </w:tcPr>
          <w:p w:rsidR="00803B02" w:rsidRDefault="00803B02" w:rsidP="00B1391A">
            <w:r>
              <w:t>Fond</w:t>
            </w:r>
          </w:p>
        </w:tc>
        <w:tc>
          <w:tcPr>
            <w:tcW w:w="5969" w:type="dxa"/>
            <w:gridSpan w:val="2"/>
          </w:tcPr>
          <w:p w:rsidR="00803B02" w:rsidRDefault="00803B02" w:rsidP="00B1391A">
            <w:r>
              <w:t>Fond soudržnosti</w:t>
            </w:r>
          </w:p>
        </w:tc>
      </w:tr>
      <w:tr w:rsidR="00803B02" w:rsidTr="000A639D">
        <w:tc>
          <w:tcPr>
            <w:tcW w:w="3070" w:type="dxa"/>
          </w:tcPr>
          <w:p w:rsidR="00803B02" w:rsidRDefault="00803B02" w:rsidP="00B1391A">
            <w:r>
              <w:t>Kategorie regionů</w:t>
            </w:r>
          </w:p>
        </w:tc>
        <w:tc>
          <w:tcPr>
            <w:tcW w:w="5969" w:type="dxa"/>
            <w:gridSpan w:val="2"/>
          </w:tcPr>
          <w:p w:rsidR="00803B02" w:rsidRDefault="00803B02" w:rsidP="00B1391A">
            <w:r>
              <w:t>Není relevantní pro prioritní osu 6</w:t>
            </w:r>
          </w:p>
        </w:tc>
      </w:tr>
      <w:tr w:rsidR="00803B02" w:rsidTr="000A639D">
        <w:tc>
          <w:tcPr>
            <w:tcW w:w="3070" w:type="dxa"/>
          </w:tcPr>
          <w:p w:rsidR="00803B02" w:rsidRDefault="00803B02" w:rsidP="00B1391A">
            <w:r>
              <w:t>Prioritní osa</w:t>
            </w:r>
          </w:p>
        </w:tc>
        <w:tc>
          <w:tcPr>
            <w:tcW w:w="3070" w:type="dxa"/>
          </w:tcPr>
          <w:p w:rsidR="00803B02" w:rsidRDefault="00803B02" w:rsidP="00B1391A">
            <w:r>
              <w:t xml:space="preserve">Kód </w:t>
            </w:r>
          </w:p>
        </w:tc>
        <w:tc>
          <w:tcPr>
            <w:tcW w:w="2899" w:type="dxa"/>
          </w:tcPr>
          <w:p w:rsidR="00803B02" w:rsidRDefault="00803B02" w:rsidP="00B1391A">
            <w:r>
              <w:t xml:space="preserve">Částka (v </w:t>
            </w:r>
            <w:proofErr w:type="gramStart"/>
            <w:r>
              <w:t>EUR</w:t>
            </w:r>
            <w:proofErr w:type="gramEnd"/>
            <w:r>
              <w:t>)</w:t>
            </w:r>
          </w:p>
        </w:tc>
      </w:tr>
      <w:tr w:rsidR="00803B02" w:rsidTr="000A639D">
        <w:tc>
          <w:tcPr>
            <w:tcW w:w="3070" w:type="dxa"/>
          </w:tcPr>
          <w:p w:rsidR="00803B02" w:rsidRDefault="00803B02" w:rsidP="00B1391A">
            <w:r>
              <w:t>Prioritní osa 6</w:t>
            </w:r>
          </w:p>
        </w:tc>
        <w:tc>
          <w:tcPr>
            <w:tcW w:w="3070" w:type="dxa"/>
          </w:tcPr>
          <w:p w:rsidR="00803B02" w:rsidRDefault="00CA4BA8" w:rsidP="00B1391A">
            <w:r>
              <w:t>0</w:t>
            </w:r>
            <w:r w:rsidR="005B2673">
              <w:t>7</w:t>
            </w:r>
          </w:p>
        </w:tc>
        <w:tc>
          <w:tcPr>
            <w:tcW w:w="2899" w:type="dxa"/>
          </w:tcPr>
          <w:p w:rsidR="00803B02" w:rsidRDefault="0014232C" w:rsidP="00B1391A">
            <w:r w:rsidRPr="0014232C">
              <w:t>73</w:t>
            </w:r>
            <w:r>
              <w:t xml:space="preserve"> </w:t>
            </w:r>
            <w:r w:rsidRPr="0014232C">
              <w:t>115</w:t>
            </w:r>
            <w:r>
              <w:t xml:space="preserve"> </w:t>
            </w:r>
            <w:r w:rsidRPr="0014232C">
              <w:t>012</w:t>
            </w:r>
          </w:p>
        </w:tc>
      </w:tr>
    </w:tbl>
    <w:p w:rsidR="00803B02" w:rsidRDefault="00803B02" w:rsidP="00803B02"/>
    <w:p w:rsidR="00E432B0" w:rsidRDefault="00E432B0" w:rsidP="00803B02">
      <w:pPr>
        <w:sectPr w:rsidR="00E432B0" w:rsidSect="002E328A">
          <w:headerReference w:type="even" r:id="rId19"/>
          <w:headerReference w:type="default" r:id="rId20"/>
          <w:footerReference w:type="default" r:id="rId21"/>
          <w:headerReference w:type="first" r:id="rId22"/>
          <w:pgSz w:w="11906" w:h="16838" w:code="9"/>
          <w:pgMar w:top="1418" w:right="1418" w:bottom="2127" w:left="1418" w:header="709" w:footer="709" w:gutter="0"/>
          <w:cols w:space="708"/>
          <w:docGrid w:linePitch="360"/>
        </w:sectPr>
      </w:pPr>
    </w:p>
    <w:p w:rsidR="00A96091" w:rsidRDefault="007B21C6" w:rsidP="00BD12AB">
      <w:pPr>
        <w:pStyle w:val="Nadpis1"/>
      </w:pPr>
      <w:bookmarkStart w:id="2987" w:name="_Toc392151073"/>
      <w:bookmarkEnd w:id="2864"/>
      <w:r>
        <w:lastRenderedPageBreak/>
        <w:t>Plán financování</w:t>
      </w:r>
      <w:bookmarkEnd w:id="2987"/>
    </w:p>
    <w:p w:rsidR="00186D01" w:rsidRDefault="00552473" w:rsidP="00BD12AB">
      <w:pPr>
        <w:pStyle w:val="Nadpis2"/>
      </w:pPr>
      <w:bookmarkStart w:id="2988" w:name="_Toc392151074"/>
      <w:r>
        <w:t>Finanční podpora z každého fondu a částky týkající se výkonnostní rezervy</w:t>
      </w:r>
      <w:bookmarkEnd w:id="2988"/>
    </w:p>
    <w:p w:rsidR="00BD12AB" w:rsidRPr="00BD12AB" w:rsidRDefault="00E62CBD" w:rsidP="00084AC1">
      <w:pPr>
        <w:pStyle w:val="Titulek"/>
        <w:rPr>
          <w:rFonts w:cstheme="minorHAnsi"/>
          <w:sz w:val="20"/>
        </w:rPr>
      </w:pPr>
      <w:r w:rsidRPr="004314F4">
        <w:t xml:space="preserve"> </w:t>
      </w:r>
      <w:r w:rsidR="00BD12AB" w:rsidRPr="004314F4">
        <w:t>Výše celkových finančních závazků na jednotlivé roky</w:t>
      </w:r>
      <w:r w:rsidR="00BD12AB">
        <w:t xml:space="preserve"> (v </w:t>
      </w:r>
      <w:proofErr w:type="gramStart"/>
      <w:r w:rsidR="00BD12AB">
        <w:t>EUR</w:t>
      </w:r>
      <w:proofErr w:type="gramEnd"/>
      <w:r w:rsidR="00BD12AB">
        <w:t>)</w:t>
      </w:r>
    </w:p>
    <w:tbl>
      <w:tblPr>
        <w:tblpPr w:leftFromText="141" w:rightFromText="141" w:vertAnchor="text" w:horzAnchor="margin" w:tblpXSpec="center" w:tblpY="215"/>
        <w:tblW w:w="13149" w:type="dxa"/>
        <w:tblLayout w:type="fixed"/>
        <w:tblLook w:val="0000" w:firstRow="0" w:lastRow="0" w:firstColumn="0" w:lastColumn="0" w:noHBand="0" w:noVBand="0"/>
      </w:tblPr>
      <w:tblGrid>
        <w:gridCol w:w="534"/>
        <w:gridCol w:w="850"/>
        <w:gridCol w:w="709"/>
        <w:gridCol w:w="850"/>
        <w:gridCol w:w="709"/>
        <w:gridCol w:w="851"/>
        <w:gridCol w:w="708"/>
        <w:gridCol w:w="851"/>
        <w:gridCol w:w="709"/>
        <w:gridCol w:w="708"/>
        <w:gridCol w:w="709"/>
        <w:gridCol w:w="709"/>
        <w:gridCol w:w="709"/>
        <w:gridCol w:w="708"/>
        <w:gridCol w:w="709"/>
        <w:gridCol w:w="709"/>
        <w:gridCol w:w="709"/>
        <w:gridCol w:w="708"/>
      </w:tblGrid>
      <w:tr w:rsidR="002F11D3" w:rsidRPr="00C63D0B" w:rsidTr="002F11D3">
        <w:trPr>
          <w:trHeight w:val="493"/>
        </w:trPr>
        <w:tc>
          <w:tcPr>
            <w:tcW w:w="534" w:type="dxa"/>
            <w:tcBorders>
              <w:top w:val="single" w:sz="4" w:space="0" w:color="000000"/>
              <w:left w:val="single" w:sz="4" w:space="0" w:color="000000"/>
              <w:bottom w:val="single" w:sz="18" w:space="0" w:color="auto"/>
              <w:right w:val="single" w:sz="4" w:space="0" w:color="000000"/>
            </w:tcBorders>
            <w:shd w:val="clear" w:color="auto" w:fill="BFBFBF" w:themeFill="background1" w:themeFillShade="BF"/>
            <w:vAlign w:val="bottom"/>
          </w:tcPr>
          <w:p w:rsidR="00470E40" w:rsidRPr="00C63D0B" w:rsidRDefault="00470E40" w:rsidP="00AE7F37">
            <w:pPr>
              <w:rPr>
                <w:rFonts w:cstheme="minorHAnsi"/>
                <w:b/>
                <w:bCs/>
                <w:sz w:val="16"/>
                <w:szCs w:val="16"/>
              </w:rPr>
            </w:pPr>
            <w:bookmarkStart w:id="2989" w:name="_Toc384907517"/>
            <w:bookmarkStart w:id="2990" w:name="_Toc350962109"/>
            <w:bookmarkStart w:id="2991" w:name="_Toc351471136"/>
            <w:r w:rsidRPr="00C63D0B">
              <w:rPr>
                <w:rFonts w:cstheme="minorHAnsi"/>
                <w:b/>
                <w:bCs/>
                <w:sz w:val="16"/>
                <w:szCs w:val="16"/>
              </w:rPr>
              <w:t>Fond</w:t>
            </w:r>
          </w:p>
        </w:tc>
        <w:tc>
          <w:tcPr>
            <w:tcW w:w="850" w:type="dxa"/>
            <w:tcBorders>
              <w:top w:val="single" w:sz="4" w:space="0" w:color="000000"/>
              <w:left w:val="single" w:sz="4" w:space="0" w:color="000000"/>
              <w:bottom w:val="single" w:sz="18" w:space="0" w:color="auto"/>
            </w:tcBorders>
            <w:shd w:val="clear" w:color="auto" w:fill="BFBFBF" w:themeFill="background1" w:themeFillShade="BF"/>
            <w:vAlign w:val="bottom"/>
          </w:tcPr>
          <w:p w:rsidR="00470E40" w:rsidRPr="00C63D0B" w:rsidRDefault="00470E40" w:rsidP="00AE7F37">
            <w:pPr>
              <w:rPr>
                <w:rFonts w:cstheme="minorHAnsi"/>
                <w:b/>
                <w:bCs/>
                <w:sz w:val="16"/>
                <w:szCs w:val="16"/>
              </w:rPr>
            </w:pPr>
            <w:r w:rsidRPr="00C63D0B">
              <w:rPr>
                <w:rFonts w:cstheme="minorHAnsi"/>
                <w:b/>
                <w:bCs/>
                <w:sz w:val="16"/>
                <w:szCs w:val="16"/>
              </w:rPr>
              <w:t>Kategorie region</w:t>
            </w:r>
            <w:r>
              <w:rPr>
                <w:rFonts w:cstheme="minorHAnsi"/>
                <w:b/>
                <w:bCs/>
                <w:sz w:val="16"/>
                <w:szCs w:val="16"/>
              </w:rPr>
              <w:t>ů</w:t>
            </w:r>
          </w:p>
        </w:tc>
        <w:tc>
          <w:tcPr>
            <w:tcW w:w="1559" w:type="dxa"/>
            <w:gridSpan w:val="2"/>
            <w:tcBorders>
              <w:top w:val="single" w:sz="4" w:space="0" w:color="000000"/>
              <w:left w:val="single" w:sz="4" w:space="0" w:color="000000"/>
              <w:bottom w:val="single" w:sz="18" w:space="0" w:color="auto"/>
            </w:tcBorders>
            <w:shd w:val="clear" w:color="auto" w:fill="BFBFBF" w:themeFill="background1" w:themeFillShade="BF"/>
            <w:vAlign w:val="bottom"/>
          </w:tcPr>
          <w:p w:rsidR="00470E40" w:rsidRPr="00C63D0B" w:rsidRDefault="00470E40" w:rsidP="00AE7F37">
            <w:pPr>
              <w:rPr>
                <w:rFonts w:cstheme="minorHAnsi"/>
                <w:b/>
                <w:bCs/>
                <w:sz w:val="16"/>
                <w:szCs w:val="16"/>
              </w:rPr>
            </w:pPr>
            <w:r w:rsidRPr="00C63D0B">
              <w:rPr>
                <w:rFonts w:cstheme="minorHAnsi"/>
                <w:b/>
                <w:bCs/>
                <w:sz w:val="16"/>
                <w:szCs w:val="16"/>
              </w:rPr>
              <w:t>2014</w:t>
            </w:r>
          </w:p>
        </w:tc>
        <w:tc>
          <w:tcPr>
            <w:tcW w:w="1560" w:type="dxa"/>
            <w:gridSpan w:val="2"/>
            <w:tcBorders>
              <w:top w:val="single" w:sz="4" w:space="0" w:color="000000"/>
              <w:left w:val="single" w:sz="4" w:space="0" w:color="000000"/>
              <w:bottom w:val="single" w:sz="18" w:space="0" w:color="auto"/>
            </w:tcBorders>
            <w:shd w:val="clear" w:color="auto" w:fill="BFBFBF" w:themeFill="background1" w:themeFillShade="BF"/>
            <w:vAlign w:val="bottom"/>
          </w:tcPr>
          <w:p w:rsidR="00470E40" w:rsidRPr="00C63D0B" w:rsidRDefault="00470E40" w:rsidP="00AE7F37">
            <w:pPr>
              <w:rPr>
                <w:rFonts w:cstheme="minorHAnsi"/>
                <w:b/>
                <w:bCs/>
                <w:sz w:val="16"/>
                <w:szCs w:val="16"/>
              </w:rPr>
            </w:pPr>
            <w:r w:rsidRPr="00C63D0B">
              <w:rPr>
                <w:rFonts w:cstheme="minorHAnsi"/>
                <w:b/>
                <w:bCs/>
                <w:sz w:val="16"/>
                <w:szCs w:val="16"/>
              </w:rPr>
              <w:t>2015</w:t>
            </w:r>
          </w:p>
        </w:tc>
        <w:tc>
          <w:tcPr>
            <w:tcW w:w="1559" w:type="dxa"/>
            <w:gridSpan w:val="2"/>
            <w:tcBorders>
              <w:top w:val="single" w:sz="4" w:space="0" w:color="000000"/>
              <w:left w:val="single" w:sz="4" w:space="0" w:color="000000"/>
              <w:bottom w:val="single" w:sz="18" w:space="0" w:color="auto"/>
            </w:tcBorders>
            <w:shd w:val="clear" w:color="auto" w:fill="BFBFBF" w:themeFill="background1" w:themeFillShade="BF"/>
            <w:vAlign w:val="bottom"/>
          </w:tcPr>
          <w:p w:rsidR="00470E40" w:rsidRPr="00C63D0B" w:rsidRDefault="00470E40" w:rsidP="00AE7F37">
            <w:pPr>
              <w:rPr>
                <w:rFonts w:cstheme="minorHAnsi"/>
                <w:b/>
                <w:bCs/>
                <w:sz w:val="16"/>
                <w:szCs w:val="16"/>
              </w:rPr>
            </w:pPr>
            <w:r w:rsidRPr="00C63D0B">
              <w:rPr>
                <w:rFonts w:cstheme="minorHAnsi"/>
                <w:b/>
                <w:bCs/>
                <w:sz w:val="16"/>
                <w:szCs w:val="16"/>
              </w:rPr>
              <w:t>2016</w:t>
            </w:r>
          </w:p>
        </w:tc>
        <w:tc>
          <w:tcPr>
            <w:tcW w:w="1417" w:type="dxa"/>
            <w:gridSpan w:val="2"/>
            <w:tcBorders>
              <w:top w:val="single" w:sz="4" w:space="0" w:color="000000"/>
              <w:left w:val="single" w:sz="4" w:space="0" w:color="000000"/>
              <w:bottom w:val="single" w:sz="18" w:space="0" w:color="auto"/>
            </w:tcBorders>
            <w:shd w:val="clear" w:color="auto" w:fill="BFBFBF" w:themeFill="background1" w:themeFillShade="BF"/>
            <w:vAlign w:val="bottom"/>
          </w:tcPr>
          <w:p w:rsidR="00470E40" w:rsidRPr="00C63D0B" w:rsidRDefault="00470E40" w:rsidP="00AE7F37">
            <w:pPr>
              <w:rPr>
                <w:rFonts w:cstheme="minorHAnsi"/>
                <w:b/>
                <w:bCs/>
                <w:sz w:val="16"/>
                <w:szCs w:val="16"/>
              </w:rPr>
            </w:pPr>
            <w:r w:rsidRPr="00C63D0B">
              <w:rPr>
                <w:rFonts w:cstheme="minorHAnsi"/>
                <w:b/>
                <w:bCs/>
                <w:sz w:val="16"/>
                <w:szCs w:val="16"/>
              </w:rPr>
              <w:t>2017</w:t>
            </w:r>
          </w:p>
        </w:tc>
        <w:tc>
          <w:tcPr>
            <w:tcW w:w="1418" w:type="dxa"/>
            <w:gridSpan w:val="2"/>
            <w:tcBorders>
              <w:top w:val="single" w:sz="4" w:space="0" w:color="000000"/>
              <w:left w:val="single" w:sz="4" w:space="0" w:color="000000"/>
              <w:bottom w:val="single" w:sz="18" w:space="0" w:color="auto"/>
            </w:tcBorders>
            <w:shd w:val="clear" w:color="auto" w:fill="BFBFBF" w:themeFill="background1" w:themeFillShade="BF"/>
            <w:vAlign w:val="bottom"/>
          </w:tcPr>
          <w:p w:rsidR="00470E40" w:rsidRPr="00C63D0B" w:rsidRDefault="00470E40" w:rsidP="00AE7F37">
            <w:pPr>
              <w:rPr>
                <w:rFonts w:cstheme="minorHAnsi"/>
                <w:b/>
                <w:bCs/>
                <w:sz w:val="16"/>
                <w:szCs w:val="16"/>
              </w:rPr>
            </w:pPr>
            <w:r w:rsidRPr="00C63D0B">
              <w:rPr>
                <w:rFonts w:cstheme="minorHAnsi"/>
                <w:b/>
                <w:bCs/>
                <w:sz w:val="16"/>
                <w:szCs w:val="16"/>
              </w:rPr>
              <w:t>2018</w:t>
            </w:r>
          </w:p>
        </w:tc>
        <w:tc>
          <w:tcPr>
            <w:tcW w:w="1417" w:type="dxa"/>
            <w:gridSpan w:val="2"/>
            <w:tcBorders>
              <w:top w:val="single" w:sz="4" w:space="0" w:color="000000"/>
              <w:left w:val="single" w:sz="4" w:space="0" w:color="000000"/>
              <w:bottom w:val="single" w:sz="18" w:space="0" w:color="auto"/>
            </w:tcBorders>
            <w:shd w:val="clear" w:color="auto" w:fill="BFBFBF" w:themeFill="background1" w:themeFillShade="BF"/>
            <w:vAlign w:val="bottom"/>
          </w:tcPr>
          <w:p w:rsidR="00470E40" w:rsidRPr="00C63D0B" w:rsidRDefault="00470E40" w:rsidP="00AE7F37">
            <w:pPr>
              <w:rPr>
                <w:rFonts w:cstheme="minorHAnsi"/>
                <w:b/>
                <w:bCs/>
                <w:sz w:val="16"/>
                <w:szCs w:val="16"/>
              </w:rPr>
            </w:pPr>
            <w:r w:rsidRPr="00C63D0B">
              <w:rPr>
                <w:rFonts w:cstheme="minorHAnsi"/>
                <w:b/>
                <w:bCs/>
                <w:sz w:val="16"/>
                <w:szCs w:val="16"/>
              </w:rPr>
              <w:t>2019</w:t>
            </w:r>
          </w:p>
        </w:tc>
        <w:tc>
          <w:tcPr>
            <w:tcW w:w="1418" w:type="dxa"/>
            <w:gridSpan w:val="2"/>
            <w:tcBorders>
              <w:top w:val="single" w:sz="4" w:space="0" w:color="000000"/>
              <w:left w:val="single" w:sz="4" w:space="0" w:color="000000"/>
              <w:bottom w:val="single" w:sz="18" w:space="0" w:color="auto"/>
            </w:tcBorders>
            <w:shd w:val="clear" w:color="auto" w:fill="BFBFBF" w:themeFill="background1" w:themeFillShade="BF"/>
            <w:vAlign w:val="bottom"/>
          </w:tcPr>
          <w:p w:rsidR="00470E40" w:rsidRPr="00C63D0B" w:rsidRDefault="00470E40" w:rsidP="00AE7F37">
            <w:pPr>
              <w:rPr>
                <w:rFonts w:cstheme="minorHAnsi"/>
                <w:b/>
                <w:bCs/>
                <w:sz w:val="16"/>
                <w:szCs w:val="16"/>
              </w:rPr>
            </w:pPr>
            <w:r w:rsidRPr="00C63D0B">
              <w:rPr>
                <w:rFonts w:cstheme="minorHAnsi"/>
                <w:b/>
                <w:bCs/>
                <w:sz w:val="16"/>
                <w:szCs w:val="16"/>
              </w:rPr>
              <w:t>2020</w:t>
            </w:r>
          </w:p>
        </w:tc>
        <w:tc>
          <w:tcPr>
            <w:tcW w:w="1417" w:type="dxa"/>
            <w:gridSpan w:val="2"/>
            <w:tcBorders>
              <w:top w:val="single" w:sz="4" w:space="0" w:color="000000"/>
              <w:left w:val="single" w:sz="4" w:space="0" w:color="000000"/>
              <w:bottom w:val="single" w:sz="18" w:space="0" w:color="auto"/>
              <w:right w:val="single" w:sz="4" w:space="0" w:color="000000"/>
            </w:tcBorders>
            <w:shd w:val="clear" w:color="auto" w:fill="BFBFBF" w:themeFill="background1" w:themeFillShade="BF"/>
            <w:vAlign w:val="bottom"/>
          </w:tcPr>
          <w:p w:rsidR="00470E40" w:rsidRPr="00C63D0B" w:rsidRDefault="00470E40" w:rsidP="00AE7F37">
            <w:pPr>
              <w:rPr>
                <w:rFonts w:cstheme="minorHAnsi"/>
                <w:b/>
                <w:bCs/>
                <w:sz w:val="16"/>
                <w:szCs w:val="16"/>
              </w:rPr>
            </w:pPr>
            <w:r w:rsidRPr="00C63D0B">
              <w:rPr>
                <w:rFonts w:cstheme="minorHAnsi"/>
                <w:b/>
                <w:bCs/>
                <w:sz w:val="16"/>
                <w:szCs w:val="16"/>
              </w:rPr>
              <w:t>Celkem</w:t>
            </w:r>
          </w:p>
        </w:tc>
      </w:tr>
      <w:tr w:rsidR="000A639D" w:rsidRPr="00C63D0B" w:rsidTr="002F11D3">
        <w:trPr>
          <w:trHeight w:val="493"/>
        </w:trPr>
        <w:tc>
          <w:tcPr>
            <w:tcW w:w="534" w:type="dxa"/>
            <w:tcBorders>
              <w:top w:val="single" w:sz="18" w:space="0" w:color="auto"/>
              <w:left w:val="single" w:sz="4" w:space="0" w:color="000000"/>
              <w:bottom w:val="single" w:sz="4" w:space="0" w:color="000000"/>
              <w:right w:val="single" w:sz="4" w:space="0" w:color="000000"/>
            </w:tcBorders>
          </w:tcPr>
          <w:p w:rsidR="00470E40" w:rsidRDefault="00470E40" w:rsidP="00AE7F37">
            <w:pPr>
              <w:rPr>
                <w:rFonts w:eastAsia="Arial Unicode MS" w:cstheme="minorHAnsi"/>
                <w:b/>
                <w:bCs/>
                <w:iCs/>
                <w:sz w:val="16"/>
                <w:szCs w:val="16"/>
              </w:rPr>
            </w:pPr>
          </w:p>
          <w:p w:rsidR="00470E40" w:rsidRPr="00C63D0B" w:rsidRDefault="00470E40" w:rsidP="00AE7F37">
            <w:pPr>
              <w:rPr>
                <w:rFonts w:eastAsia="Arial Unicode MS" w:cstheme="minorHAnsi"/>
                <w:b/>
                <w:bCs/>
                <w:iCs/>
                <w:sz w:val="16"/>
                <w:szCs w:val="16"/>
              </w:rPr>
            </w:pPr>
          </w:p>
        </w:tc>
        <w:tc>
          <w:tcPr>
            <w:tcW w:w="850" w:type="dxa"/>
            <w:tcBorders>
              <w:top w:val="single" w:sz="18" w:space="0" w:color="auto"/>
              <w:left w:val="single" w:sz="4" w:space="0" w:color="000000"/>
              <w:bottom w:val="single" w:sz="4" w:space="0" w:color="000000"/>
            </w:tcBorders>
          </w:tcPr>
          <w:p w:rsidR="00470E40" w:rsidRPr="00C63D0B" w:rsidRDefault="00470E40" w:rsidP="00AE7F37">
            <w:pPr>
              <w:rPr>
                <w:rFonts w:eastAsia="Arial Unicode MS" w:cstheme="minorHAnsi"/>
                <w:b/>
                <w:bCs/>
                <w:iCs/>
                <w:sz w:val="16"/>
                <w:szCs w:val="16"/>
              </w:rPr>
            </w:pPr>
          </w:p>
        </w:tc>
        <w:tc>
          <w:tcPr>
            <w:tcW w:w="709" w:type="dxa"/>
            <w:tcBorders>
              <w:top w:val="single" w:sz="18" w:space="0" w:color="auto"/>
              <w:left w:val="single" w:sz="4" w:space="0" w:color="000000"/>
              <w:bottom w:val="single" w:sz="4" w:space="0" w:color="000000"/>
            </w:tcBorders>
            <w:vAlign w:val="bottom"/>
          </w:tcPr>
          <w:p w:rsidR="00470E40" w:rsidRPr="00C63D0B" w:rsidRDefault="00470E40" w:rsidP="00AE7F37">
            <w:pPr>
              <w:rPr>
                <w:rFonts w:eastAsia="Arial Unicode MS" w:cstheme="minorHAnsi"/>
                <w:b/>
                <w:bCs/>
                <w:iCs/>
                <w:sz w:val="16"/>
                <w:szCs w:val="16"/>
              </w:rPr>
            </w:pPr>
            <w:r w:rsidRPr="00C63D0B">
              <w:rPr>
                <w:rFonts w:eastAsia="Arial Unicode MS" w:cstheme="minorHAnsi"/>
                <w:b/>
                <w:bCs/>
                <w:iCs/>
                <w:sz w:val="16"/>
                <w:szCs w:val="16"/>
              </w:rPr>
              <w:t xml:space="preserve">Hlavní </w:t>
            </w:r>
            <w:r>
              <w:rPr>
                <w:rFonts w:eastAsia="Arial Unicode MS" w:cstheme="minorHAnsi"/>
                <w:b/>
                <w:bCs/>
                <w:iCs/>
                <w:sz w:val="16"/>
                <w:szCs w:val="16"/>
              </w:rPr>
              <w:t>příděl</w:t>
            </w:r>
          </w:p>
        </w:tc>
        <w:tc>
          <w:tcPr>
            <w:tcW w:w="850" w:type="dxa"/>
            <w:tcBorders>
              <w:top w:val="single" w:sz="18" w:space="0" w:color="auto"/>
              <w:left w:val="single" w:sz="4" w:space="0" w:color="000000"/>
              <w:bottom w:val="single" w:sz="4" w:space="0" w:color="000000"/>
            </w:tcBorders>
            <w:vAlign w:val="bottom"/>
          </w:tcPr>
          <w:p w:rsidR="00470E40" w:rsidRPr="00C63D0B" w:rsidRDefault="00470E40" w:rsidP="00AE7F37">
            <w:pPr>
              <w:rPr>
                <w:rFonts w:eastAsia="Arial Unicode MS" w:cstheme="minorHAnsi"/>
                <w:b/>
                <w:bCs/>
                <w:iCs/>
                <w:sz w:val="16"/>
                <w:szCs w:val="16"/>
              </w:rPr>
            </w:pPr>
            <w:r w:rsidRPr="00C63D0B">
              <w:rPr>
                <w:rFonts w:eastAsia="Arial Unicode MS" w:cstheme="minorHAnsi"/>
                <w:b/>
                <w:bCs/>
                <w:iCs/>
                <w:sz w:val="16"/>
                <w:szCs w:val="16"/>
              </w:rPr>
              <w:t>Výkonnostní rezerva</w:t>
            </w:r>
          </w:p>
        </w:tc>
        <w:tc>
          <w:tcPr>
            <w:tcW w:w="709" w:type="dxa"/>
            <w:tcBorders>
              <w:top w:val="single" w:sz="18" w:space="0" w:color="auto"/>
              <w:left w:val="single" w:sz="4" w:space="0" w:color="000000"/>
              <w:bottom w:val="single" w:sz="4" w:space="0" w:color="000000"/>
            </w:tcBorders>
            <w:vAlign w:val="bottom"/>
          </w:tcPr>
          <w:p w:rsidR="00470E40" w:rsidRPr="00C63D0B" w:rsidRDefault="00470E40" w:rsidP="00AE7F37">
            <w:pPr>
              <w:rPr>
                <w:rFonts w:eastAsia="Arial Unicode MS" w:cstheme="minorHAnsi"/>
                <w:b/>
                <w:bCs/>
                <w:iCs/>
                <w:sz w:val="16"/>
                <w:szCs w:val="16"/>
              </w:rPr>
            </w:pPr>
            <w:r w:rsidRPr="00C63D0B">
              <w:rPr>
                <w:rFonts w:eastAsia="Arial Unicode MS" w:cstheme="minorHAnsi"/>
                <w:b/>
                <w:bCs/>
                <w:iCs/>
                <w:sz w:val="16"/>
                <w:szCs w:val="16"/>
              </w:rPr>
              <w:t xml:space="preserve">Hlavní </w:t>
            </w:r>
            <w:r>
              <w:rPr>
                <w:rFonts w:eastAsia="Arial Unicode MS" w:cstheme="minorHAnsi"/>
                <w:b/>
                <w:bCs/>
                <w:iCs/>
                <w:sz w:val="16"/>
                <w:szCs w:val="16"/>
              </w:rPr>
              <w:t>příděl</w:t>
            </w:r>
          </w:p>
        </w:tc>
        <w:tc>
          <w:tcPr>
            <w:tcW w:w="851" w:type="dxa"/>
            <w:tcBorders>
              <w:top w:val="single" w:sz="18" w:space="0" w:color="auto"/>
              <w:left w:val="single" w:sz="4" w:space="0" w:color="000000"/>
              <w:bottom w:val="single" w:sz="4" w:space="0" w:color="000000"/>
            </w:tcBorders>
            <w:vAlign w:val="bottom"/>
          </w:tcPr>
          <w:p w:rsidR="00470E40" w:rsidRPr="00C63D0B" w:rsidRDefault="00470E40" w:rsidP="00AE7F37">
            <w:pPr>
              <w:rPr>
                <w:rFonts w:eastAsia="Arial Unicode MS" w:cstheme="minorHAnsi"/>
                <w:b/>
                <w:bCs/>
                <w:iCs/>
                <w:sz w:val="16"/>
                <w:szCs w:val="16"/>
              </w:rPr>
            </w:pPr>
            <w:r w:rsidRPr="00C63D0B">
              <w:rPr>
                <w:rFonts w:eastAsia="Arial Unicode MS" w:cstheme="minorHAnsi"/>
                <w:b/>
                <w:bCs/>
                <w:iCs/>
                <w:sz w:val="16"/>
                <w:szCs w:val="16"/>
              </w:rPr>
              <w:t>Výkonnostní rezerva</w:t>
            </w:r>
          </w:p>
        </w:tc>
        <w:tc>
          <w:tcPr>
            <w:tcW w:w="708" w:type="dxa"/>
            <w:tcBorders>
              <w:top w:val="single" w:sz="18" w:space="0" w:color="auto"/>
              <w:left w:val="single" w:sz="4" w:space="0" w:color="000000"/>
              <w:bottom w:val="single" w:sz="4" w:space="0" w:color="000000"/>
            </w:tcBorders>
            <w:vAlign w:val="bottom"/>
          </w:tcPr>
          <w:p w:rsidR="00470E40" w:rsidRPr="00C63D0B" w:rsidRDefault="00470E40" w:rsidP="00AE7F37">
            <w:pPr>
              <w:rPr>
                <w:rFonts w:eastAsia="Arial Unicode MS" w:cstheme="minorHAnsi"/>
                <w:b/>
                <w:bCs/>
                <w:iCs/>
                <w:sz w:val="16"/>
                <w:szCs w:val="16"/>
              </w:rPr>
            </w:pPr>
            <w:r w:rsidRPr="00C63D0B">
              <w:rPr>
                <w:rFonts w:eastAsia="Arial Unicode MS" w:cstheme="minorHAnsi"/>
                <w:b/>
                <w:bCs/>
                <w:iCs/>
                <w:sz w:val="16"/>
                <w:szCs w:val="16"/>
              </w:rPr>
              <w:t xml:space="preserve">Hlavní </w:t>
            </w:r>
            <w:r>
              <w:rPr>
                <w:rFonts w:eastAsia="Arial Unicode MS" w:cstheme="minorHAnsi"/>
                <w:b/>
                <w:bCs/>
                <w:iCs/>
                <w:sz w:val="16"/>
                <w:szCs w:val="16"/>
              </w:rPr>
              <w:t>příděl</w:t>
            </w:r>
          </w:p>
        </w:tc>
        <w:tc>
          <w:tcPr>
            <w:tcW w:w="851" w:type="dxa"/>
            <w:tcBorders>
              <w:top w:val="single" w:sz="18" w:space="0" w:color="auto"/>
              <w:left w:val="single" w:sz="4" w:space="0" w:color="000000"/>
              <w:bottom w:val="single" w:sz="4" w:space="0" w:color="000000"/>
            </w:tcBorders>
            <w:vAlign w:val="bottom"/>
          </w:tcPr>
          <w:p w:rsidR="00470E40" w:rsidRPr="00C63D0B" w:rsidRDefault="00470E40" w:rsidP="00AE7F37">
            <w:pPr>
              <w:rPr>
                <w:rFonts w:eastAsia="Arial Unicode MS" w:cstheme="minorHAnsi"/>
                <w:b/>
                <w:bCs/>
                <w:iCs/>
                <w:sz w:val="16"/>
                <w:szCs w:val="16"/>
              </w:rPr>
            </w:pPr>
            <w:r w:rsidRPr="00C63D0B">
              <w:rPr>
                <w:rFonts w:eastAsia="Arial Unicode MS" w:cstheme="minorHAnsi"/>
                <w:b/>
                <w:bCs/>
                <w:iCs/>
                <w:sz w:val="16"/>
                <w:szCs w:val="16"/>
              </w:rPr>
              <w:t>Výkonnostní rezerva</w:t>
            </w:r>
          </w:p>
        </w:tc>
        <w:tc>
          <w:tcPr>
            <w:tcW w:w="709" w:type="dxa"/>
            <w:tcBorders>
              <w:top w:val="single" w:sz="18" w:space="0" w:color="auto"/>
              <w:left w:val="single" w:sz="4" w:space="0" w:color="000000"/>
              <w:bottom w:val="single" w:sz="4" w:space="0" w:color="000000"/>
            </w:tcBorders>
            <w:vAlign w:val="bottom"/>
          </w:tcPr>
          <w:p w:rsidR="00470E40" w:rsidRPr="00C63D0B" w:rsidRDefault="00470E40" w:rsidP="00AE7F37">
            <w:pPr>
              <w:rPr>
                <w:rFonts w:eastAsia="Arial Unicode MS" w:cstheme="minorHAnsi"/>
                <w:b/>
                <w:bCs/>
                <w:iCs/>
                <w:sz w:val="16"/>
                <w:szCs w:val="16"/>
              </w:rPr>
            </w:pPr>
            <w:r w:rsidRPr="00C63D0B">
              <w:rPr>
                <w:rFonts w:eastAsia="Arial Unicode MS" w:cstheme="minorHAnsi"/>
                <w:b/>
                <w:bCs/>
                <w:iCs/>
                <w:sz w:val="16"/>
                <w:szCs w:val="16"/>
              </w:rPr>
              <w:t xml:space="preserve">Hlavní </w:t>
            </w:r>
            <w:r>
              <w:rPr>
                <w:rFonts w:eastAsia="Arial Unicode MS" w:cstheme="minorHAnsi"/>
                <w:b/>
                <w:bCs/>
                <w:iCs/>
                <w:sz w:val="16"/>
                <w:szCs w:val="16"/>
              </w:rPr>
              <w:t>příděl</w:t>
            </w:r>
          </w:p>
        </w:tc>
        <w:tc>
          <w:tcPr>
            <w:tcW w:w="708" w:type="dxa"/>
            <w:tcBorders>
              <w:top w:val="single" w:sz="18" w:space="0" w:color="auto"/>
              <w:left w:val="single" w:sz="4" w:space="0" w:color="000000"/>
              <w:bottom w:val="single" w:sz="4" w:space="0" w:color="000000"/>
            </w:tcBorders>
            <w:vAlign w:val="bottom"/>
          </w:tcPr>
          <w:p w:rsidR="00470E40" w:rsidRPr="00C63D0B" w:rsidRDefault="00470E40" w:rsidP="00AE7F37">
            <w:pPr>
              <w:rPr>
                <w:rFonts w:eastAsia="Arial Unicode MS" w:cstheme="minorHAnsi"/>
                <w:b/>
                <w:bCs/>
                <w:iCs/>
                <w:sz w:val="16"/>
                <w:szCs w:val="16"/>
              </w:rPr>
            </w:pPr>
            <w:r w:rsidRPr="00C63D0B">
              <w:rPr>
                <w:rFonts w:eastAsia="Arial Unicode MS" w:cstheme="minorHAnsi"/>
                <w:b/>
                <w:bCs/>
                <w:iCs/>
                <w:sz w:val="16"/>
                <w:szCs w:val="16"/>
              </w:rPr>
              <w:t>Výkonnostní rezerva</w:t>
            </w:r>
          </w:p>
        </w:tc>
        <w:tc>
          <w:tcPr>
            <w:tcW w:w="709" w:type="dxa"/>
            <w:tcBorders>
              <w:top w:val="single" w:sz="18" w:space="0" w:color="auto"/>
              <w:left w:val="single" w:sz="4" w:space="0" w:color="000000"/>
              <w:bottom w:val="single" w:sz="4" w:space="0" w:color="000000"/>
            </w:tcBorders>
            <w:vAlign w:val="bottom"/>
          </w:tcPr>
          <w:p w:rsidR="00470E40" w:rsidRPr="00C63D0B" w:rsidRDefault="00470E40" w:rsidP="00AE7F37">
            <w:pPr>
              <w:rPr>
                <w:rFonts w:eastAsia="Arial Unicode MS" w:cstheme="minorHAnsi"/>
                <w:b/>
                <w:bCs/>
                <w:iCs/>
                <w:sz w:val="16"/>
                <w:szCs w:val="16"/>
              </w:rPr>
            </w:pPr>
            <w:r w:rsidRPr="00C63D0B">
              <w:rPr>
                <w:rFonts w:eastAsia="Arial Unicode MS" w:cstheme="minorHAnsi"/>
                <w:b/>
                <w:bCs/>
                <w:iCs/>
                <w:sz w:val="16"/>
                <w:szCs w:val="16"/>
              </w:rPr>
              <w:t xml:space="preserve">Hlavní </w:t>
            </w:r>
            <w:r>
              <w:rPr>
                <w:rFonts w:eastAsia="Arial Unicode MS" w:cstheme="minorHAnsi"/>
                <w:b/>
                <w:bCs/>
                <w:iCs/>
                <w:sz w:val="16"/>
                <w:szCs w:val="16"/>
              </w:rPr>
              <w:t>příděl</w:t>
            </w:r>
          </w:p>
        </w:tc>
        <w:tc>
          <w:tcPr>
            <w:tcW w:w="709" w:type="dxa"/>
            <w:tcBorders>
              <w:top w:val="single" w:sz="18" w:space="0" w:color="auto"/>
              <w:left w:val="single" w:sz="4" w:space="0" w:color="000000"/>
              <w:bottom w:val="single" w:sz="4" w:space="0" w:color="000000"/>
            </w:tcBorders>
            <w:vAlign w:val="bottom"/>
          </w:tcPr>
          <w:p w:rsidR="00470E40" w:rsidRPr="00C63D0B" w:rsidRDefault="00470E40" w:rsidP="00AE7F37">
            <w:pPr>
              <w:rPr>
                <w:rFonts w:eastAsia="Arial Unicode MS" w:cstheme="minorHAnsi"/>
                <w:b/>
                <w:bCs/>
                <w:iCs/>
                <w:sz w:val="16"/>
                <w:szCs w:val="16"/>
              </w:rPr>
            </w:pPr>
            <w:r w:rsidRPr="00C63D0B">
              <w:rPr>
                <w:rFonts w:eastAsia="Arial Unicode MS" w:cstheme="minorHAnsi"/>
                <w:b/>
                <w:bCs/>
                <w:iCs/>
                <w:sz w:val="16"/>
                <w:szCs w:val="16"/>
              </w:rPr>
              <w:t>Výkonnostní rezerva</w:t>
            </w:r>
          </w:p>
        </w:tc>
        <w:tc>
          <w:tcPr>
            <w:tcW w:w="709" w:type="dxa"/>
            <w:tcBorders>
              <w:top w:val="single" w:sz="18" w:space="0" w:color="auto"/>
              <w:left w:val="single" w:sz="4" w:space="0" w:color="000000"/>
              <w:bottom w:val="single" w:sz="4" w:space="0" w:color="000000"/>
            </w:tcBorders>
            <w:vAlign w:val="bottom"/>
          </w:tcPr>
          <w:p w:rsidR="00470E40" w:rsidRPr="00C63D0B" w:rsidRDefault="00470E40" w:rsidP="00AE7F37">
            <w:pPr>
              <w:rPr>
                <w:rFonts w:eastAsia="Arial Unicode MS" w:cstheme="minorHAnsi"/>
                <w:b/>
                <w:bCs/>
                <w:iCs/>
                <w:sz w:val="16"/>
                <w:szCs w:val="16"/>
              </w:rPr>
            </w:pPr>
            <w:r w:rsidRPr="00C63D0B">
              <w:rPr>
                <w:rFonts w:eastAsia="Arial Unicode MS" w:cstheme="minorHAnsi"/>
                <w:b/>
                <w:bCs/>
                <w:iCs/>
                <w:sz w:val="16"/>
                <w:szCs w:val="16"/>
              </w:rPr>
              <w:t xml:space="preserve">Hlavní </w:t>
            </w:r>
            <w:r>
              <w:rPr>
                <w:rFonts w:eastAsia="Arial Unicode MS" w:cstheme="minorHAnsi"/>
                <w:b/>
                <w:bCs/>
                <w:iCs/>
                <w:sz w:val="16"/>
                <w:szCs w:val="16"/>
              </w:rPr>
              <w:t>příděl</w:t>
            </w:r>
          </w:p>
        </w:tc>
        <w:tc>
          <w:tcPr>
            <w:tcW w:w="708" w:type="dxa"/>
            <w:tcBorders>
              <w:top w:val="single" w:sz="18" w:space="0" w:color="auto"/>
              <w:left w:val="single" w:sz="4" w:space="0" w:color="000000"/>
              <w:bottom w:val="single" w:sz="4" w:space="0" w:color="000000"/>
            </w:tcBorders>
            <w:vAlign w:val="bottom"/>
          </w:tcPr>
          <w:p w:rsidR="00470E40" w:rsidRPr="00C63D0B" w:rsidRDefault="00470E40" w:rsidP="00AE7F37">
            <w:pPr>
              <w:rPr>
                <w:rFonts w:eastAsia="Arial Unicode MS" w:cstheme="minorHAnsi"/>
                <w:b/>
                <w:bCs/>
                <w:iCs/>
                <w:sz w:val="16"/>
                <w:szCs w:val="16"/>
              </w:rPr>
            </w:pPr>
            <w:r w:rsidRPr="00C63D0B">
              <w:rPr>
                <w:rFonts w:eastAsia="Arial Unicode MS" w:cstheme="minorHAnsi"/>
                <w:b/>
                <w:bCs/>
                <w:iCs/>
                <w:sz w:val="16"/>
                <w:szCs w:val="16"/>
              </w:rPr>
              <w:t>Výkonnostní rezerva</w:t>
            </w:r>
          </w:p>
        </w:tc>
        <w:tc>
          <w:tcPr>
            <w:tcW w:w="709" w:type="dxa"/>
            <w:tcBorders>
              <w:top w:val="single" w:sz="18" w:space="0" w:color="auto"/>
              <w:left w:val="single" w:sz="4" w:space="0" w:color="000000"/>
              <w:bottom w:val="single" w:sz="4" w:space="0" w:color="000000"/>
            </w:tcBorders>
            <w:vAlign w:val="bottom"/>
          </w:tcPr>
          <w:p w:rsidR="00470E40" w:rsidRPr="00C63D0B" w:rsidRDefault="00470E40" w:rsidP="00AE7F37">
            <w:pPr>
              <w:rPr>
                <w:rFonts w:eastAsia="Arial Unicode MS" w:cstheme="minorHAnsi"/>
                <w:b/>
                <w:bCs/>
                <w:iCs/>
                <w:sz w:val="16"/>
                <w:szCs w:val="16"/>
              </w:rPr>
            </w:pPr>
            <w:r w:rsidRPr="00C63D0B">
              <w:rPr>
                <w:rFonts w:eastAsia="Arial Unicode MS" w:cstheme="minorHAnsi"/>
                <w:b/>
                <w:bCs/>
                <w:iCs/>
                <w:sz w:val="16"/>
                <w:szCs w:val="16"/>
              </w:rPr>
              <w:t xml:space="preserve">Hlavní </w:t>
            </w:r>
            <w:r>
              <w:rPr>
                <w:rFonts w:eastAsia="Arial Unicode MS" w:cstheme="minorHAnsi"/>
                <w:b/>
                <w:bCs/>
                <w:iCs/>
                <w:sz w:val="16"/>
                <w:szCs w:val="16"/>
              </w:rPr>
              <w:t>příděl</w:t>
            </w:r>
          </w:p>
        </w:tc>
        <w:tc>
          <w:tcPr>
            <w:tcW w:w="709" w:type="dxa"/>
            <w:tcBorders>
              <w:top w:val="single" w:sz="18" w:space="0" w:color="auto"/>
              <w:left w:val="single" w:sz="4" w:space="0" w:color="000000"/>
              <w:bottom w:val="single" w:sz="4" w:space="0" w:color="000000"/>
            </w:tcBorders>
            <w:vAlign w:val="bottom"/>
          </w:tcPr>
          <w:p w:rsidR="00470E40" w:rsidRPr="00C63D0B" w:rsidRDefault="00470E40" w:rsidP="00AE7F37">
            <w:pPr>
              <w:rPr>
                <w:rFonts w:eastAsia="Arial Unicode MS" w:cstheme="minorHAnsi"/>
                <w:b/>
                <w:bCs/>
                <w:iCs/>
                <w:sz w:val="16"/>
                <w:szCs w:val="16"/>
              </w:rPr>
            </w:pPr>
            <w:r w:rsidRPr="00C63D0B">
              <w:rPr>
                <w:rFonts w:eastAsia="Arial Unicode MS" w:cstheme="minorHAnsi"/>
                <w:b/>
                <w:bCs/>
                <w:iCs/>
                <w:sz w:val="16"/>
                <w:szCs w:val="16"/>
              </w:rPr>
              <w:t>Výkonnostní rezerva</w:t>
            </w:r>
          </w:p>
        </w:tc>
        <w:tc>
          <w:tcPr>
            <w:tcW w:w="709" w:type="dxa"/>
            <w:tcBorders>
              <w:top w:val="single" w:sz="18" w:space="0" w:color="auto"/>
              <w:left w:val="single" w:sz="4" w:space="0" w:color="000000"/>
              <w:bottom w:val="single" w:sz="4" w:space="0" w:color="000000"/>
              <w:right w:val="single" w:sz="4" w:space="0" w:color="000000"/>
            </w:tcBorders>
            <w:vAlign w:val="bottom"/>
          </w:tcPr>
          <w:p w:rsidR="00470E40" w:rsidRPr="00C63D0B" w:rsidRDefault="00470E40" w:rsidP="00AE7F37">
            <w:pPr>
              <w:rPr>
                <w:rFonts w:eastAsia="Arial Unicode MS" w:cstheme="minorHAnsi"/>
                <w:b/>
                <w:bCs/>
                <w:iCs/>
                <w:sz w:val="16"/>
                <w:szCs w:val="16"/>
              </w:rPr>
            </w:pPr>
            <w:r w:rsidRPr="00C63D0B">
              <w:rPr>
                <w:rFonts w:eastAsia="Arial Unicode MS" w:cstheme="minorHAnsi"/>
                <w:b/>
                <w:bCs/>
                <w:iCs/>
                <w:sz w:val="16"/>
                <w:szCs w:val="16"/>
              </w:rPr>
              <w:t xml:space="preserve">Hlavní </w:t>
            </w:r>
            <w:r>
              <w:rPr>
                <w:rFonts w:eastAsia="Arial Unicode MS" w:cstheme="minorHAnsi"/>
                <w:b/>
                <w:bCs/>
                <w:iCs/>
                <w:sz w:val="16"/>
                <w:szCs w:val="16"/>
              </w:rPr>
              <w:t>příděl</w:t>
            </w:r>
          </w:p>
        </w:tc>
        <w:tc>
          <w:tcPr>
            <w:tcW w:w="708" w:type="dxa"/>
            <w:tcBorders>
              <w:top w:val="single" w:sz="18" w:space="0" w:color="auto"/>
              <w:left w:val="single" w:sz="4" w:space="0" w:color="000000"/>
              <w:bottom w:val="single" w:sz="4" w:space="0" w:color="000000"/>
              <w:right w:val="single" w:sz="4" w:space="0" w:color="000000"/>
            </w:tcBorders>
            <w:vAlign w:val="bottom"/>
          </w:tcPr>
          <w:p w:rsidR="00470E40" w:rsidRPr="00C63D0B" w:rsidRDefault="00470E40" w:rsidP="00AE7F37">
            <w:pPr>
              <w:rPr>
                <w:rFonts w:eastAsia="Arial Unicode MS" w:cstheme="minorHAnsi"/>
                <w:b/>
                <w:bCs/>
                <w:iCs/>
                <w:sz w:val="16"/>
                <w:szCs w:val="16"/>
              </w:rPr>
            </w:pPr>
            <w:r w:rsidRPr="00C63D0B">
              <w:rPr>
                <w:rFonts w:eastAsia="Arial Unicode MS" w:cstheme="minorHAnsi"/>
                <w:b/>
                <w:bCs/>
                <w:iCs/>
                <w:sz w:val="16"/>
                <w:szCs w:val="16"/>
              </w:rPr>
              <w:t>Výkonnostní rezerva</w:t>
            </w:r>
          </w:p>
        </w:tc>
      </w:tr>
      <w:tr w:rsidR="000A639D" w:rsidRPr="00C63D0B" w:rsidTr="002F11D3">
        <w:trPr>
          <w:trHeight w:val="493"/>
        </w:trPr>
        <w:tc>
          <w:tcPr>
            <w:tcW w:w="534" w:type="dxa"/>
            <w:tcBorders>
              <w:left w:val="single" w:sz="4" w:space="0" w:color="000000"/>
              <w:bottom w:val="single" w:sz="4" w:space="0" w:color="000000"/>
              <w:right w:val="single" w:sz="4" w:space="0" w:color="000000"/>
            </w:tcBorders>
          </w:tcPr>
          <w:p w:rsidR="00470E40" w:rsidRPr="00C63D0B" w:rsidRDefault="00470E40" w:rsidP="00AE7F37">
            <w:pPr>
              <w:rPr>
                <w:rFonts w:eastAsia="Arial Unicode MS" w:cstheme="minorHAnsi"/>
                <w:b/>
                <w:bCs/>
                <w:sz w:val="16"/>
                <w:szCs w:val="16"/>
              </w:rPr>
            </w:pPr>
            <w:r w:rsidRPr="00C63D0B">
              <w:rPr>
                <w:rFonts w:eastAsia="Arial Unicode MS" w:cstheme="minorHAnsi"/>
                <w:b/>
                <w:bCs/>
                <w:iCs/>
                <w:sz w:val="16"/>
                <w:szCs w:val="16"/>
              </w:rPr>
              <w:t>EFRR</w:t>
            </w:r>
          </w:p>
        </w:tc>
        <w:tc>
          <w:tcPr>
            <w:tcW w:w="850" w:type="dxa"/>
            <w:tcBorders>
              <w:left w:val="single" w:sz="4" w:space="0" w:color="000000"/>
              <w:bottom w:val="single" w:sz="4" w:space="0" w:color="000000"/>
            </w:tcBorders>
          </w:tcPr>
          <w:p w:rsidR="00470E40" w:rsidRPr="00C63D0B" w:rsidDel="00A35EAD" w:rsidRDefault="00470E40" w:rsidP="00AE7F37">
            <w:pPr>
              <w:rPr>
                <w:rFonts w:eastAsia="Arial Unicode MS" w:cstheme="minorHAnsi"/>
                <w:b/>
                <w:bCs/>
                <w:sz w:val="16"/>
                <w:szCs w:val="16"/>
              </w:rPr>
            </w:pPr>
            <w:r w:rsidRPr="00C63D0B">
              <w:rPr>
                <w:rFonts w:eastAsia="Arial Unicode MS" w:cstheme="minorHAnsi"/>
                <w:b/>
                <w:bCs/>
                <w:iCs/>
                <w:sz w:val="16"/>
                <w:szCs w:val="16"/>
              </w:rPr>
              <w:t>V méně rozvinutých regionech</w:t>
            </w:r>
          </w:p>
        </w:tc>
        <w:tc>
          <w:tcPr>
            <w:tcW w:w="709" w:type="dxa"/>
            <w:tcBorders>
              <w:left w:val="single" w:sz="4" w:space="0" w:color="000000"/>
              <w:bottom w:val="single" w:sz="4" w:space="0" w:color="000000"/>
            </w:tcBorders>
          </w:tcPr>
          <w:p w:rsidR="00470E40" w:rsidRPr="00B81EA5" w:rsidRDefault="00470E40" w:rsidP="00AE7F37">
            <w:pPr>
              <w:rPr>
                <w:color w:val="000000"/>
                <w:sz w:val="16"/>
                <w:szCs w:val="16"/>
              </w:rPr>
            </w:pPr>
            <w:r w:rsidRPr="00B81EA5">
              <w:rPr>
                <w:rFonts w:cs="Arial"/>
                <w:color w:val="000000"/>
                <w:sz w:val="16"/>
                <w:szCs w:val="16"/>
              </w:rPr>
              <w:t>47 390 948</w:t>
            </w:r>
          </w:p>
        </w:tc>
        <w:tc>
          <w:tcPr>
            <w:tcW w:w="850" w:type="dxa"/>
            <w:tcBorders>
              <w:left w:val="single" w:sz="4" w:space="0" w:color="000000"/>
              <w:bottom w:val="single" w:sz="4" w:space="0" w:color="000000"/>
            </w:tcBorders>
          </w:tcPr>
          <w:p w:rsidR="00470E40" w:rsidRPr="00B81EA5" w:rsidRDefault="00470E40" w:rsidP="00AE7F37">
            <w:pPr>
              <w:rPr>
                <w:color w:val="000000"/>
                <w:sz w:val="16"/>
                <w:szCs w:val="16"/>
              </w:rPr>
            </w:pPr>
            <w:r w:rsidRPr="00B81EA5">
              <w:rPr>
                <w:rFonts w:cs="Arial"/>
                <w:color w:val="000000"/>
                <w:sz w:val="16"/>
                <w:szCs w:val="16"/>
              </w:rPr>
              <w:t>3 024 954</w:t>
            </w:r>
          </w:p>
        </w:tc>
        <w:tc>
          <w:tcPr>
            <w:tcW w:w="709"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color w:val="000000"/>
                <w:sz w:val="16"/>
                <w:szCs w:val="16"/>
              </w:rPr>
              <w:t>48 339 725</w:t>
            </w:r>
          </w:p>
        </w:tc>
        <w:tc>
          <w:tcPr>
            <w:tcW w:w="851"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color w:val="000000"/>
                <w:sz w:val="16"/>
                <w:szCs w:val="16"/>
              </w:rPr>
              <w:t>3 085 514</w:t>
            </w:r>
          </w:p>
        </w:tc>
        <w:tc>
          <w:tcPr>
            <w:tcW w:w="708"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color w:val="000000"/>
                <w:sz w:val="16"/>
                <w:szCs w:val="16"/>
              </w:rPr>
              <w:t>49 307 361</w:t>
            </w:r>
          </w:p>
        </w:tc>
        <w:tc>
          <w:tcPr>
            <w:tcW w:w="851"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color w:val="000000"/>
                <w:sz w:val="16"/>
                <w:szCs w:val="16"/>
              </w:rPr>
              <w:t>3 147 278</w:t>
            </w:r>
          </w:p>
        </w:tc>
        <w:tc>
          <w:tcPr>
            <w:tcW w:w="709"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color w:val="000000"/>
                <w:sz w:val="16"/>
                <w:szCs w:val="16"/>
              </w:rPr>
              <w:t>50 294 161</w:t>
            </w:r>
          </w:p>
        </w:tc>
        <w:tc>
          <w:tcPr>
            <w:tcW w:w="708"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color w:val="000000"/>
                <w:sz w:val="16"/>
                <w:szCs w:val="16"/>
              </w:rPr>
              <w:t>3 210 266</w:t>
            </w:r>
          </w:p>
        </w:tc>
        <w:tc>
          <w:tcPr>
            <w:tcW w:w="709"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color w:val="000000"/>
                <w:sz w:val="16"/>
                <w:szCs w:val="16"/>
              </w:rPr>
              <w:t>51 300 681</w:t>
            </w:r>
          </w:p>
        </w:tc>
        <w:tc>
          <w:tcPr>
            <w:tcW w:w="709"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color w:val="000000"/>
                <w:sz w:val="16"/>
                <w:szCs w:val="16"/>
              </w:rPr>
              <w:t>3 274 512</w:t>
            </w:r>
          </w:p>
        </w:tc>
        <w:tc>
          <w:tcPr>
            <w:tcW w:w="709"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color w:val="000000"/>
                <w:sz w:val="16"/>
                <w:szCs w:val="16"/>
              </w:rPr>
              <w:t>52 327 311</w:t>
            </w:r>
          </w:p>
        </w:tc>
        <w:tc>
          <w:tcPr>
            <w:tcW w:w="708"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color w:val="000000"/>
                <w:sz w:val="16"/>
                <w:szCs w:val="16"/>
              </w:rPr>
              <w:t>3 340 041</w:t>
            </w:r>
          </w:p>
        </w:tc>
        <w:tc>
          <w:tcPr>
            <w:tcW w:w="709"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color w:val="000000"/>
                <w:sz w:val="16"/>
                <w:szCs w:val="16"/>
              </w:rPr>
              <w:t>53 374 392</w:t>
            </w:r>
          </w:p>
        </w:tc>
        <w:tc>
          <w:tcPr>
            <w:tcW w:w="709"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color w:val="000000"/>
                <w:sz w:val="16"/>
                <w:szCs w:val="16"/>
              </w:rPr>
              <w:t>3 406 876</w:t>
            </w:r>
          </w:p>
        </w:tc>
        <w:tc>
          <w:tcPr>
            <w:tcW w:w="709" w:type="dxa"/>
            <w:tcBorders>
              <w:left w:val="single" w:sz="4" w:space="0" w:color="000000"/>
              <w:bottom w:val="single" w:sz="4" w:space="0" w:color="000000"/>
              <w:right w:val="single" w:sz="4" w:space="0" w:color="000000"/>
            </w:tcBorders>
          </w:tcPr>
          <w:p w:rsidR="00470E40" w:rsidRPr="00B81EA5" w:rsidRDefault="00470E40" w:rsidP="00AE7F37">
            <w:pPr>
              <w:rPr>
                <w:iCs/>
                <w:sz w:val="16"/>
                <w:szCs w:val="16"/>
              </w:rPr>
            </w:pPr>
            <w:r w:rsidRPr="00B81EA5">
              <w:rPr>
                <w:rFonts w:cs="Arial"/>
                <w:bCs/>
                <w:color w:val="000000"/>
                <w:sz w:val="16"/>
                <w:szCs w:val="16"/>
              </w:rPr>
              <w:t>352 334 579</w:t>
            </w:r>
          </w:p>
        </w:tc>
        <w:tc>
          <w:tcPr>
            <w:tcW w:w="708" w:type="dxa"/>
            <w:tcBorders>
              <w:left w:val="single" w:sz="4" w:space="0" w:color="000000"/>
              <w:bottom w:val="single" w:sz="4" w:space="0" w:color="000000"/>
              <w:right w:val="single" w:sz="4" w:space="0" w:color="000000"/>
            </w:tcBorders>
          </w:tcPr>
          <w:p w:rsidR="00470E40" w:rsidRPr="00B81EA5" w:rsidRDefault="00470E40" w:rsidP="00AE7F37">
            <w:pPr>
              <w:rPr>
                <w:iCs/>
                <w:sz w:val="16"/>
                <w:szCs w:val="16"/>
              </w:rPr>
            </w:pPr>
            <w:r w:rsidRPr="00B81EA5">
              <w:rPr>
                <w:rFonts w:cs="Arial"/>
                <w:bCs/>
                <w:color w:val="000000"/>
                <w:sz w:val="16"/>
                <w:szCs w:val="16"/>
              </w:rPr>
              <w:t>22 489 441</w:t>
            </w:r>
          </w:p>
        </w:tc>
      </w:tr>
      <w:tr w:rsidR="000A639D" w:rsidRPr="00C63D0B" w:rsidTr="002F11D3">
        <w:trPr>
          <w:trHeight w:val="493"/>
        </w:trPr>
        <w:tc>
          <w:tcPr>
            <w:tcW w:w="534" w:type="dxa"/>
            <w:tcBorders>
              <w:top w:val="single" w:sz="4" w:space="0" w:color="000000"/>
              <w:left w:val="single" w:sz="4" w:space="0" w:color="000000"/>
              <w:bottom w:val="single" w:sz="4" w:space="0" w:color="000000"/>
              <w:right w:val="single" w:sz="4" w:space="0" w:color="000000"/>
            </w:tcBorders>
          </w:tcPr>
          <w:p w:rsidR="00470E40" w:rsidRPr="00C63D0B" w:rsidRDefault="00470E40" w:rsidP="00AE7F37">
            <w:pPr>
              <w:rPr>
                <w:rFonts w:cstheme="minorHAnsi"/>
                <w:b/>
                <w:bCs/>
                <w:sz w:val="16"/>
                <w:szCs w:val="16"/>
              </w:rPr>
            </w:pPr>
            <w:r w:rsidRPr="00C63D0B">
              <w:rPr>
                <w:rFonts w:cstheme="minorHAnsi"/>
                <w:b/>
                <w:bCs/>
                <w:sz w:val="16"/>
                <w:szCs w:val="16"/>
              </w:rPr>
              <w:t>FS</w:t>
            </w:r>
          </w:p>
        </w:tc>
        <w:tc>
          <w:tcPr>
            <w:tcW w:w="850" w:type="dxa"/>
            <w:tcBorders>
              <w:top w:val="single" w:sz="4" w:space="0" w:color="000000"/>
              <w:left w:val="single" w:sz="4" w:space="0" w:color="000000"/>
              <w:bottom w:val="single" w:sz="4" w:space="0" w:color="000000"/>
            </w:tcBorders>
          </w:tcPr>
          <w:p w:rsidR="00470E40" w:rsidRPr="00C63D0B" w:rsidRDefault="00470E40" w:rsidP="00AE7F37">
            <w:pPr>
              <w:rPr>
                <w:rFonts w:cstheme="minorHAnsi"/>
                <w:b/>
                <w:bCs/>
                <w:sz w:val="16"/>
                <w:szCs w:val="16"/>
              </w:rPr>
            </w:pPr>
            <w:r w:rsidRPr="00CE151F">
              <w:rPr>
                <w:rFonts w:cstheme="minorHAnsi"/>
                <w:sz w:val="16"/>
                <w:szCs w:val="16"/>
              </w:rPr>
              <w:t>Není relevantní</w:t>
            </w:r>
          </w:p>
        </w:tc>
        <w:tc>
          <w:tcPr>
            <w:tcW w:w="709" w:type="dxa"/>
            <w:tcBorders>
              <w:left w:val="single" w:sz="4" w:space="0" w:color="000000"/>
              <w:bottom w:val="single" w:sz="4" w:space="0" w:color="000000"/>
            </w:tcBorders>
          </w:tcPr>
          <w:p w:rsidR="00470E40" w:rsidRPr="00B81EA5" w:rsidRDefault="00470E40" w:rsidP="00AE7F37">
            <w:pPr>
              <w:rPr>
                <w:color w:val="000000"/>
                <w:sz w:val="16"/>
                <w:szCs w:val="16"/>
              </w:rPr>
            </w:pPr>
            <w:r w:rsidRPr="00B81EA5">
              <w:rPr>
                <w:rFonts w:cs="Arial"/>
                <w:bCs/>
                <w:color w:val="000000"/>
                <w:sz w:val="16"/>
                <w:szCs w:val="16"/>
              </w:rPr>
              <w:t>274 947 654</w:t>
            </w:r>
          </w:p>
        </w:tc>
        <w:tc>
          <w:tcPr>
            <w:tcW w:w="850" w:type="dxa"/>
            <w:tcBorders>
              <w:left w:val="single" w:sz="4" w:space="0" w:color="000000"/>
              <w:bottom w:val="single" w:sz="4" w:space="0" w:color="000000"/>
            </w:tcBorders>
          </w:tcPr>
          <w:p w:rsidR="00470E40" w:rsidRPr="00B81EA5" w:rsidRDefault="00470E40" w:rsidP="00AE7F37">
            <w:pPr>
              <w:rPr>
                <w:color w:val="000000"/>
                <w:sz w:val="16"/>
                <w:szCs w:val="16"/>
              </w:rPr>
            </w:pPr>
            <w:r w:rsidRPr="00B81EA5">
              <w:rPr>
                <w:rFonts w:cs="Arial"/>
                <w:bCs/>
                <w:color w:val="000000"/>
                <w:sz w:val="16"/>
                <w:szCs w:val="16"/>
              </w:rPr>
              <w:t>17 549 850</w:t>
            </w:r>
          </w:p>
        </w:tc>
        <w:tc>
          <w:tcPr>
            <w:tcW w:w="709"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bCs/>
                <w:color w:val="000000"/>
                <w:sz w:val="16"/>
                <w:szCs w:val="16"/>
              </w:rPr>
              <w:t>281 630 298</w:t>
            </w:r>
          </w:p>
        </w:tc>
        <w:tc>
          <w:tcPr>
            <w:tcW w:w="851"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bCs/>
                <w:color w:val="000000"/>
                <w:sz w:val="16"/>
                <w:szCs w:val="16"/>
              </w:rPr>
              <w:t>17 976 402</w:t>
            </w:r>
          </w:p>
        </w:tc>
        <w:tc>
          <w:tcPr>
            <w:tcW w:w="708"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bCs/>
                <w:color w:val="000000"/>
                <w:sz w:val="16"/>
                <w:szCs w:val="16"/>
              </w:rPr>
              <w:t>288 340 135</w:t>
            </w:r>
          </w:p>
        </w:tc>
        <w:tc>
          <w:tcPr>
            <w:tcW w:w="851"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bCs/>
                <w:color w:val="000000"/>
                <w:sz w:val="16"/>
                <w:szCs w:val="16"/>
              </w:rPr>
              <w:t>18 404 689</w:t>
            </w:r>
          </w:p>
        </w:tc>
        <w:tc>
          <w:tcPr>
            <w:tcW w:w="709"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bCs/>
                <w:color w:val="000000"/>
                <w:sz w:val="16"/>
                <w:szCs w:val="16"/>
              </w:rPr>
              <w:t>294 588 298</w:t>
            </w:r>
          </w:p>
        </w:tc>
        <w:tc>
          <w:tcPr>
            <w:tcW w:w="708"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bCs/>
                <w:color w:val="000000"/>
                <w:sz w:val="16"/>
                <w:szCs w:val="16"/>
              </w:rPr>
              <w:t>18 803 508</w:t>
            </w:r>
          </w:p>
        </w:tc>
        <w:tc>
          <w:tcPr>
            <w:tcW w:w="709"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bCs/>
                <w:color w:val="000000"/>
                <w:sz w:val="16"/>
                <w:szCs w:val="16"/>
              </w:rPr>
              <w:t>300 413 688</w:t>
            </w:r>
          </w:p>
        </w:tc>
        <w:tc>
          <w:tcPr>
            <w:tcW w:w="709"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bCs/>
                <w:color w:val="000000"/>
                <w:sz w:val="16"/>
                <w:szCs w:val="16"/>
              </w:rPr>
              <w:t>19 175 342</w:t>
            </w:r>
          </w:p>
        </w:tc>
        <w:tc>
          <w:tcPr>
            <w:tcW w:w="709" w:type="dxa"/>
            <w:tcBorders>
              <w:left w:val="single" w:sz="4" w:space="0" w:color="000000"/>
              <w:bottom w:val="single" w:sz="6" w:space="0" w:color="auto"/>
            </w:tcBorders>
          </w:tcPr>
          <w:p w:rsidR="00470E40" w:rsidRPr="00B81EA5" w:rsidRDefault="00470E40" w:rsidP="00AE7F37">
            <w:pPr>
              <w:rPr>
                <w:iCs/>
                <w:sz w:val="16"/>
                <w:szCs w:val="16"/>
              </w:rPr>
            </w:pPr>
            <w:r w:rsidRPr="00B81EA5">
              <w:rPr>
                <w:rFonts w:cs="Arial"/>
                <w:bCs/>
                <w:color w:val="000000"/>
                <w:sz w:val="16"/>
                <w:szCs w:val="16"/>
              </w:rPr>
              <w:t>306 901 365</w:t>
            </w:r>
          </w:p>
        </w:tc>
        <w:tc>
          <w:tcPr>
            <w:tcW w:w="708" w:type="dxa"/>
            <w:tcBorders>
              <w:left w:val="single" w:sz="4" w:space="0" w:color="000000"/>
              <w:bottom w:val="single" w:sz="6" w:space="0" w:color="auto"/>
            </w:tcBorders>
          </w:tcPr>
          <w:p w:rsidR="00470E40" w:rsidRPr="00B81EA5" w:rsidRDefault="00470E40" w:rsidP="00AE7F37">
            <w:pPr>
              <w:rPr>
                <w:iCs/>
                <w:sz w:val="16"/>
                <w:szCs w:val="16"/>
              </w:rPr>
            </w:pPr>
            <w:r w:rsidRPr="00B81EA5">
              <w:rPr>
                <w:rFonts w:cs="Arial"/>
                <w:bCs/>
                <w:color w:val="000000"/>
                <w:sz w:val="16"/>
                <w:szCs w:val="16"/>
              </w:rPr>
              <w:t>19 589 449</w:t>
            </w:r>
          </w:p>
        </w:tc>
        <w:tc>
          <w:tcPr>
            <w:tcW w:w="709"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bCs/>
                <w:color w:val="000000"/>
                <w:sz w:val="16"/>
                <w:szCs w:val="16"/>
              </w:rPr>
              <w:t>312 356 661</w:t>
            </w:r>
          </w:p>
        </w:tc>
        <w:tc>
          <w:tcPr>
            <w:tcW w:w="709" w:type="dxa"/>
            <w:tcBorders>
              <w:left w:val="single" w:sz="4" w:space="0" w:color="000000"/>
              <w:bottom w:val="single" w:sz="4" w:space="0" w:color="000000"/>
            </w:tcBorders>
          </w:tcPr>
          <w:p w:rsidR="00470E40" w:rsidRPr="00B81EA5" w:rsidRDefault="00470E40" w:rsidP="00AE7F37">
            <w:pPr>
              <w:rPr>
                <w:iCs/>
                <w:sz w:val="16"/>
                <w:szCs w:val="16"/>
              </w:rPr>
            </w:pPr>
            <w:r w:rsidRPr="00B81EA5">
              <w:rPr>
                <w:rFonts w:cs="Arial"/>
                <w:bCs/>
                <w:color w:val="000000"/>
                <w:sz w:val="16"/>
                <w:szCs w:val="16"/>
              </w:rPr>
              <w:t>19 937 659</w:t>
            </w:r>
          </w:p>
        </w:tc>
        <w:tc>
          <w:tcPr>
            <w:tcW w:w="709" w:type="dxa"/>
            <w:tcBorders>
              <w:left w:val="single" w:sz="4" w:space="0" w:color="000000"/>
              <w:bottom w:val="single" w:sz="4" w:space="0" w:color="000000"/>
              <w:right w:val="single" w:sz="4" w:space="0" w:color="000000"/>
            </w:tcBorders>
          </w:tcPr>
          <w:p w:rsidR="00470E40" w:rsidRPr="00B81EA5" w:rsidRDefault="00470E40" w:rsidP="00AE7F37">
            <w:pPr>
              <w:rPr>
                <w:iCs/>
                <w:sz w:val="16"/>
                <w:szCs w:val="16"/>
              </w:rPr>
            </w:pPr>
            <w:r w:rsidRPr="00B81EA5">
              <w:rPr>
                <w:rFonts w:cs="Arial"/>
                <w:bCs/>
                <w:color w:val="000000"/>
                <w:sz w:val="16"/>
                <w:szCs w:val="16"/>
              </w:rPr>
              <w:t>2 059 178 098</w:t>
            </w:r>
          </w:p>
        </w:tc>
        <w:tc>
          <w:tcPr>
            <w:tcW w:w="708" w:type="dxa"/>
            <w:tcBorders>
              <w:left w:val="single" w:sz="4" w:space="0" w:color="000000"/>
              <w:bottom w:val="single" w:sz="4" w:space="0" w:color="000000"/>
              <w:right w:val="single" w:sz="4" w:space="0" w:color="000000"/>
            </w:tcBorders>
          </w:tcPr>
          <w:p w:rsidR="00470E40" w:rsidRPr="00B81EA5" w:rsidRDefault="00470E40" w:rsidP="00AE7F37">
            <w:pPr>
              <w:rPr>
                <w:iCs/>
                <w:sz w:val="16"/>
                <w:szCs w:val="16"/>
              </w:rPr>
            </w:pPr>
            <w:r w:rsidRPr="00B81EA5">
              <w:rPr>
                <w:rFonts w:cs="Arial"/>
                <w:bCs/>
                <w:color w:val="000000"/>
                <w:sz w:val="16"/>
                <w:szCs w:val="16"/>
              </w:rPr>
              <w:t>131 436 900</w:t>
            </w:r>
          </w:p>
        </w:tc>
      </w:tr>
      <w:tr w:rsidR="000A639D" w:rsidRPr="00C63D0B" w:rsidTr="002F11D3">
        <w:trPr>
          <w:trHeight w:val="493"/>
        </w:trPr>
        <w:tc>
          <w:tcPr>
            <w:tcW w:w="534" w:type="dxa"/>
            <w:tcBorders>
              <w:left w:val="single" w:sz="4" w:space="0" w:color="000000"/>
              <w:bottom w:val="single" w:sz="4" w:space="0" w:color="000000"/>
              <w:right w:val="single" w:sz="4" w:space="0" w:color="000000"/>
            </w:tcBorders>
          </w:tcPr>
          <w:p w:rsidR="00470E40" w:rsidRPr="00C63D0B" w:rsidRDefault="00470E40" w:rsidP="00AE7F37">
            <w:pPr>
              <w:rPr>
                <w:rFonts w:cstheme="minorHAnsi"/>
                <w:b/>
                <w:bCs/>
                <w:sz w:val="16"/>
                <w:szCs w:val="16"/>
              </w:rPr>
            </w:pPr>
            <w:r w:rsidRPr="00C63D0B">
              <w:rPr>
                <w:rFonts w:cstheme="minorHAnsi"/>
                <w:b/>
                <w:bCs/>
                <w:sz w:val="16"/>
                <w:szCs w:val="16"/>
              </w:rPr>
              <w:t>Celkem</w:t>
            </w:r>
          </w:p>
        </w:tc>
        <w:tc>
          <w:tcPr>
            <w:tcW w:w="850" w:type="dxa"/>
            <w:tcBorders>
              <w:left w:val="single" w:sz="4" w:space="0" w:color="000000"/>
              <w:bottom w:val="single" w:sz="4" w:space="0" w:color="000000"/>
            </w:tcBorders>
          </w:tcPr>
          <w:p w:rsidR="00470E40" w:rsidRPr="00C63D0B" w:rsidRDefault="00470E40" w:rsidP="00AE7F37">
            <w:pPr>
              <w:rPr>
                <w:rFonts w:cstheme="minorHAnsi"/>
                <w:b/>
                <w:bCs/>
                <w:sz w:val="16"/>
                <w:szCs w:val="16"/>
              </w:rPr>
            </w:pPr>
          </w:p>
        </w:tc>
        <w:tc>
          <w:tcPr>
            <w:tcW w:w="709" w:type="dxa"/>
            <w:tcBorders>
              <w:left w:val="single" w:sz="4" w:space="0" w:color="000000"/>
              <w:bottom w:val="single" w:sz="4" w:space="0" w:color="000000"/>
            </w:tcBorders>
          </w:tcPr>
          <w:p w:rsidR="00470E40" w:rsidRPr="00B81EA5" w:rsidRDefault="00470E40" w:rsidP="00AE7F37">
            <w:pPr>
              <w:rPr>
                <w:color w:val="000000"/>
                <w:sz w:val="16"/>
                <w:szCs w:val="16"/>
              </w:rPr>
            </w:pPr>
            <w:r w:rsidRPr="00B81EA5">
              <w:rPr>
                <w:rFonts w:cs="Arial"/>
                <w:bCs/>
                <w:color w:val="000000"/>
                <w:sz w:val="16"/>
                <w:szCs w:val="16"/>
              </w:rPr>
              <w:t>322 338 602</w:t>
            </w:r>
          </w:p>
        </w:tc>
        <w:tc>
          <w:tcPr>
            <w:tcW w:w="850" w:type="dxa"/>
            <w:tcBorders>
              <w:left w:val="single" w:sz="4" w:space="0" w:color="000000"/>
              <w:bottom w:val="single" w:sz="4" w:space="0" w:color="000000"/>
            </w:tcBorders>
          </w:tcPr>
          <w:p w:rsidR="00470E40" w:rsidRPr="00B81EA5" w:rsidRDefault="00470E40" w:rsidP="00AE7F37">
            <w:pPr>
              <w:rPr>
                <w:color w:val="000000"/>
                <w:sz w:val="16"/>
                <w:szCs w:val="16"/>
              </w:rPr>
            </w:pPr>
            <w:r w:rsidRPr="00B81EA5">
              <w:rPr>
                <w:rFonts w:cs="Arial"/>
                <w:bCs/>
                <w:color w:val="000000"/>
                <w:sz w:val="16"/>
                <w:szCs w:val="16"/>
              </w:rPr>
              <w:t>20 574 804</w:t>
            </w:r>
          </w:p>
        </w:tc>
        <w:tc>
          <w:tcPr>
            <w:tcW w:w="709" w:type="dxa"/>
            <w:tcBorders>
              <w:left w:val="single" w:sz="4" w:space="0" w:color="000000"/>
              <w:bottom w:val="single" w:sz="4" w:space="0" w:color="000000"/>
            </w:tcBorders>
          </w:tcPr>
          <w:p w:rsidR="00470E40" w:rsidRPr="00B81EA5" w:rsidRDefault="00470E40" w:rsidP="00AE7F37">
            <w:pPr>
              <w:rPr>
                <w:bCs/>
                <w:sz w:val="16"/>
                <w:szCs w:val="16"/>
              </w:rPr>
            </w:pPr>
            <w:r w:rsidRPr="00B81EA5">
              <w:rPr>
                <w:rFonts w:cs="Arial"/>
                <w:bCs/>
                <w:color w:val="000000"/>
                <w:sz w:val="16"/>
                <w:szCs w:val="16"/>
              </w:rPr>
              <w:t>329 970 023</w:t>
            </w:r>
          </w:p>
        </w:tc>
        <w:tc>
          <w:tcPr>
            <w:tcW w:w="851" w:type="dxa"/>
            <w:tcBorders>
              <w:left w:val="single" w:sz="4" w:space="0" w:color="000000"/>
              <w:bottom w:val="single" w:sz="4" w:space="0" w:color="000000"/>
            </w:tcBorders>
          </w:tcPr>
          <w:p w:rsidR="00470E40" w:rsidRPr="00B81EA5" w:rsidRDefault="00470E40" w:rsidP="00AE7F37">
            <w:pPr>
              <w:rPr>
                <w:bCs/>
                <w:sz w:val="16"/>
                <w:szCs w:val="16"/>
              </w:rPr>
            </w:pPr>
            <w:r w:rsidRPr="00B81EA5">
              <w:rPr>
                <w:rFonts w:cs="Arial"/>
                <w:bCs/>
                <w:color w:val="000000"/>
                <w:sz w:val="16"/>
                <w:szCs w:val="16"/>
              </w:rPr>
              <w:t>21 061 916</w:t>
            </w:r>
          </w:p>
        </w:tc>
        <w:tc>
          <w:tcPr>
            <w:tcW w:w="708" w:type="dxa"/>
            <w:tcBorders>
              <w:left w:val="single" w:sz="4" w:space="0" w:color="000000"/>
              <w:bottom w:val="single" w:sz="4" w:space="0" w:color="000000"/>
            </w:tcBorders>
          </w:tcPr>
          <w:p w:rsidR="00470E40" w:rsidRPr="00B81EA5" w:rsidRDefault="00470E40" w:rsidP="00AE7F37">
            <w:pPr>
              <w:rPr>
                <w:bCs/>
                <w:sz w:val="16"/>
                <w:szCs w:val="16"/>
              </w:rPr>
            </w:pPr>
            <w:r w:rsidRPr="00B81EA5">
              <w:rPr>
                <w:rFonts w:cs="Arial"/>
                <w:bCs/>
                <w:color w:val="000000"/>
                <w:sz w:val="16"/>
                <w:szCs w:val="16"/>
              </w:rPr>
              <w:t>337 647 495</w:t>
            </w:r>
          </w:p>
        </w:tc>
        <w:tc>
          <w:tcPr>
            <w:tcW w:w="851" w:type="dxa"/>
            <w:tcBorders>
              <w:left w:val="single" w:sz="4" w:space="0" w:color="000000"/>
              <w:bottom w:val="single" w:sz="4" w:space="0" w:color="000000"/>
            </w:tcBorders>
          </w:tcPr>
          <w:p w:rsidR="00470E40" w:rsidRPr="00B81EA5" w:rsidRDefault="00470E40" w:rsidP="00AE7F37">
            <w:pPr>
              <w:rPr>
                <w:bCs/>
                <w:sz w:val="16"/>
                <w:szCs w:val="16"/>
              </w:rPr>
            </w:pPr>
            <w:r w:rsidRPr="00B81EA5">
              <w:rPr>
                <w:rFonts w:cs="Arial"/>
                <w:bCs/>
                <w:color w:val="000000"/>
                <w:sz w:val="16"/>
                <w:szCs w:val="16"/>
              </w:rPr>
              <w:t>21 551 968</w:t>
            </w:r>
          </w:p>
        </w:tc>
        <w:tc>
          <w:tcPr>
            <w:tcW w:w="709" w:type="dxa"/>
            <w:tcBorders>
              <w:left w:val="single" w:sz="4" w:space="0" w:color="000000"/>
              <w:bottom w:val="single" w:sz="4" w:space="0" w:color="000000"/>
            </w:tcBorders>
          </w:tcPr>
          <w:p w:rsidR="00470E40" w:rsidRPr="00B81EA5" w:rsidRDefault="00470E40" w:rsidP="00AE7F37">
            <w:pPr>
              <w:rPr>
                <w:bCs/>
                <w:sz w:val="16"/>
                <w:szCs w:val="16"/>
              </w:rPr>
            </w:pPr>
            <w:r w:rsidRPr="00B81EA5">
              <w:rPr>
                <w:rFonts w:cs="Arial"/>
                <w:bCs/>
                <w:color w:val="000000"/>
                <w:sz w:val="16"/>
                <w:szCs w:val="16"/>
              </w:rPr>
              <w:t>344 882 459</w:t>
            </w:r>
          </w:p>
        </w:tc>
        <w:tc>
          <w:tcPr>
            <w:tcW w:w="708" w:type="dxa"/>
            <w:tcBorders>
              <w:left w:val="single" w:sz="4" w:space="0" w:color="000000"/>
              <w:bottom w:val="single" w:sz="4" w:space="0" w:color="000000"/>
            </w:tcBorders>
          </w:tcPr>
          <w:p w:rsidR="00470E40" w:rsidRPr="00B81EA5" w:rsidRDefault="00470E40" w:rsidP="00AE7F37">
            <w:pPr>
              <w:rPr>
                <w:bCs/>
                <w:sz w:val="16"/>
                <w:szCs w:val="16"/>
              </w:rPr>
            </w:pPr>
            <w:r w:rsidRPr="00B81EA5">
              <w:rPr>
                <w:rFonts w:cs="Arial"/>
                <w:bCs/>
                <w:color w:val="000000"/>
                <w:sz w:val="16"/>
                <w:szCs w:val="16"/>
              </w:rPr>
              <w:t>22 013 774</w:t>
            </w:r>
          </w:p>
        </w:tc>
        <w:tc>
          <w:tcPr>
            <w:tcW w:w="709" w:type="dxa"/>
            <w:tcBorders>
              <w:left w:val="single" w:sz="4" w:space="0" w:color="000000"/>
              <w:bottom w:val="single" w:sz="4" w:space="0" w:color="000000"/>
            </w:tcBorders>
          </w:tcPr>
          <w:p w:rsidR="00470E40" w:rsidRPr="00B81EA5" w:rsidRDefault="00470E40" w:rsidP="00AE7F37">
            <w:pPr>
              <w:rPr>
                <w:bCs/>
                <w:sz w:val="16"/>
                <w:szCs w:val="16"/>
              </w:rPr>
            </w:pPr>
            <w:r w:rsidRPr="00B81EA5">
              <w:rPr>
                <w:rFonts w:cs="Arial"/>
                <w:bCs/>
                <w:color w:val="000000"/>
                <w:sz w:val="16"/>
                <w:szCs w:val="16"/>
              </w:rPr>
              <w:t>351 714 370</w:t>
            </w:r>
          </w:p>
        </w:tc>
        <w:tc>
          <w:tcPr>
            <w:tcW w:w="709" w:type="dxa"/>
            <w:tcBorders>
              <w:left w:val="single" w:sz="4" w:space="0" w:color="000000"/>
              <w:bottom w:val="single" w:sz="4" w:space="0" w:color="000000"/>
            </w:tcBorders>
          </w:tcPr>
          <w:p w:rsidR="00470E40" w:rsidRPr="00B81EA5" w:rsidRDefault="00470E40" w:rsidP="00AE7F37">
            <w:pPr>
              <w:rPr>
                <w:bCs/>
                <w:sz w:val="16"/>
                <w:szCs w:val="16"/>
              </w:rPr>
            </w:pPr>
            <w:r w:rsidRPr="00B81EA5">
              <w:rPr>
                <w:rFonts w:cs="Arial"/>
                <w:bCs/>
                <w:color w:val="000000"/>
                <w:sz w:val="16"/>
                <w:szCs w:val="16"/>
              </w:rPr>
              <w:t>22 449 853</w:t>
            </w:r>
          </w:p>
        </w:tc>
        <w:tc>
          <w:tcPr>
            <w:tcW w:w="709" w:type="dxa"/>
            <w:tcBorders>
              <w:top w:val="single" w:sz="6" w:space="0" w:color="auto"/>
              <w:left w:val="single" w:sz="4" w:space="0" w:color="000000"/>
              <w:bottom w:val="single" w:sz="4" w:space="0" w:color="000000"/>
            </w:tcBorders>
          </w:tcPr>
          <w:p w:rsidR="00470E40" w:rsidRPr="00B81EA5" w:rsidRDefault="00470E40" w:rsidP="00AE7F37">
            <w:pPr>
              <w:rPr>
                <w:bCs/>
                <w:sz w:val="16"/>
                <w:szCs w:val="16"/>
              </w:rPr>
            </w:pPr>
            <w:r w:rsidRPr="00B81EA5">
              <w:rPr>
                <w:rFonts w:cs="Arial"/>
                <w:bCs/>
                <w:color w:val="000000"/>
                <w:sz w:val="16"/>
                <w:szCs w:val="16"/>
              </w:rPr>
              <w:t>359 228 676</w:t>
            </w:r>
          </w:p>
        </w:tc>
        <w:tc>
          <w:tcPr>
            <w:tcW w:w="708" w:type="dxa"/>
            <w:tcBorders>
              <w:top w:val="single" w:sz="6" w:space="0" w:color="auto"/>
              <w:left w:val="single" w:sz="4" w:space="0" w:color="000000"/>
              <w:bottom w:val="single" w:sz="4" w:space="0" w:color="000000"/>
            </w:tcBorders>
          </w:tcPr>
          <w:p w:rsidR="00470E40" w:rsidRPr="00B81EA5" w:rsidRDefault="00470E40" w:rsidP="00AE7F37">
            <w:pPr>
              <w:rPr>
                <w:bCs/>
                <w:sz w:val="16"/>
                <w:szCs w:val="16"/>
              </w:rPr>
            </w:pPr>
            <w:r w:rsidRPr="00B81EA5">
              <w:rPr>
                <w:rFonts w:cs="Arial"/>
                <w:bCs/>
                <w:color w:val="000000"/>
                <w:sz w:val="16"/>
                <w:szCs w:val="16"/>
              </w:rPr>
              <w:t>22 929 490</w:t>
            </w:r>
          </w:p>
        </w:tc>
        <w:tc>
          <w:tcPr>
            <w:tcW w:w="709" w:type="dxa"/>
            <w:tcBorders>
              <w:left w:val="single" w:sz="4" w:space="0" w:color="000000"/>
              <w:bottom w:val="single" w:sz="4" w:space="0" w:color="000000"/>
            </w:tcBorders>
          </w:tcPr>
          <w:p w:rsidR="00470E40" w:rsidRPr="00B81EA5" w:rsidRDefault="00470E40" w:rsidP="00AE7F37">
            <w:pPr>
              <w:rPr>
                <w:bCs/>
                <w:sz w:val="16"/>
                <w:szCs w:val="16"/>
              </w:rPr>
            </w:pPr>
            <w:r w:rsidRPr="00B81EA5">
              <w:rPr>
                <w:rFonts w:cs="Arial"/>
                <w:bCs/>
                <w:color w:val="000000"/>
                <w:sz w:val="16"/>
                <w:szCs w:val="16"/>
              </w:rPr>
              <w:t>365 731 053</w:t>
            </w:r>
          </w:p>
        </w:tc>
        <w:tc>
          <w:tcPr>
            <w:tcW w:w="709" w:type="dxa"/>
            <w:tcBorders>
              <w:left w:val="single" w:sz="4" w:space="0" w:color="000000"/>
              <w:bottom w:val="single" w:sz="4" w:space="0" w:color="000000"/>
            </w:tcBorders>
          </w:tcPr>
          <w:p w:rsidR="00470E40" w:rsidRPr="00B81EA5" w:rsidRDefault="00470E40" w:rsidP="00AE7F37">
            <w:pPr>
              <w:rPr>
                <w:bCs/>
                <w:sz w:val="16"/>
                <w:szCs w:val="16"/>
              </w:rPr>
            </w:pPr>
            <w:r w:rsidRPr="00B81EA5">
              <w:rPr>
                <w:rFonts w:cs="Arial"/>
                <w:bCs/>
                <w:color w:val="000000"/>
                <w:sz w:val="16"/>
                <w:szCs w:val="16"/>
              </w:rPr>
              <w:t>23 344 535</w:t>
            </w:r>
          </w:p>
        </w:tc>
        <w:tc>
          <w:tcPr>
            <w:tcW w:w="709" w:type="dxa"/>
            <w:tcBorders>
              <w:left w:val="single" w:sz="4" w:space="0" w:color="000000"/>
              <w:bottom w:val="single" w:sz="4" w:space="0" w:color="000000"/>
              <w:right w:val="single" w:sz="4" w:space="0" w:color="000000"/>
            </w:tcBorders>
          </w:tcPr>
          <w:p w:rsidR="00470E40" w:rsidRPr="00B81EA5" w:rsidRDefault="00470E40" w:rsidP="00AE7F37">
            <w:pPr>
              <w:rPr>
                <w:rFonts w:cstheme="minorHAnsi"/>
                <w:bCs/>
                <w:sz w:val="16"/>
                <w:szCs w:val="16"/>
              </w:rPr>
            </w:pPr>
            <w:r w:rsidRPr="00B81EA5">
              <w:rPr>
                <w:rFonts w:cs="Arial"/>
                <w:bCs/>
                <w:color w:val="000000"/>
                <w:sz w:val="16"/>
                <w:szCs w:val="16"/>
              </w:rPr>
              <w:t>2 411 512 677</w:t>
            </w:r>
          </w:p>
        </w:tc>
        <w:tc>
          <w:tcPr>
            <w:tcW w:w="708" w:type="dxa"/>
            <w:tcBorders>
              <w:left w:val="single" w:sz="4" w:space="0" w:color="000000"/>
              <w:bottom w:val="single" w:sz="4" w:space="0" w:color="000000"/>
              <w:right w:val="single" w:sz="4" w:space="0" w:color="000000"/>
            </w:tcBorders>
          </w:tcPr>
          <w:p w:rsidR="00470E40" w:rsidRPr="00B81EA5" w:rsidRDefault="00470E40" w:rsidP="00AE7F37">
            <w:pPr>
              <w:rPr>
                <w:rFonts w:cstheme="minorHAnsi"/>
                <w:bCs/>
                <w:sz w:val="16"/>
                <w:szCs w:val="16"/>
              </w:rPr>
            </w:pPr>
            <w:r w:rsidRPr="00B81EA5">
              <w:rPr>
                <w:rFonts w:cs="Arial"/>
                <w:bCs/>
                <w:color w:val="000000"/>
                <w:sz w:val="16"/>
                <w:szCs w:val="16"/>
              </w:rPr>
              <w:t>153 926 341</w:t>
            </w:r>
          </w:p>
        </w:tc>
      </w:tr>
      <w:bookmarkEnd w:id="2989"/>
    </w:tbl>
    <w:p w:rsidR="0031631F" w:rsidRDefault="0031631F" w:rsidP="00B66FDE">
      <w:pPr>
        <w:rPr>
          <w:rFonts w:eastAsia="Arial Unicode MS"/>
        </w:rPr>
      </w:pPr>
    </w:p>
    <w:p w:rsidR="009133A8" w:rsidRDefault="009133A8" w:rsidP="00B66FDE">
      <w:pPr>
        <w:rPr>
          <w:rFonts w:eastAsia="Arial Unicode MS"/>
        </w:rPr>
      </w:pPr>
    </w:p>
    <w:p w:rsidR="005D2B3A" w:rsidRDefault="005D2B3A" w:rsidP="00B66FDE">
      <w:pPr>
        <w:rPr>
          <w:rFonts w:eastAsia="Arial Unicode MS"/>
        </w:rPr>
      </w:pPr>
    </w:p>
    <w:p w:rsidR="001C124E" w:rsidRDefault="001C124E" w:rsidP="00B66FDE">
      <w:pPr>
        <w:rPr>
          <w:rFonts w:eastAsia="Arial Unicode MS"/>
        </w:rPr>
      </w:pPr>
    </w:p>
    <w:p w:rsidR="009133A8" w:rsidRPr="00BD12AB" w:rsidRDefault="007B21C6" w:rsidP="00BD12AB">
      <w:pPr>
        <w:pStyle w:val="Nadpis2"/>
        <w:rPr>
          <w:rFonts w:eastAsia="Arial Unicode MS"/>
        </w:rPr>
      </w:pPr>
      <w:bookmarkStart w:id="2992" w:name="_Toc392151075"/>
      <w:r>
        <w:rPr>
          <w:rFonts w:eastAsia="Arial Unicode MS"/>
        </w:rPr>
        <w:lastRenderedPageBreak/>
        <w:t xml:space="preserve">Celková výše finanční podpory z každého fondu a vnitrostátního spolufinancování </w:t>
      </w:r>
      <w:r w:rsidR="00A5209E" w:rsidRPr="004314F4">
        <w:rPr>
          <w:rFonts w:eastAsia="Arial Unicode MS"/>
        </w:rPr>
        <w:t>(</w:t>
      </w:r>
      <w:r>
        <w:rPr>
          <w:rFonts w:eastAsia="Arial Unicode MS"/>
        </w:rPr>
        <w:t xml:space="preserve">v </w:t>
      </w:r>
      <w:proofErr w:type="gramStart"/>
      <w:r w:rsidR="00A5209E" w:rsidRPr="004314F4">
        <w:rPr>
          <w:rFonts w:eastAsia="Arial Unicode MS"/>
        </w:rPr>
        <w:t>EUR</w:t>
      </w:r>
      <w:proofErr w:type="gramEnd"/>
      <w:r w:rsidR="00A5209E" w:rsidRPr="004314F4">
        <w:rPr>
          <w:rFonts w:eastAsia="Arial Unicode MS"/>
        </w:rPr>
        <w:t>)</w:t>
      </w:r>
      <w:bookmarkEnd w:id="2990"/>
      <w:bookmarkEnd w:id="2991"/>
      <w:bookmarkEnd w:id="2992"/>
      <w:r w:rsidR="00A5209E" w:rsidRPr="004314F4">
        <w:rPr>
          <w:rFonts w:eastAsia="Arial Unicode MS"/>
        </w:rPr>
        <w:t xml:space="preserve">  </w:t>
      </w:r>
    </w:p>
    <w:p w:rsidR="00662FFA" w:rsidRDefault="007B21C6" w:rsidP="00687FC7">
      <w:pPr>
        <w:pStyle w:val="Titulek"/>
      </w:pPr>
      <w:r>
        <w:t>Plán financování</w:t>
      </w:r>
    </w:p>
    <w:tbl>
      <w:tblPr>
        <w:tblStyle w:val="Mkatabulky"/>
        <w:tblW w:w="13751" w:type="dxa"/>
        <w:tblInd w:w="-318" w:type="dxa"/>
        <w:tblLayout w:type="fixed"/>
        <w:tblLook w:val="04A0" w:firstRow="1" w:lastRow="0" w:firstColumn="1" w:lastColumn="0" w:noHBand="0" w:noVBand="1"/>
      </w:tblPr>
      <w:tblGrid>
        <w:gridCol w:w="426"/>
        <w:gridCol w:w="284"/>
        <w:gridCol w:w="850"/>
        <w:gridCol w:w="851"/>
        <w:gridCol w:w="992"/>
        <w:gridCol w:w="992"/>
        <w:gridCol w:w="851"/>
        <w:gridCol w:w="850"/>
        <w:gridCol w:w="1134"/>
        <w:gridCol w:w="851"/>
        <w:gridCol w:w="567"/>
        <w:gridCol w:w="1276"/>
        <w:gridCol w:w="1134"/>
        <w:gridCol w:w="850"/>
        <w:gridCol w:w="992"/>
        <w:gridCol w:w="851"/>
      </w:tblGrid>
      <w:tr w:rsidR="006A1183" w:rsidRPr="008C7B44" w:rsidTr="00253FFB">
        <w:trPr>
          <w:trHeight w:val="2972"/>
        </w:trPr>
        <w:tc>
          <w:tcPr>
            <w:tcW w:w="426" w:type="dxa"/>
            <w:vMerge w:val="restart"/>
            <w:tcBorders>
              <w:bottom w:val="single" w:sz="12" w:space="0" w:color="auto"/>
            </w:tcBorders>
            <w:shd w:val="clear" w:color="auto" w:fill="BFBFBF" w:themeFill="background1" w:themeFillShade="BF"/>
          </w:tcPr>
          <w:p w:rsidR="006A1183" w:rsidRPr="008C7B44" w:rsidRDefault="006A1183" w:rsidP="00A252C4">
            <w:pPr>
              <w:jc w:val="left"/>
              <w:rPr>
                <w:b/>
                <w:sz w:val="16"/>
                <w:szCs w:val="16"/>
              </w:rPr>
            </w:pPr>
            <w:r w:rsidRPr="008C7B44">
              <w:rPr>
                <w:b/>
                <w:sz w:val="16"/>
                <w:szCs w:val="16"/>
              </w:rPr>
              <w:t>Prioritní osa</w:t>
            </w:r>
          </w:p>
        </w:tc>
        <w:tc>
          <w:tcPr>
            <w:tcW w:w="284" w:type="dxa"/>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Fond</w:t>
            </w:r>
          </w:p>
        </w:tc>
        <w:tc>
          <w:tcPr>
            <w:tcW w:w="850" w:type="dxa"/>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Kategorie regionů</w:t>
            </w:r>
          </w:p>
        </w:tc>
        <w:tc>
          <w:tcPr>
            <w:tcW w:w="851" w:type="dxa"/>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Základ pro výpočet podpory Unie</w:t>
            </w:r>
          </w:p>
        </w:tc>
        <w:tc>
          <w:tcPr>
            <w:tcW w:w="992" w:type="dxa"/>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Podpora Unie</w:t>
            </w:r>
          </w:p>
          <w:p w:rsidR="006A1183" w:rsidRPr="008C7B44" w:rsidRDefault="006A1183" w:rsidP="00A252C4">
            <w:pPr>
              <w:jc w:val="left"/>
              <w:rPr>
                <w:rFonts w:cstheme="minorHAnsi"/>
                <w:b/>
                <w:sz w:val="16"/>
                <w:szCs w:val="16"/>
              </w:rPr>
            </w:pPr>
          </w:p>
        </w:tc>
        <w:tc>
          <w:tcPr>
            <w:tcW w:w="992" w:type="dxa"/>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 xml:space="preserve">Příspěvek </w:t>
            </w:r>
            <w:proofErr w:type="gramStart"/>
            <w:r w:rsidRPr="008C7B44">
              <w:rPr>
                <w:rFonts w:cstheme="minorHAnsi"/>
                <w:b/>
                <w:sz w:val="16"/>
                <w:szCs w:val="16"/>
              </w:rPr>
              <w:t>členském</w:t>
            </w:r>
            <w:proofErr w:type="gramEnd"/>
            <w:r w:rsidRPr="008C7B44">
              <w:rPr>
                <w:rFonts w:cstheme="minorHAnsi"/>
                <w:b/>
                <w:sz w:val="16"/>
                <w:szCs w:val="16"/>
              </w:rPr>
              <w:t xml:space="preserve"> státu</w:t>
            </w:r>
          </w:p>
        </w:tc>
        <w:tc>
          <w:tcPr>
            <w:tcW w:w="1701" w:type="dxa"/>
            <w:gridSpan w:val="2"/>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Orientační rozdělení příspěvku členského státu</w:t>
            </w:r>
          </w:p>
          <w:p w:rsidR="006A1183" w:rsidRPr="008C7B44" w:rsidRDefault="006A1183" w:rsidP="00A252C4">
            <w:pPr>
              <w:jc w:val="left"/>
              <w:rPr>
                <w:rFonts w:cstheme="minorHAnsi"/>
                <w:b/>
                <w:sz w:val="16"/>
                <w:szCs w:val="16"/>
              </w:rPr>
            </w:pPr>
          </w:p>
        </w:tc>
        <w:tc>
          <w:tcPr>
            <w:tcW w:w="1134" w:type="dxa"/>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Financování celkem</w:t>
            </w:r>
          </w:p>
        </w:tc>
        <w:tc>
          <w:tcPr>
            <w:tcW w:w="851" w:type="dxa"/>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Míra spolufinancování</w:t>
            </w:r>
          </w:p>
        </w:tc>
        <w:tc>
          <w:tcPr>
            <w:tcW w:w="567" w:type="dxa"/>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Pro informaci</w:t>
            </w:r>
          </w:p>
          <w:p w:rsidR="006A1183" w:rsidRPr="008C7B44" w:rsidRDefault="006A1183" w:rsidP="00A252C4">
            <w:pPr>
              <w:jc w:val="left"/>
              <w:rPr>
                <w:rFonts w:cstheme="minorHAnsi"/>
                <w:b/>
                <w:sz w:val="16"/>
                <w:szCs w:val="16"/>
              </w:rPr>
            </w:pPr>
            <w:r w:rsidRPr="008C7B44">
              <w:rPr>
                <w:rFonts w:cstheme="minorHAnsi"/>
                <w:b/>
                <w:sz w:val="16"/>
                <w:szCs w:val="16"/>
              </w:rPr>
              <w:t>Příspěvky EIB</w:t>
            </w:r>
          </w:p>
          <w:p w:rsidR="006A1183" w:rsidRPr="008C7B44" w:rsidRDefault="006A1183" w:rsidP="00A252C4">
            <w:pPr>
              <w:jc w:val="left"/>
              <w:rPr>
                <w:rFonts w:cstheme="minorHAnsi"/>
                <w:b/>
                <w:sz w:val="16"/>
                <w:szCs w:val="16"/>
              </w:rPr>
            </w:pPr>
          </w:p>
        </w:tc>
        <w:tc>
          <w:tcPr>
            <w:tcW w:w="2410" w:type="dxa"/>
            <w:gridSpan w:val="2"/>
            <w:tcBorders>
              <w:bottom w:val="single" w:sz="4" w:space="0" w:color="auto"/>
            </w:tcBorders>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Hlavní příděl (finanční prostředky celkem minus výkonnostní rezerva)</w:t>
            </w:r>
          </w:p>
        </w:tc>
        <w:tc>
          <w:tcPr>
            <w:tcW w:w="1842" w:type="dxa"/>
            <w:gridSpan w:val="2"/>
            <w:tcBorders>
              <w:bottom w:val="single" w:sz="4" w:space="0" w:color="auto"/>
            </w:tcBorders>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Výkonnostní rezerva</w:t>
            </w:r>
          </w:p>
        </w:tc>
        <w:tc>
          <w:tcPr>
            <w:tcW w:w="851" w:type="dxa"/>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 xml:space="preserve">Podíl výkonnostní rezerv (podpora Unie) na celkové Unijní podpoře </w:t>
            </w:r>
          </w:p>
        </w:tc>
      </w:tr>
      <w:tr w:rsidR="00FD3775" w:rsidRPr="008C7B44" w:rsidTr="00253FFB">
        <w:trPr>
          <w:trHeight w:val="1098"/>
        </w:trPr>
        <w:tc>
          <w:tcPr>
            <w:tcW w:w="426" w:type="dxa"/>
            <w:vMerge/>
            <w:tcBorders>
              <w:bottom w:val="single" w:sz="12" w:space="0" w:color="auto"/>
            </w:tcBorders>
            <w:shd w:val="clear" w:color="auto" w:fill="BFBFBF" w:themeFill="background1" w:themeFillShade="BF"/>
          </w:tcPr>
          <w:p w:rsidR="006A1183" w:rsidRPr="008C7B44" w:rsidRDefault="006A1183" w:rsidP="00A252C4">
            <w:pPr>
              <w:jc w:val="left"/>
              <w:rPr>
                <w:b/>
                <w:sz w:val="16"/>
                <w:szCs w:val="16"/>
              </w:rPr>
            </w:pPr>
          </w:p>
        </w:tc>
        <w:tc>
          <w:tcPr>
            <w:tcW w:w="284" w:type="dxa"/>
            <w:vMerge w:val="restart"/>
            <w:shd w:val="clear" w:color="auto" w:fill="BFBFBF" w:themeFill="background1" w:themeFillShade="BF"/>
          </w:tcPr>
          <w:p w:rsidR="006A1183" w:rsidRPr="008C7B44" w:rsidRDefault="006A1183" w:rsidP="00A252C4">
            <w:pPr>
              <w:jc w:val="left"/>
              <w:rPr>
                <w:rFonts w:cstheme="minorHAnsi"/>
                <w:b/>
                <w:sz w:val="16"/>
                <w:szCs w:val="16"/>
              </w:rPr>
            </w:pPr>
          </w:p>
        </w:tc>
        <w:tc>
          <w:tcPr>
            <w:tcW w:w="850" w:type="dxa"/>
            <w:vMerge w:val="restart"/>
            <w:shd w:val="clear" w:color="auto" w:fill="BFBFBF" w:themeFill="background1" w:themeFillShade="BF"/>
          </w:tcPr>
          <w:p w:rsidR="006A1183" w:rsidRPr="008C7B44" w:rsidRDefault="006A1183" w:rsidP="00A252C4">
            <w:pPr>
              <w:jc w:val="left"/>
              <w:rPr>
                <w:rFonts w:cstheme="minorHAnsi"/>
                <w:b/>
                <w:sz w:val="16"/>
                <w:szCs w:val="16"/>
              </w:rPr>
            </w:pPr>
          </w:p>
        </w:tc>
        <w:tc>
          <w:tcPr>
            <w:tcW w:w="851" w:type="dxa"/>
            <w:vMerge w:val="restart"/>
            <w:shd w:val="clear" w:color="auto" w:fill="BFBFBF" w:themeFill="background1" w:themeFillShade="BF"/>
          </w:tcPr>
          <w:p w:rsidR="006A1183" w:rsidRPr="008C7B44" w:rsidRDefault="006A1183" w:rsidP="00A252C4">
            <w:pPr>
              <w:jc w:val="left"/>
              <w:rPr>
                <w:rFonts w:cstheme="minorHAnsi"/>
                <w:b/>
                <w:sz w:val="16"/>
                <w:szCs w:val="16"/>
              </w:rPr>
            </w:pPr>
          </w:p>
        </w:tc>
        <w:tc>
          <w:tcPr>
            <w:tcW w:w="992" w:type="dxa"/>
            <w:shd w:val="clear" w:color="auto" w:fill="BFBFBF" w:themeFill="background1" w:themeFillShade="BF"/>
          </w:tcPr>
          <w:p w:rsidR="006A1183" w:rsidRPr="008C7B44" w:rsidRDefault="006A1183" w:rsidP="00A252C4">
            <w:pPr>
              <w:jc w:val="left"/>
              <w:rPr>
                <w:rFonts w:cstheme="minorHAnsi"/>
                <w:b/>
                <w:sz w:val="16"/>
                <w:szCs w:val="16"/>
              </w:rPr>
            </w:pPr>
          </w:p>
        </w:tc>
        <w:tc>
          <w:tcPr>
            <w:tcW w:w="992" w:type="dxa"/>
            <w:shd w:val="clear" w:color="auto" w:fill="BFBFBF" w:themeFill="background1" w:themeFillShade="BF"/>
          </w:tcPr>
          <w:p w:rsidR="006A1183" w:rsidRPr="008C7B44" w:rsidRDefault="006A1183" w:rsidP="00A252C4">
            <w:pPr>
              <w:jc w:val="left"/>
              <w:rPr>
                <w:rFonts w:cstheme="minorHAnsi"/>
                <w:b/>
                <w:sz w:val="16"/>
                <w:szCs w:val="16"/>
              </w:rPr>
            </w:pPr>
          </w:p>
        </w:tc>
        <w:tc>
          <w:tcPr>
            <w:tcW w:w="851" w:type="dxa"/>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Financování z vnitrostátních veřejných zdrojů</w:t>
            </w:r>
          </w:p>
          <w:p w:rsidR="006A1183" w:rsidRPr="008C7B44" w:rsidRDefault="006A1183" w:rsidP="00A252C4">
            <w:pPr>
              <w:jc w:val="left"/>
              <w:rPr>
                <w:rFonts w:cstheme="minorHAnsi"/>
                <w:b/>
                <w:sz w:val="16"/>
                <w:szCs w:val="16"/>
              </w:rPr>
            </w:pPr>
          </w:p>
        </w:tc>
        <w:tc>
          <w:tcPr>
            <w:tcW w:w="850" w:type="dxa"/>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Financování z vnitrostátních soukromých zdrojů</w:t>
            </w:r>
          </w:p>
          <w:p w:rsidR="006A1183" w:rsidRPr="008C7B44" w:rsidRDefault="006A1183" w:rsidP="00A252C4">
            <w:pPr>
              <w:jc w:val="left"/>
              <w:rPr>
                <w:rFonts w:cstheme="minorHAnsi"/>
                <w:b/>
                <w:sz w:val="16"/>
                <w:szCs w:val="16"/>
              </w:rPr>
            </w:pPr>
          </w:p>
        </w:tc>
        <w:tc>
          <w:tcPr>
            <w:tcW w:w="1134" w:type="dxa"/>
            <w:shd w:val="clear" w:color="auto" w:fill="BFBFBF" w:themeFill="background1" w:themeFillShade="BF"/>
          </w:tcPr>
          <w:p w:rsidR="006A1183" w:rsidRPr="008C7B44" w:rsidRDefault="006A1183" w:rsidP="00A252C4">
            <w:pPr>
              <w:jc w:val="left"/>
              <w:rPr>
                <w:rFonts w:cstheme="minorHAnsi"/>
                <w:b/>
                <w:sz w:val="16"/>
                <w:szCs w:val="16"/>
              </w:rPr>
            </w:pPr>
          </w:p>
        </w:tc>
        <w:tc>
          <w:tcPr>
            <w:tcW w:w="851" w:type="dxa"/>
            <w:shd w:val="clear" w:color="auto" w:fill="BFBFBF" w:themeFill="background1" w:themeFillShade="BF"/>
          </w:tcPr>
          <w:p w:rsidR="006A1183" w:rsidRPr="008C7B44" w:rsidRDefault="006A1183" w:rsidP="00A252C4">
            <w:pPr>
              <w:jc w:val="left"/>
              <w:rPr>
                <w:rFonts w:cstheme="minorHAnsi"/>
                <w:b/>
                <w:sz w:val="16"/>
                <w:szCs w:val="16"/>
              </w:rPr>
            </w:pPr>
          </w:p>
        </w:tc>
        <w:tc>
          <w:tcPr>
            <w:tcW w:w="567" w:type="dxa"/>
            <w:shd w:val="clear" w:color="auto" w:fill="BFBFBF" w:themeFill="background1" w:themeFillShade="BF"/>
          </w:tcPr>
          <w:p w:rsidR="006A1183" w:rsidRPr="008C7B44" w:rsidRDefault="006A1183" w:rsidP="00A252C4">
            <w:pPr>
              <w:jc w:val="left"/>
              <w:rPr>
                <w:rFonts w:cstheme="minorHAnsi"/>
                <w:b/>
                <w:sz w:val="16"/>
                <w:szCs w:val="16"/>
              </w:rPr>
            </w:pPr>
          </w:p>
        </w:tc>
        <w:tc>
          <w:tcPr>
            <w:tcW w:w="1276" w:type="dxa"/>
            <w:tcBorders>
              <w:bottom w:val="single" w:sz="4" w:space="0" w:color="auto"/>
            </w:tcBorders>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Podpora Unie</w:t>
            </w:r>
          </w:p>
          <w:p w:rsidR="006A1183" w:rsidRPr="008C7B44" w:rsidRDefault="006A1183" w:rsidP="00A252C4">
            <w:pPr>
              <w:jc w:val="left"/>
              <w:rPr>
                <w:rFonts w:cstheme="minorHAnsi"/>
                <w:b/>
                <w:sz w:val="16"/>
                <w:szCs w:val="16"/>
              </w:rPr>
            </w:pPr>
          </w:p>
        </w:tc>
        <w:tc>
          <w:tcPr>
            <w:tcW w:w="1134" w:type="dxa"/>
            <w:tcBorders>
              <w:bottom w:val="single" w:sz="4" w:space="0" w:color="auto"/>
            </w:tcBorders>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Příspěvek členského státu</w:t>
            </w:r>
          </w:p>
          <w:p w:rsidR="006A1183" w:rsidRPr="008C7B44" w:rsidRDefault="006A1183" w:rsidP="00A252C4">
            <w:pPr>
              <w:jc w:val="left"/>
              <w:rPr>
                <w:rFonts w:cstheme="minorHAnsi"/>
                <w:b/>
                <w:sz w:val="16"/>
                <w:szCs w:val="16"/>
              </w:rPr>
            </w:pPr>
          </w:p>
        </w:tc>
        <w:tc>
          <w:tcPr>
            <w:tcW w:w="850" w:type="dxa"/>
            <w:tcBorders>
              <w:bottom w:val="single" w:sz="4" w:space="0" w:color="auto"/>
            </w:tcBorders>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Podpora Unie</w:t>
            </w:r>
          </w:p>
          <w:p w:rsidR="006A1183" w:rsidRPr="008C7B44" w:rsidRDefault="006A1183" w:rsidP="00A252C4">
            <w:pPr>
              <w:jc w:val="left"/>
              <w:rPr>
                <w:rFonts w:cstheme="minorHAnsi"/>
                <w:b/>
                <w:sz w:val="16"/>
                <w:szCs w:val="16"/>
              </w:rPr>
            </w:pPr>
          </w:p>
        </w:tc>
        <w:tc>
          <w:tcPr>
            <w:tcW w:w="992" w:type="dxa"/>
            <w:tcBorders>
              <w:bottom w:val="single" w:sz="4" w:space="0" w:color="auto"/>
            </w:tcBorders>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 xml:space="preserve">Příspěvek </w:t>
            </w:r>
            <w:proofErr w:type="gramStart"/>
            <w:r w:rsidRPr="008C7B44">
              <w:rPr>
                <w:rFonts w:cstheme="minorHAnsi"/>
                <w:b/>
                <w:sz w:val="16"/>
                <w:szCs w:val="16"/>
              </w:rPr>
              <w:t>členském</w:t>
            </w:r>
            <w:proofErr w:type="gramEnd"/>
            <w:r w:rsidRPr="008C7B44">
              <w:rPr>
                <w:rFonts w:cstheme="minorHAnsi"/>
                <w:b/>
                <w:sz w:val="16"/>
                <w:szCs w:val="16"/>
              </w:rPr>
              <w:t xml:space="preserve"> státu  </w:t>
            </w:r>
          </w:p>
          <w:p w:rsidR="006A1183" w:rsidRPr="008C7B44" w:rsidRDefault="006A1183" w:rsidP="00A252C4">
            <w:pPr>
              <w:jc w:val="left"/>
              <w:rPr>
                <w:rFonts w:cstheme="minorHAnsi"/>
                <w:b/>
                <w:sz w:val="16"/>
                <w:szCs w:val="16"/>
              </w:rPr>
            </w:pPr>
          </w:p>
        </w:tc>
        <w:tc>
          <w:tcPr>
            <w:tcW w:w="851" w:type="dxa"/>
            <w:shd w:val="clear" w:color="auto" w:fill="BFBFBF" w:themeFill="background1" w:themeFillShade="BF"/>
          </w:tcPr>
          <w:p w:rsidR="006A1183" w:rsidRPr="008C7B44" w:rsidRDefault="006A1183" w:rsidP="00A252C4">
            <w:pPr>
              <w:jc w:val="left"/>
              <w:rPr>
                <w:rFonts w:cstheme="minorHAnsi"/>
                <w:b/>
                <w:sz w:val="16"/>
                <w:szCs w:val="16"/>
              </w:rPr>
            </w:pPr>
          </w:p>
        </w:tc>
      </w:tr>
      <w:tr w:rsidR="00FD3775" w:rsidRPr="008C7B44" w:rsidTr="00253FFB">
        <w:trPr>
          <w:trHeight w:val="355"/>
        </w:trPr>
        <w:tc>
          <w:tcPr>
            <w:tcW w:w="426" w:type="dxa"/>
            <w:vMerge/>
            <w:tcBorders>
              <w:bottom w:val="single" w:sz="12" w:space="0" w:color="auto"/>
            </w:tcBorders>
            <w:shd w:val="clear" w:color="auto" w:fill="BFBFBF" w:themeFill="background1" w:themeFillShade="BF"/>
          </w:tcPr>
          <w:p w:rsidR="006A1183" w:rsidRPr="008C7B44" w:rsidRDefault="006A1183" w:rsidP="00A252C4">
            <w:pPr>
              <w:jc w:val="left"/>
              <w:rPr>
                <w:rFonts w:cstheme="minorHAnsi"/>
                <w:b/>
                <w:sz w:val="16"/>
                <w:szCs w:val="16"/>
              </w:rPr>
            </w:pPr>
          </w:p>
        </w:tc>
        <w:tc>
          <w:tcPr>
            <w:tcW w:w="284" w:type="dxa"/>
            <w:vMerge/>
            <w:tcBorders>
              <w:bottom w:val="single" w:sz="12" w:space="0" w:color="auto"/>
            </w:tcBorders>
            <w:shd w:val="clear" w:color="auto" w:fill="BFBFBF" w:themeFill="background1" w:themeFillShade="BF"/>
          </w:tcPr>
          <w:p w:rsidR="006A1183" w:rsidRPr="008C7B44" w:rsidRDefault="006A1183" w:rsidP="00A252C4">
            <w:pPr>
              <w:jc w:val="left"/>
              <w:rPr>
                <w:rFonts w:cstheme="minorHAnsi"/>
                <w:b/>
                <w:sz w:val="16"/>
                <w:szCs w:val="16"/>
              </w:rPr>
            </w:pPr>
          </w:p>
        </w:tc>
        <w:tc>
          <w:tcPr>
            <w:tcW w:w="850" w:type="dxa"/>
            <w:vMerge/>
            <w:tcBorders>
              <w:bottom w:val="single" w:sz="12" w:space="0" w:color="auto"/>
            </w:tcBorders>
            <w:shd w:val="clear" w:color="auto" w:fill="BFBFBF" w:themeFill="background1" w:themeFillShade="BF"/>
          </w:tcPr>
          <w:p w:rsidR="006A1183" w:rsidRPr="008C7B44" w:rsidRDefault="006A1183" w:rsidP="00A252C4">
            <w:pPr>
              <w:jc w:val="left"/>
              <w:rPr>
                <w:rFonts w:cstheme="minorHAnsi"/>
                <w:b/>
                <w:sz w:val="16"/>
                <w:szCs w:val="16"/>
              </w:rPr>
            </w:pPr>
          </w:p>
        </w:tc>
        <w:tc>
          <w:tcPr>
            <w:tcW w:w="851" w:type="dxa"/>
            <w:vMerge/>
            <w:tcBorders>
              <w:bottom w:val="single" w:sz="12" w:space="0" w:color="auto"/>
            </w:tcBorders>
            <w:shd w:val="clear" w:color="auto" w:fill="BFBFBF" w:themeFill="background1" w:themeFillShade="BF"/>
          </w:tcPr>
          <w:p w:rsidR="006A1183" w:rsidRPr="008C7B44" w:rsidRDefault="006A1183" w:rsidP="00A252C4">
            <w:pPr>
              <w:jc w:val="left"/>
              <w:rPr>
                <w:rFonts w:cstheme="minorHAnsi"/>
                <w:b/>
                <w:sz w:val="16"/>
                <w:szCs w:val="16"/>
              </w:rPr>
            </w:pPr>
          </w:p>
        </w:tc>
        <w:tc>
          <w:tcPr>
            <w:tcW w:w="992" w:type="dxa"/>
            <w:tcBorders>
              <w:bottom w:val="single" w:sz="12" w:space="0" w:color="auto"/>
            </w:tcBorders>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(a)</w:t>
            </w:r>
          </w:p>
        </w:tc>
        <w:tc>
          <w:tcPr>
            <w:tcW w:w="992" w:type="dxa"/>
            <w:tcBorders>
              <w:bottom w:val="single" w:sz="12" w:space="0" w:color="auto"/>
            </w:tcBorders>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(b) = (c) + (d)</w:t>
            </w:r>
          </w:p>
        </w:tc>
        <w:tc>
          <w:tcPr>
            <w:tcW w:w="851" w:type="dxa"/>
            <w:tcBorders>
              <w:bottom w:val="single" w:sz="12" w:space="0" w:color="auto"/>
            </w:tcBorders>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(c)</w:t>
            </w:r>
          </w:p>
        </w:tc>
        <w:tc>
          <w:tcPr>
            <w:tcW w:w="850" w:type="dxa"/>
            <w:tcBorders>
              <w:bottom w:val="single" w:sz="12" w:space="0" w:color="auto"/>
            </w:tcBorders>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(d)</w:t>
            </w:r>
          </w:p>
        </w:tc>
        <w:tc>
          <w:tcPr>
            <w:tcW w:w="1134" w:type="dxa"/>
            <w:tcBorders>
              <w:bottom w:val="single" w:sz="12" w:space="0" w:color="auto"/>
            </w:tcBorders>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 xml:space="preserve">(e) = (a) + (b) </w:t>
            </w:r>
          </w:p>
        </w:tc>
        <w:tc>
          <w:tcPr>
            <w:tcW w:w="851" w:type="dxa"/>
            <w:tcBorders>
              <w:bottom w:val="single" w:sz="12" w:space="0" w:color="auto"/>
            </w:tcBorders>
            <w:shd w:val="clear" w:color="auto" w:fill="BFBFBF" w:themeFill="background1" w:themeFillShade="BF"/>
          </w:tcPr>
          <w:p w:rsidR="006A1183" w:rsidRPr="008C7B44" w:rsidRDefault="006A1183" w:rsidP="00A252C4">
            <w:pPr>
              <w:jc w:val="left"/>
              <w:rPr>
                <w:rFonts w:cstheme="minorHAnsi"/>
                <w:b/>
                <w:sz w:val="16"/>
                <w:szCs w:val="16"/>
              </w:rPr>
            </w:pPr>
            <w:proofErr w:type="gramStart"/>
            <w:r w:rsidRPr="008C7B44">
              <w:rPr>
                <w:rFonts w:cstheme="minorHAnsi"/>
                <w:b/>
                <w:sz w:val="16"/>
                <w:szCs w:val="16"/>
              </w:rPr>
              <w:t>(f) = (a)/(e)</w:t>
            </w:r>
            <w:proofErr w:type="gramEnd"/>
          </w:p>
        </w:tc>
        <w:tc>
          <w:tcPr>
            <w:tcW w:w="567" w:type="dxa"/>
            <w:tcBorders>
              <w:bottom w:val="single" w:sz="12" w:space="0" w:color="auto"/>
            </w:tcBorders>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(g)</w:t>
            </w:r>
          </w:p>
        </w:tc>
        <w:tc>
          <w:tcPr>
            <w:tcW w:w="1276" w:type="dxa"/>
            <w:tcBorders>
              <w:bottom w:val="single" w:sz="12" w:space="0" w:color="auto"/>
            </w:tcBorders>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 xml:space="preserve"> </w:t>
            </w:r>
            <w:proofErr w:type="gramStart"/>
            <w:r w:rsidRPr="008C7B44">
              <w:rPr>
                <w:rFonts w:cstheme="minorHAnsi"/>
                <w:b/>
                <w:sz w:val="16"/>
                <w:szCs w:val="16"/>
              </w:rPr>
              <w:t>(h)=(a)-(j)</w:t>
            </w:r>
            <w:proofErr w:type="gramEnd"/>
          </w:p>
        </w:tc>
        <w:tc>
          <w:tcPr>
            <w:tcW w:w="1134" w:type="dxa"/>
            <w:tcBorders>
              <w:bottom w:val="single" w:sz="12" w:space="0" w:color="auto"/>
            </w:tcBorders>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 xml:space="preserve"> </w:t>
            </w:r>
            <w:proofErr w:type="gramStart"/>
            <w:r w:rsidRPr="008C7B44">
              <w:rPr>
                <w:rFonts w:cstheme="minorHAnsi"/>
                <w:b/>
                <w:sz w:val="16"/>
                <w:szCs w:val="16"/>
              </w:rPr>
              <w:t>(i)=(b)-(k)</w:t>
            </w:r>
            <w:proofErr w:type="gramEnd"/>
          </w:p>
        </w:tc>
        <w:tc>
          <w:tcPr>
            <w:tcW w:w="850" w:type="dxa"/>
            <w:tcBorders>
              <w:bottom w:val="single" w:sz="12" w:space="0" w:color="auto"/>
            </w:tcBorders>
            <w:shd w:val="clear" w:color="auto" w:fill="BFBFBF" w:themeFill="background1" w:themeFillShade="BF"/>
          </w:tcPr>
          <w:p w:rsidR="006A1183" w:rsidRPr="008C7B44" w:rsidRDefault="006A1183" w:rsidP="00A252C4">
            <w:pPr>
              <w:jc w:val="left"/>
              <w:rPr>
                <w:rFonts w:cstheme="minorHAnsi"/>
                <w:b/>
                <w:sz w:val="16"/>
                <w:szCs w:val="16"/>
              </w:rPr>
            </w:pPr>
            <w:r w:rsidRPr="008C7B44">
              <w:rPr>
                <w:rFonts w:cstheme="minorHAnsi"/>
                <w:b/>
                <w:sz w:val="16"/>
                <w:szCs w:val="16"/>
              </w:rPr>
              <w:t xml:space="preserve"> (j)</w:t>
            </w:r>
          </w:p>
        </w:tc>
        <w:tc>
          <w:tcPr>
            <w:tcW w:w="992" w:type="dxa"/>
            <w:tcBorders>
              <w:bottom w:val="single" w:sz="12" w:space="0" w:color="auto"/>
            </w:tcBorders>
            <w:shd w:val="clear" w:color="auto" w:fill="BFBFBF" w:themeFill="background1" w:themeFillShade="BF"/>
          </w:tcPr>
          <w:p w:rsidR="006A1183" w:rsidRPr="008C7B44" w:rsidRDefault="006A1183" w:rsidP="00A252C4">
            <w:pPr>
              <w:jc w:val="left"/>
              <w:rPr>
                <w:rFonts w:cstheme="minorHAnsi"/>
                <w:b/>
                <w:sz w:val="16"/>
                <w:szCs w:val="16"/>
              </w:rPr>
            </w:pPr>
            <w:proofErr w:type="gramStart"/>
            <w:r w:rsidRPr="008C7B44">
              <w:rPr>
                <w:rFonts w:cstheme="minorHAnsi"/>
                <w:b/>
                <w:sz w:val="16"/>
                <w:szCs w:val="16"/>
              </w:rPr>
              <w:t>(k)=(b)*((j)/(a))</w:t>
            </w:r>
            <w:proofErr w:type="gramEnd"/>
          </w:p>
        </w:tc>
        <w:tc>
          <w:tcPr>
            <w:tcW w:w="851" w:type="dxa"/>
            <w:tcBorders>
              <w:bottom w:val="single" w:sz="12" w:space="0" w:color="auto"/>
            </w:tcBorders>
            <w:shd w:val="clear" w:color="auto" w:fill="BFBFBF" w:themeFill="background1" w:themeFillShade="BF"/>
          </w:tcPr>
          <w:p w:rsidR="006A1183" w:rsidRPr="008C7B44" w:rsidRDefault="006A1183" w:rsidP="00A252C4">
            <w:pPr>
              <w:jc w:val="left"/>
              <w:rPr>
                <w:rFonts w:cstheme="minorHAnsi"/>
                <w:b/>
                <w:sz w:val="16"/>
                <w:szCs w:val="16"/>
              </w:rPr>
            </w:pPr>
            <w:proofErr w:type="gramStart"/>
            <w:r w:rsidRPr="008C7B44">
              <w:rPr>
                <w:rFonts w:cstheme="minorHAnsi"/>
                <w:b/>
                <w:sz w:val="16"/>
                <w:szCs w:val="16"/>
              </w:rPr>
              <w:t>(l) =(j)/(a) *100</w:t>
            </w:r>
            <w:proofErr w:type="gramEnd"/>
          </w:p>
        </w:tc>
      </w:tr>
      <w:tr w:rsidR="000218B7" w:rsidRPr="008C7B44" w:rsidTr="00253FFB">
        <w:tc>
          <w:tcPr>
            <w:tcW w:w="426" w:type="dxa"/>
            <w:tcBorders>
              <w:top w:val="single" w:sz="12" w:space="0" w:color="auto"/>
            </w:tcBorders>
          </w:tcPr>
          <w:p w:rsidR="000218B7" w:rsidRPr="008C7B44" w:rsidRDefault="000218B7" w:rsidP="00A252C4">
            <w:pPr>
              <w:jc w:val="left"/>
              <w:rPr>
                <w:rFonts w:cstheme="minorHAnsi"/>
                <w:sz w:val="16"/>
                <w:szCs w:val="16"/>
              </w:rPr>
            </w:pPr>
            <w:r w:rsidRPr="008C7B44">
              <w:rPr>
                <w:rFonts w:cstheme="minorHAnsi"/>
                <w:sz w:val="16"/>
                <w:szCs w:val="16"/>
              </w:rPr>
              <w:t>PO 1</w:t>
            </w:r>
          </w:p>
        </w:tc>
        <w:tc>
          <w:tcPr>
            <w:tcW w:w="284" w:type="dxa"/>
            <w:tcBorders>
              <w:top w:val="single" w:sz="12" w:space="0" w:color="auto"/>
            </w:tcBorders>
          </w:tcPr>
          <w:p w:rsidR="000218B7" w:rsidRPr="008C7B44" w:rsidRDefault="000218B7" w:rsidP="00A252C4">
            <w:pPr>
              <w:jc w:val="left"/>
              <w:rPr>
                <w:rFonts w:cstheme="minorHAnsi"/>
                <w:sz w:val="16"/>
                <w:szCs w:val="16"/>
              </w:rPr>
            </w:pPr>
            <w:r w:rsidRPr="008C7B44">
              <w:rPr>
                <w:rFonts w:cstheme="minorHAnsi"/>
                <w:sz w:val="16"/>
                <w:szCs w:val="16"/>
              </w:rPr>
              <w:t>FS</w:t>
            </w:r>
          </w:p>
        </w:tc>
        <w:tc>
          <w:tcPr>
            <w:tcW w:w="850" w:type="dxa"/>
            <w:tcBorders>
              <w:top w:val="single" w:sz="12" w:space="0" w:color="auto"/>
            </w:tcBorders>
          </w:tcPr>
          <w:p w:rsidR="000218B7" w:rsidRPr="008C7B44" w:rsidRDefault="000218B7" w:rsidP="00A252C4">
            <w:pPr>
              <w:jc w:val="left"/>
              <w:rPr>
                <w:rFonts w:cstheme="minorHAnsi"/>
                <w:sz w:val="16"/>
                <w:szCs w:val="16"/>
              </w:rPr>
            </w:pPr>
            <w:r w:rsidRPr="008C7B44">
              <w:rPr>
                <w:rFonts w:cstheme="minorHAnsi"/>
                <w:sz w:val="16"/>
                <w:szCs w:val="16"/>
              </w:rPr>
              <w:t>Není relevantní</w:t>
            </w:r>
          </w:p>
        </w:tc>
        <w:tc>
          <w:tcPr>
            <w:tcW w:w="851" w:type="dxa"/>
            <w:tcBorders>
              <w:top w:val="single" w:sz="12" w:space="0" w:color="auto"/>
            </w:tcBorders>
          </w:tcPr>
          <w:p w:rsidR="000218B7" w:rsidRPr="008C7B44" w:rsidRDefault="000218B7" w:rsidP="00A252C4">
            <w:pPr>
              <w:jc w:val="left"/>
              <w:rPr>
                <w:rFonts w:cstheme="minorHAnsi"/>
                <w:sz w:val="16"/>
                <w:szCs w:val="16"/>
              </w:rPr>
            </w:pPr>
            <w:r w:rsidRPr="008C7B44">
              <w:rPr>
                <w:rFonts w:cstheme="minorHAnsi"/>
                <w:sz w:val="16"/>
                <w:szCs w:val="16"/>
              </w:rPr>
              <w:t>CZV</w:t>
            </w:r>
          </w:p>
        </w:tc>
        <w:tc>
          <w:tcPr>
            <w:tcW w:w="992" w:type="dxa"/>
            <w:tcBorders>
              <w:top w:val="single" w:sz="12" w:space="0" w:color="auto"/>
            </w:tcBorders>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718 322 925</w:t>
            </w:r>
          </w:p>
        </w:tc>
        <w:tc>
          <w:tcPr>
            <w:tcW w:w="992" w:type="dxa"/>
            <w:tcBorders>
              <w:top w:val="single" w:sz="12" w:space="0" w:color="auto"/>
            </w:tcBorders>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126 762 869</w:t>
            </w:r>
          </w:p>
        </w:tc>
        <w:tc>
          <w:tcPr>
            <w:tcW w:w="851" w:type="dxa"/>
            <w:tcBorders>
              <w:top w:val="single" w:sz="12" w:space="0" w:color="auto"/>
            </w:tcBorders>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0</w:t>
            </w:r>
          </w:p>
        </w:tc>
        <w:tc>
          <w:tcPr>
            <w:tcW w:w="850" w:type="dxa"/>
            <w:tcBorders>
              <w:top w:val="single" w:sz="12" w:space="0" w:color="auto"/>
            </w:tcBorders>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126 762 869</w:t>
            </w:r>
          </w:p>
        </w:tc>
        <w:tc>
          <w:tcPr>
            <w:tcW w:w="1134" w:type="dxa"/>
            <w:tcBorders>
              <w:top w:val="single" w:sz="12" w:space="0" w:color="auto"/>
            </w:tcBorders>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845 085 794</w:t>
            </w:r>
          </w:p>
        </w:tc>
        <w:tc>
          <w:tcPr>
            <w:tcW w:w="851" w:type="dxa"/>
            <w:tcBorders>
              <w:top w:val="single" w:sz="12" w:space="0" w:color="auto"/>
            </w:tcBorders>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0,85</w:t>
            </w:r>
          </w:p>
        </w:tc>
        <w:tc>
          <w:tcPr>
            <w:tcW w:w="567" w:type="dxa"/>
            <w:tcBorders>
              <w:top w:val="single" w:sz="12" w:space="0" w:color="auto"/>
            </w:tcBorders>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w:t>
            </w:r>
          </w:p>
        </w:tc>
        <w:tc>
          <w:tcPr>
            <w:tcW w:w="1276" w:type="dxa"/>
            <w:tcBorders>
              <w:top w:val="single" w:sz="12" w:space="0" w:color="auto"/>
            </w:tcBorders>
            <w:shd w:val="clear" w:color="auto" w:fill="auto"/>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675 223 550</w:t>
            </w:r>
          </w:p>
        </w:tc>
        <w:tc>
          <w:tcPr>
            <w:tcW w:w="1134" w:type="dxa"/>
            <w:tcBorders>
              <w:top w:val="single" w:sz="12" w:space="0" w:color="auto"/>
            </w:tcBorders>
            <w:shd w:val="clear" w:color="auto" w:fill="auto"/>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119 157 097</w:t>
            </w:r>
          </w:p>
        </w:tc>
        <w:tc>
          <w:tcPr>
            <w:tcW w:w="850" w:type="dxa"/>
            <w:tcBorders>
              <w:top w:val="single" w:sz="12" w:space="0" w:color="auto"/>
            </w:tcBorders>
            <w:shd w:val="clear" w:color="auto" w:fill="auto"/>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43099376</w:t>
            </w:r>
          </w:p>
        </w:tc>
        <w:tc>
          <w:tcPr>
            <w:tcW w:w="992" w:type="dxa"/>
            <w:tcBorders>
              <w:top w:val="single" w:sz="12" w:space="0" w:color="auto"/>
            </w:tcBorders>
            <w:shd w:val="clear" w:color="auto" w:fill="auto"/>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7605772</w:t>
            </w:r>
          </w:p>
        </w:tc>
        <w:tc>
          <w:tcPr>
            <w:tcW w:w="851" w:type="dxa"/>
            <w:tcBorders>
              <w:top w:val="single" w:sz="12" w:space="0" w:color="auto"/>
            </w:tcBorders>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0,06</w:t>
            </w:r>
          </w:p>
        </w:tc>
      </w:tr>
      <w:tr w:rsidR="000218B7" w:rsidRPr="008C7B44" w:rsidTr="00253FFB">
        <w:tc>
          <w:tcPr>
            <w:tcW w:w="426" w:type="dxa"/>
          </w:tcPr>
          <w:p w:rsidR="000218B7" w:rsidRPr="008C7B44" w:rsidRDefault="000218B7" w:rsidP="00A252C4">
            <w:pPr>
              <w:jc w:val="left"/>
              <w:rPr>
                <w:rFonts w:cstheme="minorHAnsi"/>
                <w:sz w:val="16"/>
                <w:szCs w:val="16"/>
              </w:rPr>
            </w:pPr>
            <w:r w:rsidRPr="008C7B44">
              <w:rPr>
                <w:rFonts w:cstheme="minorHAnsi"/>
                <w:sz w:val="16"/>
                <w:szCs w:val="16"/>
              </w:rPr>
              <w:t>PO 2</w:t>
            </w:r>
          </w:p>
        </w:tc>
        <w:tc>
          <w:tcPr>
            <w:tcW w:w="284" w:type="dxa"/>
          </w:tcPr>
          <w:p w:rsidR="000218B7" w:rsidRPr="008C7B44" w:rsidRDefault="000218B7" w:rsidP="00A252C4">
            <w:pPr>
              <w:jc w:val="left"/>
              <w:rPr>
                <w:rFonts w:cstheme="minorHAnsi"/>
                <w:sz w:val="16"/>
                <w:szCs w:val="16"/>
              </w:rPr>
            </w:pPr>
            <w:r w:rsidRPr="008C7B44">
              <w:rPr>
                <w:rFonts w:cstheme="minorHAnsi"/>
                <w:sz w:val="16"/>
                <w:szCs w:val="16"/>
              </w:rPr>
              <w:t>FS</w:t>
            </w:r>
          </w:p>
        </w:tc>
        <w:tc>
          <w:tcPr>
            <w:tcW w:w="850" w:type="dxa"/>
          </w:tcPr>
          <w:p w:rsidR="000218B7" w:rsidRPr="008C7B44" w:rsidRDefault="000218B7" w:rsidP="00A252C4">
            <w:pPr>
              <w:jc w:val="left"/>
              <w:rPr>
                <w:rFonts w:cstheme="minorHAnsi"/>
                <w:sz w:val="16"/>
                <w:szCs w:val="16"/>
              </w:rPr>
            </w:pPr>
            <w:r w:rsidRPr="008C7B44">
              <w:rPr>
                <w:rFonts w:cstheme="minorHAnsi"/>
                <w:sz w:val="16"/>
                <w:szCs w:val="16"/>
              </w:rPr>
              <w:t>Není relevantní</w:t>
            </w:r>
          </w:p>
        </w:tc>
        <w:tc>
          <w:tcPr>
            <w:tcW w:w="851" w:type="dxa"/>
          </w:tcPr>
          <w:p w:rsidR="000218B7" w:rsidRPr="008C7B44" w:rsidRDefault="000218B7" w:rsidP="00A252C4">
            <w:pPr>
              <w:jc w:val="left"/>
              <w:rPr>
                <w:rFonts w:cstheme="minorHAnsi"/>
                <w:sz w:val="16"/>
                <w:szCs w:val="16"/>
              </w:rPr>
            </w:pPr>
            <w:r w:rsidRPr="008C7B44">
              <w:rPr>
                <w:rFonts w:cstheme="minorHAnsi"/>
                <w:sz w:val="16"/>
                <w:szCs w:val="16"/>
              </w:rPr>
              <w:t>CZV</w:t>
            </w:r>
          </w:p>
        </w:tc>
        <w:tc>
          <w:tcPr>
            <w:tcW w:w="992" w:type="dxa"/>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453 819 065</w:t>
            </w:r>
          </w:p>
        </w:tc>
        <w:tc>
          <w:tcPr>
            <w:tcW w:w="992" w:type="dxa"/>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80 085 717</w:t>
            </w:r>
          </w:p>
        </w:tc>
        <w:tc>
          <w:tcPr>
            <w:tcW w:w="851" w:type="dxa"/>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0</w:t>
            </w:r>
          </w:p>
        </w:tc>
        <w:tc>
          <w:tcPr>
            <w:tcW w:w="850" w:type="dxa"/>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80 085 717</w:t>
            </w:r>
          </w:p>
        </w:tc>
        <w:tc>
          <w:tcPr>
            <w:tcW w:w="1134" w:type="dxa"/>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533 904 782</w:t>
            </w:r>
          </w:p>
        </w:tc>
        <w:tc>
          <w:tcPr>
            <w:tcW w:w="851" w:type="dxa"/>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0,85</w:t>
            </w:r>
          </w:p>
        </w:tc>
        <w:tc>
          <w:tcPr>
            <w:tcW w:w="567" w:type="dxa"/>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w:t>
            </w:r>
          </w:p>
        </w:tc>
        <w:tc>
          <w:tcPr>
            <w:tcW w:w="1276" w:type="dxa"/>
            <w:shd w:val="clear" w:color="auto" w:fill="auto"/>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426 589 921</w:t>
            </w:r>
          </w:p>
        </w:tc>
        <w:tc>
          <w:tcPr>
            <w:tcW w:w="1134" w:type="dxa"/>
            <w:shd w:val="clear" w:color="auto" w:fill="auto"/>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75 280 574</w:t>
            </w:r>
          </w:p>
        </w:tc>
        <w:tc>
          <w:tcPr>
            <w:tcW w:w="850" w:type="dxa"/>
            <w:shd w:val="clear" w:color="auto" w:fill="auto"/>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27229144</w:t>
            </w:r>
          </w:p>
        </w:tc>
        <w:tc>
          <w:tcPr>
            <w:tcW w:w="992" w:type="dxa"/>
            <w:shd w:val="clear" w:color="auto" w:fill="auto"/>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4805143</w:t>
            </w:r>
          </w:p>
        </w:tc>
        <w:tc>
          <w:tcPr>
            <w:tcW w:w="851" w:type="dxa"/>
            <w:vAlign w:val="bottom"/>
          </w:tcPr>
          <w:p w:rsidR="000218B7" w:rsidRPr="003B1FCE" w:rsidRDefault="000218B7" w:rsidP="00A252C4">
            <w:pPr>
              <w:jc w:val="left"/>
              <w:rPr>
                <w:rFonts w:cstheme="minorHAnsi"/>
                <w:sz w:val="16"/>
                <w:szCs w:val="16"/>
              </w:rPr>
            </w:pPr>
            <w:r w:rsidRPr="003B1FCE">
              <w:rPr>
                <w:rFonts w:ascii="Calibri" w:hAnsi="Calibri"/>
                <w:color w:val="000000"/>
                <w:sz w:val="16"/>
                <w:szCs w:val="16"/>
              </w:rPr>
              <w:t>0,06</w:t>
            </w:r>
          </w:p>
        </w:tc>
      </w:tr>
      <w:tr w:rsidR="000218B7" w:rsidRPr="008C7B44" w:rsidTr="00253FFB">
        <w:tc>
          <w:tcPr>
            <w:tcW w:w="426" w:type="dxa"/>
            <w:vMerge w:val="restart"/>
          </w:tcPr>
          <w:p w:rsidR="000218B7" w:rsidRPr="008C7B44" w:rsidRDefault="000218B7" w:rsidP="00A252C4">
            <w:pPr>
              <w:jc w:val="left"/>
              <w:rPr>
                <w:rFonts w:cstheme="minorHAnsi"/>
                <w:sz w:val="16"/>
                <w:szCs w:val="16"/>
              </w:rPr>
            </w:pPr>
            <w:r w:rsidRPr="008C7B44">
              <w:rPr>
                <w:rFonts w:cstheme="minorHAnsi"/>
                <w:sz w:val="16"/>
                <w:szCs w:val="16"/>
              </w:rPr>
              <w:t>PO 3</w:t>
            </w:r>
          </w:p>
        </w:tc>
        <w:tc>
          <w:tcPr>
            <w:tcW w:w="284" w:type="dxa"/>
          </w:tcPr>
          <w:p w:rsidR="000218B7" w:rsidRPr="008C7B44" w:rsidRDefault="000218B7" w:rsidP="00A252C4">
            <w:pPr>
              <w:jc w:val="left"/>
              <w:rPr>
                <w:rFonts w:cstheme="minorHAnsi"/>
                <w:sz w:val="16"/>
                <w:szCs w:val="16"/>
              </w:rPr>
            </w:pPr>
            <w:r w:rsidRPr="008C7B44">
              <w:rPr>
                <w:rFonts w:cstheme="minorHAnsi"/>
                <w:sz w:val="16"/>
                <w:szCs w:val="16"/>
              </w:rPr>
              <w:t xml:space="preserve">FS </w:t>
            </w:r>
          </w:p>
        </w:tc>
        <w:tc>
          <w:tcPr>
            <w:tcW w:w="850" w:type="dxa"/>
          </w:tcPr>
          <w:p w:rsidR="000218B7" w:rsidRPr="008C7B44" w:rsidRDefault="000218B7" w:rsidP="00A252C4">
            <w:pPr>
              <w:jc w:val="left"/>
              <w:rPr>
                <w:rFonts w:cstheme="minorHAnsi"/>
                <w:sz w:val="16"/>
                <w:szCs w:val="16"/>
              </w:rPr>
            </w:pPr>
            <w:r w:rsidRPr="008C7B44">
              <w:rPr>
                <w:rFonts w:cstheme="minorHAnsi"/>
                <w:sz w:val="16"/>
                <w:szCs w:val="16"/>
              </w:rPr>
              <w:t>není relevantní</w:t>
            </w:r>
          </w:p>
        </w:tc>
        <w:tc>
          <w:tcPr>
            <w:tcW w:w="851" w:type="dxa"/>
          </w:tcPr>
          <w:p w:rsidR="000218B7" w:rsidRPr="008C7B44" w:rsidRDefault="000218B7" w:rsidP="00A252C4">
            <w:pPr>
              <w:jc w:val="left"/>
              <w:rPr>
                <w:rFonts w:cstheme="minorHAnsi"/>
                <w:sz w:val="16"/>
                <w:szCs w:val="16"/>
              </w:rPr>
            </w:pPr>
            <w:r w:rsidRPr="008C7B44">
              <w:rPr>
                <w:rFonts w:cstheme="minorHAnsi"/>
                <w:sz w:val="16"/>
                <w:szCs w:val="16"/>
              </w:rPr>
              <w:t>CZV</w:t>
            </w:r>
          </w:p>
        </w:tc>
        <w:tc>
          <w:tcPr>
            <w:tcW w:w="992" w:type="dxa"/>
            <w:vAlign w:val="bottom"/>
          </w:tcPr>
          <w:p w:rsidR="000218B7" w:rsidRPr="008C7B44" w:rsidRDefault="000218B7" w:rsidP="00A252C4">
            <w:pPr>
              <w:jc w:val="left"/>
              <w:rPr>
                <w:rFonts w:cstheme="minorHAnsi"/>
                <w:sz w:val="16"/>
                <w:szCs w:val="16"/>
              </w:rPr>
            </w:pPr>
            <w:r w:rsidRPr="008C7B44">
              <w:rPr>
                <w:color w:val="000000"/>
                <w:sz w:val="16"/>
                <w:szCs w:val="16"/>
              </w:rPr>
              <w:t>435 731 044</w:t>
            </w:r>
          </w:p>
        </w:tc>
        <w:tc>
          <w:tcPr>
            <w:tcW w:w="992" w:type="dxa"/>
            <w:vAlign w:val="bottom"/>
          </w:tcPr>
          <w:p w:rsidR="000218B7" w:rsidRPr="008C7B44" w:rsidRDefault="000218B7" w:rsidP="00A252C4">
            <w:pPr>
              <w:jc w:val="left"/>
              <w:rPr>
                <w:rFonts w:cstheme="minorHAnsi"/>
                <w:sz w:val="16"/>
                <w:szCs w:val="16"/>
              </w:rPr>
            </w:pPr>
            <w:r w:rsidRPr="008C7B44">
              <w:rPr>
                <w:color w:val="000000"/>
                <w:sz w:val="16"/>
                <w:szCs w:val="16"/>
              </w:rPr>
              <w:t>76 893 714</w:t>
            </w:r>
          </w:p>
        </w:tc>
        <w:tc>
          <w:tcPr>
            <w:tcW w:w="851" w:type="dxa"/>
            <w:vAlign w:val="bottom"/>
          </w:tcPr>
          <w:p w:rsidR="000218B7" w:rsidRPr="008C7B44" w:rsidRDefault="000218B7" w:rsidP="00A252C4">
            <w:pPr>
              <w:jc w:val="left"/>
              <w:rPr>
                <w:rFonts w:cstheme="minorHAnsi"/>
                <w:sz w:val="16"/>
                <w:szCs w:val="16"/>
              </w:rPr>
            </w:pPr>
            <w:r w:rsidRPr="008C7B44">
              <w:rPr>
                <w:color w:val="000000"/>
                <w:sz w:val="16"/>
                <w:szCs w:val="16"/>
              </w:rPr>
              <w:t>0</w:t>
            </w:r>
          </w:p>
        </w:tc>
        <w:tc>
          <w:tcPr>
            <w:tcW w:w="850" w:type="dxa"/>
            <w:vAlign w:val="bottom"/>
          </w:tcPr>
          <w:p w:rsidR="000218B7" w:rsidRPr="008C7B44" w:rsidRDefault="000218B7" w:rsidP="00A252C4">
            <w:pPr>
              <w:jc w:val="left"/>
              <w:rPr>
                <w:rFonts w:cstheme="minorHAnsi"/>
                <w:sz w:val="16"/>
                <w:szCs w:val="16"/>
              </w:rPr>
            </w:pPr>
            <w:r w:rsidRPr="008C7B44">
              <w:rPr>
                <w:color w:val="000000"/>
                <w:sz w:val="16"/>
                <w:szCs w:val="16"/>
              </w:rPr>
              <w:t>76 893 714</w:t>
            </w:r>
          </w:p>
        </w:tc>
        <w:tc>
          <w:tcPr>
            <w:tcW w:w="1134" w:type="dxa"/>
            <w:vAlign w:val="bottom"/>
          </w:tcPr>
          <w:p w:rsidR="000218B7" w:rsidRPr="008C7B44" w:rsidRDefault="000218B7" w:rsidP="00A252C4">
            <w:pPr>
              <w:jc w:val="left"/>
              <w:rPr>
                <w:rFonts w:cstheme="minorHAnsi"/>
                <w:sz w:val="16"/>
                <w:szCs w:val="16"/>
              </w:rPr>
            </w:pPr>
            <w:r w:rsidRPr="008C7B44">
              <w:rPr>
                <w:color w:val="000000"/>
                <w:sz w:val="16"/>
                <w:szCs w:val="16"/>
              </w:rPr>
              <w:t>512 624 758</w:t>
            </w:r>
          </w:p>
        </w:tc>
        <w:tc>
          <w:tcPr>
            <w:tcW w:w="851" w:type="dxa"/>
            <w:vAlign w:val="bottom"/>
          </w:tcPr>
          <w:p w:rsidR="000218B7" w:rsidRPr="008C7B44" w:rsidRDefault="000218B7" w:rsidP="00A252C4">
            <w:pPr>
              <w:jc w:val="left"/>
              <w:rPr>
                <w:rFonts w:cstheme="minorHAnsi"/>
                <w:sz w:val="16"/>
                <w:szCs w:val="16"/>
              </w:rPr>
            </w:pPr>
            <w:r w:rsidRPr="008C7B44">
              <w:rPr>
                <w:color w:val="000000"/>
                <w:sz w:val="16"/>
                <w:szCs w:val="16"/>
              </w:rPr>
              <w:t>0,85</w:t>
            </w:r>
          </w:p>
        </w:tc>
        <w:tc>
          <w:tcPr>
            <w:tcW w:w="567" w:type="dxa"/>
            <w:vAlign w:val="bottom"/>
          </w:tcPr>
          <w:p w:rsidR="000218B7" w:rsidRPr="008C7B44" w:rsidRDefault="000218B7" w:rsidP="00A252C4">
            <w:pPr>
              <w:jc w:val="left"/>
              <w:rPr>
                <w:rFonts w:cstheme="minorHAnsi"/>
                <w:sz w:val="16"/>
                <w:szCs w:val="16"/>
              </w:rPr>
            </w:pPr>
            <w:r w:rsidRPr="008C7B44">
              <w:rPr>
                <w:color w:val="000000"/>
                <w:sz w:val="16"/>
                <w:szCs w:val="16"/>
              </w:rPr>
              <w:t>-</w:t>
            </w:r>
          </w:p>
        </w:tc>
        <w:tc>
          <w:tcPr>
            <w:tcW w:w="1276" w:type="dxa"/>
            <w:shd w:val="clear" w:color="auto" w:fill="auto"/>
            <w:vAlign w:val="bottom"/>
          </w:tcPr>
          <w:p w:rsidR="000218B7" w:rsidRPr="008C7B44" w:rsidRDefault="000218B7" w:rsidP="00A252C4">
            <w:pPr>
              <w:jc w:val="left"/>
              <w:rPr>
                <w:rFonts w:cstheme="minorHAnsi"/>
                <w:sz w:val="16"/>
                <w:szCs w:val="16"/>
              </w:rPr>
            </w:pPr>
            <w:r w:rsidRPr="008C7B44">
              <w:rPr>
                <w:color w:val="000000"/>
                <w:sz w:val="16"/>
                <w:szCs w:val="16"/>
              </w:rPr>
              <w:t>409 587 181</w:t>
            </w:r>
          </w:p>
        </w:tc>
        <w:tc>
          <w:tcPr>
            <w:tcW w:w="1134" w:type="dxa"/>
            <w:shd w:val="clear" w:color="auto" w:fill="auto"/>
            <w:vAlign w:val="bottom"/>
          </w:tcPr>
          <w:p w:rsidR="000218B7" w:rsidRPr="008C7B44" w:rsidRDefault="000218B7" w:rsidP="00A252C4">
            <w:pPr>
              <w:jc w:val="left"/>
              <w:rPr>
                <w:rFonts w:cstheme="minorHAnsi"/>
                <w:sz w:val="16"/>
                <w:szCs w:val="16"/>
              </w:rPr>
            </w:pPr>
            <w:r w:rsidRPr="008C7B44">
              <w:rPr>
                <w:color w:val="000000"/>
                <w:sz w:val="16"/>
                <w:szCs w:val="16"/>
              </w:rPr>
              <w:t>72 280 091</w:t>
            </w:r>
          </w:p>
        </w:tc>
        <w:tc>
          <w:tcPr>
            <w:tcW w:w="850" w:type="dxa"/>
            <w:shd w:val="clear" w:color="auto" w:fill="auto"/>
            <w:vAlign w:val="bottom"/>
          </w:tcPr>
          <w:p w:rsidR="000218B7" w:rsidRPr="008C7B44" w:rsidRDefault="000218B7" w:rsidP="00A252C4">
            <w:pPr>
              <w:jc w:val="left"/>
              <w:rPr>
                <w:rFonts w:cstheme="minorHAnsi"/>
                <w:sz w:val="16"/>
                <w:szCs w:val="16"/>
              </w:rPr>
            </w:pPr>
            <w:r w:rsidRPr="008C7B44">
              <w:rPr>
                <w:color w:val="000000"/>
                <w:sz w:val="16"/>
                <w:szCs w:val="16"/>
              </w:rPr>
              <w:t>26143863</w:t>
            </w:r>
          </w:p>
        </w:tc>
        <w:tc>
          <w:tcPr>
            <w:tcW w:w="992" w:type="dxa"/>
            <w:shd w:val="clear" w:color="auto" w:fill="auto"/>
            <w:vAlign w:val="bottom"/>
          </w:tcPr>
          <w:p w:rsidR="000218B7" w:rsidRPr="008C7B44" w:rsidRDefault="000218B7" w:rsidP="00A252C4">
            <w:pPr>
              <w:jc w:val="left"/>
              <w:rPr>
                <w:rFonts w:cstheme="minorHAnsi"/>
                <w:sz w:val="16"/>
                <w:szCs w:val="16"/>
              </w:rPr>
            </w:pPr>
            <w:r w:rsidRPr="008C7B44">
              <w:rPr>
                <w:color w:val="000000"/>
                <w:sz w:val="16"/>
                <w:szCs w:val="16"/>
              </w:rPr>
              <w:t>4613623</w:t>
            </w:r>
          </w:p>
        </w:tc>
        <w:tc>
          <w:tcPr>
            <w:tcW w:w="851" w:type="dxa"/>
            <w:vAlign w:val="bottom"/>
          </w:tcPr>
          <w:p w:rsidR="000218B7" w:rsidRPr="008C7B44" w:rsidRDefault="000218B7" w:rsidP="00A252C4">
            <w:pPr>
              <w:jc w:val="left"/>
              <w:rPr>
                <w:rFonts w:cstheme="minorHAnsi"/>
                <w:sz w:val="16"/>
                <w:szCs w:val="16"/>
              </w:rPr>
            </w:pPr>
            <w:r w:rsidRPr="008C7B44">
              <w:rPr>
                <w:color w:val="000000"/>
                <w:sz w:val="16"/>
                <w:szCs w:val="16"/>
              </w:rPr>
              <w:t>0,06</w:t>
            </w:r>
          </w:p>
        </w:tc>
      </w:tr>
      <w:tr w:rsidR="000218B7" w:rsidRPr="008C7B44" w:rsidTr="00253FFB">
        <w:tc>
          <w:tcPr>
            <w:tcW w:w="426" w:type="dxa"/>
            <w:vMerge/>
          </w:tcPr>
          <w:p w:rsidR="000218B7" w:rsidRPr="008C7B44" w:rsidRDefault="000218B7" w:rsidP="00A252C4">
            <w:pPr>
              <w:jc w:val="left"/>
              <w:rPr>
                <w:rFonts w:cstheme="minorHAnsi"/>
                <w:sz w:val="16"/>
                <w:szCs w:val="16"/>
              </w:rPr>
            </w:pPr>
          </w:p>
        </w:tc>
        <w:tc>
          <w:tcPr>
            <w:tcW w:w="284" w:type="dxa"/>
          </w:tcPr>
          <w:p w:rsidR="000218B7" w:rsidRPr="008C7B44" w:rsidRDefault="000218B7" w:rsidP="00A252C4">
            <w:pPr>
              <w:jc w:val="left"/>
              <w:rPr>
                <w:rFonts w:cstheme="minorHAnsi"/>
                <w:sz w:val="16"/>
                <w:szCs w:val="16"/>
              </w:rPr>
            </w:pPr>
            <w:r w:rsidRPr="008C7B44">
              <w:rPr>
                <w:rFonts w:cstheme="minorHAnsi"/>
                <w:sz w:val="16"/>
                <w:szCs w:val="16"/>
              </w:rPr>
              <w:t>EFR</w:t>
            </w:r>
            <w:r w:rsidRPr="008C7B44">
              <w:rPr>
                <w:rFonts w:cstheme="minorHAnsi"/>
                <w:sz w:val="16"/>
                <w:szCs w:val="16"/>
              </w:rPr>
              <w:lastRenderedPageBreak/>
              <w:t>R</w:t>
            </w:r>
          </w:p>
        </w:tc>
        <w:tc>
          <w:tcPr>
            <w:tcW w:w="850" w:type="dxa"/>
          </w:tcPr>
          <w:p w:rsidR="000218B7" w:rsidRPr="008C7B44" w:rsidRDefault="000218B7" w:rsidP="00A252C4">
            <w:pPr>
              <w:jc w:val="left"/>
              <w:rPr>
                <w:rFonts w:cstheme="minorHAnsi"/>
                <w:sz w:val="16"/>
                <w:szCs w:val="16"/>
              </w:rPr>
            </w:pPr>
            <w:r w:rsidRPr="008C7B44">
              <w:rPr>
                <w:rFonts w:cstheme="minorHAnsi"/>
                <w:sz w:val="16"/>
                <w:szCs w:val="16"/>
              </w:rPr>
              <w:lastRenderedPageBreak/>
              <w:t xml:space="preserve">Méně rozvinuté </w:t>
            </w:r>
            <w:r w:rsidRPr="008C7B44">
              <w:rPr>
                <w:rFonts w:cstheme="minorHAnsi"/>
                <w:sz w:val="16"/>
                <w:szCs w:val="16"/>
              </w:rPr>
              <w:lastRenderedPageBreak/>
              <w:t>regiony</w:t>
            </w:r>
          </w:p>
        </w:tc>
        <w:tc>
          <w:tcPr>
            <w:tcW w:w="851" w:type="dxa"/>
          </w:tcPr>
          <w:p w:rsidR="000218B7" w:rsidRPr="008C7B44" w:rsidRDefault="000218B7" w:rsidP="00A252C4">
            <w:pPr>
              <w:jc w:val="left"/>
              <w:rPr>
                <w:rFonts w:cstheme="minorHAnsi"/>
                <w:sz w:val="16"/>
                <w:szCs w:val="16"/>
              </w:rPr>
            </w:pPr>
            <w:r w:rsidRPr="008C7B44">
              <w:rPr>
                <w:rFonts w:cstheme="minorHAnsi"/>
                <w:sz w:val="16"/>
                <w:szCs w:val="16"/>
              </w:rPr>
              <w:lastRenderedPageBreak/>
              <w:t>CZV</w:t>
            </w:r>
          </w:p>
        </w:tc>
        <w:tc>
          <w:tcPr>
            <w:tcW w:w="992" w:type="dxa"/>
            <w:vAlign w:val="bottom"/>
          </w:tcPr>
          <w:p w:rsidR="000218B7" w:rsidRPr="008C7B44" w:rsidRDefault="000218B7" w:rsidP="00A252C4">
            <w:pPr>
              <w:jc w:val="left"/>
              <w:rPr>
                <w:rFonts w:cstheme="minorHAnsi"/>
                <w:sz w:val="16"/>
                <w:szCs w:val="16"/>
              </w:rPr>
            </w:pPr>
            <w:r w:rsidRPr="008C7B44">
              <w:rPr>
                <w:color w:val="000000"/>
                <w:sz w:val="16"/>
                <w:szCs w:val="16"/>
              </w:rPr>
              <w:t>23 088 951</w:t>
            </w:r>
          </w:p>
        </w:tc>
        <w:tc>
          <w:tcPr>
            <w:tcW w:w="992" w:type="dxa"/>
            <w:vAlign w:val="bottom"/>
          </w:tcPr>
          <w:p w:rsidR="000218B7" w:rsidRPr="008C7B44" w:rsidRDefault="000218B7" w:rsidP="00A252C4">
            <w:pPr>
              <w:jc w:val="left"/>
              <w:rPr>
                <w:rFonts w:cstheme="minorHAnsi"/>
                <w:sz w:val="16"/>
                <w:szCs w:val="16"/>
              </w:rPr>
            </w:pPr>
            <w:r w:rsidRPr="008C7B44">
              <w:rPr>
                <w:color w:val="000000"/>
                <w:sz w:val="16"/>
                <w:szCs w:val="16"/>
              </w:rPr>
              <w:t>4 074 521</w:t>
            </w:r>
          </w:p>
        </w:tc>
        <w:tc>
          <w:tcPr>
            <w:tcW w:w="851" w:type="dxa"/>
            <w:vAlign w:val="bottom"/>
          </w:tcPr>
          <w:p w:rsidR="000218B7" w:rsidRPr="008C7B44" w:rsidRDefault="000218B7" w:rsidP="00A252C4">
            <w:pPr>
              <w:jc w:val="left"/>
              <w:rPr>
                <w:rFonts w:cstheme="minorHAnsi"/>
                <w:sz w:val="16"/>
                <w:szCs w:val="16"/>
              </w:rPr>
            </w:pPr>
            <w:r w:rsidRPr="008C7B44">
              <w:rPr>
                <w:color w:val="000000"/>
                <w:sz w:val="16"/>
                <w:szCs w:val="16"/>
              </w:rPr>
              <w:t>0</w:t>
            </w:r>
          </w:p>
        </w:tc>
        <w:tc>
          <w:tcPr>
            <w:tcW w:w="850" w:type="dxa"/>
            <w:vAlign w:val="bottom"/>
          </w:tcPr>
          <w:p w:rsidR="000218B7" w:rsidRPr="008C7B44" w:rsidRDefault="000218B7" w:rsidP="00A252C4">
            <w:pPr>
              <w:jc w:val="left"/>
              <w:rPr>
                <w:rFonts w:cstheme="minorHAnsi"/>
                <w:sz w:val="16"/>
                <w:szCs w:val="16"/>
              </w:rPr>
            </w:pPr>
            <w:r w:rsidRPr="008C7B44">
              <w:rPr>
                <w:color w:val="000000"/>
                <w:sz w:val="16"/>
                <w:szCs w:val="16"/>
              </w:rPr>
              <w:t>4 074 521</w:t>
            </w:r>
          </w:p>
        </w:tc>
        <w:tc>
          <w:tcPr>
            <w:tcW w:w="1134" w:type="dxa"/>
            <w:vAlign w:val="bottom"/>
          </w:tcPr>
          <w:p w:rsidR="000218B7" w:rsidRPr="008C7B44" w:rsidRDefault="000218B7" w:rsidP="00A252C4">
            <w:pPr>
              <w:jc w:val="left"/>
              <w:rPr>
                <w:rFonts w:cstheme="minorHAnsi"/>
                <w:sz w:val="16"/>
                <w:szCs w:val="16"/>
              </w:rPr>
            </w:pPr>
            <w:r w:rsidRPr="008C7B44">
              <w:rPr>
                <w:color w:val="000000"/>
                <w:sz w:val="16"/>
                <w:szCs w:val="16"/>
              </w:rPr>
              <w:t>27 163 472</w:t>
            </w:r>
          </w:p>
        </w:tc>
        <w:tc>
          <w:tcPr>
            <w:tcW w:w="851" w:type="dxa"/>
            <w:vAlign w:val="bottom"/>
          </w:tcPr>
          <w:p w:rsidR="000218B7" w:rsidRPr="008C7B44" w:rsidRDefault="000218B7" w:rsidP="00A252C4">
            <w:pPr>
              <w:jc w:val="left"/>
              <w:rPr>
                <w:rFonts w:cstheme="minorHAnsi"/>
                <w:sz w:val="16"/>
                <w:szCs w:val="16"/>
              </w:rPr>
            </w:pPr>
            <w:r w:rsidRPr="008C7B44">
              <w:rPr>
                <w:color w:val="000000"/>
                <w:sz w:val="16"/>
                <w:szCs w:val="16"/>
              </w:rPr>
              <w:t>0,85</w:t>
            </w:r>
          </w:p>
        </w:tc>
        <w:tc>
          <w:tcPr>
            <w:tcW w:w="567" w:type="dxa"/>
            <w:vAlign w:val="bottom"/>
          </w:tcPr>
          <w:p w:rsidR="000218B7" w:rsidRPr="008C7B44" w:rsidRDefault="000218B7" w:rsidP="00A252C4">
            <w:pPr>
              <w:jc w:val="left"/>
              <w:rPr>
                <w:rFonts w:cstheme="minorHAnsi"/>
                <w:sz w:val="16"/>
                <w:szCs w:val="16"/>
              </w:rPr>
            </w:pPr>
            <w:r w:rsidRPr="008C7B44">
              <w:rPr>
                <w:color w:val="000000"/>
                <w:sz w:val="16"/>
                <w:szCs w:val="16"/>
              </w:rPr>
              <w:t>-</w:t>
            </w:r>
          </w:p>
        </w:tc>
        <w:tc>
          <w:tcPr>
            <w:tcW w:w="1276" w:type="dxa"/>
            <w:shd w:val="clear" w:color="auto" w:fill="auto"/>
            <w:vAlign w:val="bottom"/>
          </w:tcPr>
          <w:p w:rsidR="000218B7" w:rsidRPr="008C7B44" w:rsidRDefault="000218B7" w:rsidP="00A252C4">
            <w:pPr>
              <w:jc w:val="left"/>
              <w:rPr>
                <w:rFonts w:cstheme="minorHAnsi"/>
                <w:sz w:val="16"/>
                <w:szCs w:val="16"/>
              </w:rPr>
            </w:pPr>
            <w:r w:rsidRPr="008C7B44">
              <w:rPr>
                <w:color w:val="000000"/>
                <w:sz w:val="16"/>
                <w:szCs w:val="16"/>
              </w:rPr>
              <w:t>21 703 614</w:t>
            </w:r>
          </w:p>
        </w:tc>
        <w:tc>
          <w:tcPr>
            <w:tcW w:w="1134" w:type="dxa"/>
            <w:shd w:val="clear" w:color="auto" w:fill="auto"/>
            <w:vAlign w:val="bottom"/>
          </w:tcPr>
          <w:p w:rsidR="000218B7" w:rsidRPr="008C7B44" w:rsidRDefault="000218B7" w:rsidP="00A252C4">
            <w:pPr>
              <w:jc w:val="left"/>
              <w:rPr>
                <w:rFonts w:cstheme="minorHAnsi"/>
                <w:sz w:val="16"/>
                <w:szCs w:val="16"/>
              </w:rPr>
            </w:pPr>
            <w:r w:rsidRPr="008C7B44">
              <w:rPr>
                <w:color w:val="000000"/>
                <w:sz w:val="16"/>
                <w:szCs w:val="16"/>
              </w:rPr>
              <w:t>3 830 050</w:t>
            </w:r>
          </w:p>
        </w:tc>
        <w:tc>
          <w:tcPr>
            <w:tcW w:w="850" w:type="dxa"/>
            <w:shd w:val="clear" w:color="auto" w:fill="auto"/>
            <w:vAlign w:val="bottom"/>
          </w:tcPr>
          <w:p w:rsidR="000218B7" w:rsidRPr="008C7B44" w:rsidRDefault="000218B7" w:rsidP="00A252C4">
            <w:pPr>
              <w:jc w:val="left"/>
              <w:rPr>
                <w:rFonts w:cstheme="minorHAnsi"/>
                <w:sz w:val="16"/>
                <w:szCs w:val="16"/>
              </w:rPr>
            </w:pPr>
            <w:r w:rsidRPr="008C7B44">
              <w:rPr>
                <w:color w:val="000000"/>
                <w:sz w:val="16"/>
                <w:szCs w:val="16"/>
              </w:rPr>
              <w:t>1385337</w:t>
            </w:r>
          </w:p>
        </w:tc>
        <w:tc>
          <w:tcPr>
            <w:tcW w:w="992" w:type="dxa"/>
            <w:shd w:val="clear" w:color="auto" w:fill="auto"/>
            <w:vAlign w:val="bottom"/>
          </w:tcPr>
          <w:p w:rsidR="000218B7" w:rsidRPr="008C7B44" w:rsidRDefault="000218B7" w:rsidP="00A252C4">
            <w:pPr>
              <w:jc w:val="left"/>
              <w:rPr>
                <w:rFonts w:cstheme="minorHAnsi"/>
                <w:sz w:val="16"/>
                <w:szCs w:val="16"/>
              </w:rPr>
            </w:pPr>
            <w:r w:rsidRPr="008C7B44">
              <w:rPr>
                <w:color w:val="000000"/>
                <w:sz w:val="16"/>
                <w:szCs w:val="16"/>
              </w:rPr>
              <w:t>244471</w:t>
            </w:r>
          </w:p>
        </w:tc>
        <w:tc>
          <w:tcPr>
            <w:tcW w:w="851" w:type="dxa"/>
            <w:vAlign w:val="bottom"/>
          </w:tcPr>
          <w:p w:rsidR="000218B7" w:rsidRPr="008C7B44" w:rsidRDefault="000218B7" w:rsidP="00A252C4">
            <w:pPr>
              <w:jc w:val="left"/>
              <w:rPr>
                <w:rFonts w:cstheme="minorHAnsi"/>
                <w:sz w:val="16"/>
                <w:szCs w:val="16"/>
              </w:rPr>
            </w:pPr>
            <w:r w:rsidRPr="008C7B44">
              <w:rPr>
                <w:color w:val="000000"/>
                <w:sz w:val="16"/>
                <w:szCs w:val="16"/>
              </w:rPr>
              <w:t>0,06</w:t>
            </w:r>
          </w:p>
        </w:tc>
      </w:tr>
      <w:tr w:rsidR="000218B7" w:rsidRPr="008C7B44" w:rsidTr="00253FFB">
        <w:tc>
          <w:tcPr>
            <w:tcW w:w="426" w:type="dxa"/>
          </w:tcPr>
          <w:p w:rsidR="000218B7" w:rsidRPr="008C7B44" w:rsidRDefault="000218B7" w:rsidP="00A252C4">
            <w:pPr>
              <w:jc w:val="left"/>
              <w:rPr>
                <w:rFonts w:cstheme="minorHAnsi"/>
                <w:sz w:val="16"/>
                <w:szCs w:val="16"/>
              </w:rPr>
            </w:pPr>
            <w:r w:rsidRPr="008C7B44">
              <w:rPr>
                <w:rFonts w:cstheme="minorHAnsi"/>
                <w:sz w:val="16"/>
                <w:szCs w:val="16"/>
              </w:rPr>
              <w:lastRenderedPageBreak/>
              <w:t>PO 4</w:t>
            </w:r>
          </w:p>
        </w:tc>
        <w:tc>
          <w:tcPr>
            <w:tcW w:w="284" w:type="dxa"/>
          </w:tcPr>
          <w:p w:rsidR="000218B7" w:rsidRPr="008C7B44" w:rsidRDefault="000218B7" w:rsidP="00A252C4">
            <w:pPr>
              <w:jc w:val="left"/>
              <w:rPr>
                <w:rFonts w:cstheme="minorHAnsi"/>
                <w:sz w:val="16"/>
                <w:szCs w:val="16"/>
              </w:rPr>
            </w:pPr>
            <w:r w:rsidRPr="008C7B44">
              <w:rPr>
                <w:rFonts w:cstheme="minorHAnsi"/>
                <w:sz w:val="16"/>
                <w:szCs w:val="16"/>
              </w:rPr>
              <w:t>EFRR</w:t>
            </w:r>
          </w:p>
        </w:tc>
        <w:tc>
          <w:tcPr>
            <w:tcW w:w="850" w:type="dxa"/>
          </w:tcPr>
          <w:p w:rsidR="000218B7" w:rsidRPr="008C7B44" w:rsidRDefault="000218B7" w:rsidP="00A252C4">
            <w:pPr>
              <w:jc w:val="left"/>
              <w:rPr>
                <w:rFonts w:cstheme="minorHAnsi"/>
                <w:sz w:val="16"/>
                <w:szCs w:val="16"/>
              </w:rPr>
            </w:pPr>
            <w:r w:rsidRPr="008C7B44">
              <w:rPr>
                <w:rFonts w:cstheme="minorHAnsi"/>
                <w:sz w:val="16"/>
                <w:szCs w:val="16"/>
              </w:rPr>
              <w:t>Méně rozvinuté regiony</w:t>
            </w:r>
          </w:p>
        </w:tc>
        <w:tc>
          <w:tcPr>
            <w:tcW w:w="851" w:type="dxa"/>
          </w:tcPr>
          <w:p w:rsidR="000218B7" w:rsidRPr="008C7B44" w:rsidRDefault="000218B7" w:rsidP="00A252C4">
            <w:pPr>
              <w:jc w:val="left"/>
              <w:rPr>
                <w:rFonts w:cstheme="minorHAnsi"/>
                <w:sz w:val="16"/>
                <w:szCs w:val="16"/>
              </w:rPr>
            </w:pPr>
            <w:r w:rsidRPr="008C7B44">
              <w:rPr>
                <w:rFonts w:cstheme="minorHAnsi"/>
                <w:sz w:val="16"/>
                <w:szCs w:val="16"/>
              </w:rPr>
              <w:t>CZV</w:t>
            </w:r>
          </w:p>
        </w:tc>
        <w:tc>
          <w:tcPr>
            <w:tcW w:w="992" w:type="dxa"/>
            <w:vAlign w:val="bottom"/>
          </w:tcPr>
          <w:p w:rsidR="000218B7" w:rsidRPr="008C7B44" w:rsidRDefault="000218B7" w:rsidP="00A252C4">
            <w:pPr>
              <w:jc w:val="left"/>
              <w:rPr>
                <w:rFonts w:cstheme="minorHAnsi"/>
                <w:sz w:val="16"/>
                <w:szCs w:val="16"/>
              </w:rPr>
            </w:pPr>
            <w:r w:rsidRPr="008C7B44">
              <w:rPr>
                <w:color w:val="000000"/>
                <w:sz w:val="16"/>
                <w:szCs w:val="16"/>
              </w:rPr>
              <w:t>351 735 069</w:t>
            </w:r>
          </w:p>
        </w:tc>
        <w:tc>
          <w:tcPr>
            <w:tcW w:w="992" w:type="dxa"/>
            <w:vAlign w:val="bottom"/>
          </w:tcPr>
          <w:p w:rsidR="000218B7" w:rsidRPr="008C7B44" w:rsidRDefault="000218B7" w:rsidP="00A252C4">
            <w:pPr>
              <w:jc w:val="left"/>
              <w:rPr>
                <w:rFonts w:cstheme="minorHAnsi"/>
                <w:sz w:val="16"/>
                <w:szCs w:val="16"/>
              </w:rPr>
            </w:pPr>
            <w:r w:rsidRPr="008C7B44">
              <w:rPr>
                <w:color w:val="000000"/>
                <w:sz w:val="16"/>
                <w:szCs w:val="16"/>
              </w:rPr>
              <w:t>62 070 895</w:t>
            </w:r>
          </w:p>
        </w:tc>
        <w:tc>
          <w:tcPr>
            <w:tcW w:w="851" w:type="dxa"/>
            <w:vAlign w:val="bottom"/>
          </w:tcPr>
          <w:p w:rsidR="000218B7" w:rsidRPr="008C7B44" w:rsidRDefault="000218B7" w:rsidP="00A252C4">
            <w:pPr>
              <w:jc w:val="left"/>
              <w:rPr>
                <w:rFonts w:cstheme="minorHAnsi"/>
                <w:sz w:val="16"/>
                <w:szCs w:val="16"/>
              </w:rPr>
            </w:pPr>
            <w:r w:rsidRPr="008C7B44">
              <w:rPr>
                <w:color w:val="000000"/>
                <w:sz w:val="16"/>
                <w:szCs w:val="16"/>
              </w:rPr>
              <w:t>0</w:t>
            </w:r>
          </w:p>
        </w:tc>
        <w:tc>
          <w:tcPr>
            <w:tcW w:w="850" w:type="dxa"/>
            <w:vAlign w:val="bottom"/>
          </w:tcPr>
          <w:p w:rsidR="000218B7" w:rsidRPr="008C7B44" w:rsidRDefault="000218B7" w:rsidP="00A252C4">
            <w:pPr>
              <w:jc w:val="left"/>
              <w:rPr>
                <w:rFonts w:cstheme="minorHAnsi"/>
                <w:sz w:val="16"/>
                <w:szCs w:val="16"/>
              </w:rPr>
            </w:pPr>
            <w:r w:rsidRPr="008C7B44">
              <w:rPr>
                <w:color w:val="000000"/>
                <w:sz w:val="16"/>
                <w:szCs w:val="16"/>
              </w:rPr>
              <w:t>62 070 895</w:t>
            </w:r>
          </w:p>
        </w:tc>
        <w:tc>
          <w:tcPr>
            <w:tcW w:w="1134" w:type="dxa"/>
            <w:vAlign w:val="bottom"/>
          </w:tcPr>
          <w:p w:rsidR="000218B7" w:rsidRPr="008C7B44" w:rsidRDefault="000218B7" w:rsidP="00A252C4">
            <w:pPr>
              <w:jc w:val="left"/>
              <w:rPr>
                <w:rFonts w:cstheme="minorHAnsi"/>
                <w:sz w:val="16"/>
                <w:szCs w:val="16"/>
              </w:rPr>
            </w:pPr>
            <w:r w:rsidRPr="008C7B44">
              <w:rPr>
                <w:color w:val="000000"/>
                <w:sz w:val="16"/>
                <w:szCs w:val="16"/>
              </w:rPr>
              <w:t>413 805 964</w:t>
            </w:r>
          </w:p>
        </w:tc>
        <w:tc>
          <w:tcPr>
            <w:tcW w:w="851" w:type="dxa"/>
            <w:vAlign w:val="bottom"/>
          </w:tcPr>
          <w:p w:rsidR="000218B7" w:rsidRPr="008C7B44" w:rsidRDefault="000218B7" w:rsidP="00A252C4">
            <w:pPr>
              <w:jc w:val="left"/>
              <w:rPr>
                <w:rFonts w:cstheme="minorHAnsi"/>
                <w:sz w:val="16"/>
                <w:szCs w:val="16"/>
              </w:rPr>
            </w:pPr>
            <w:r w:rsidRPr="008C7B44">
              <w:rPr>
                <w:color w:val="000000"/>
                <w:sz w:val="16"/>
                <w:szCs w:val="16"/>
              </w:rPr>
              <w:t>0,85</w:t>
            </w:r>
          </w:p>
        </w:tc>
        <w:tc>
          <w:tcPr>
            <w:tcW w:w="567" w:type="dxa"/>
            <w:vAlign w:val="bottom"/>
          </w:tcPr>
          <w:p w:rsidR="000218B7" w:rsidRPr="008C7B44" w:rsidRDefault="000218B7" w:rsidP="00A252C4">
            <w:pPr>
              <w:jc w:val="left"/>
              <w:rPr>
                <w:rFonts w:cstheme="minorHAnsi"/>
                <w:sz w:val="16"/>
                <w:szCs w:val="16"/>
              </w:rPr>
            </w:pPr>
            <w:r w:rsidRPr="008C7B44">
              <w:rPr>
                <w:color w:val="000000"/>
                <w:sz w:val="16"/>
                <w:szCs w:val="16"/>
              </w:rPr>
              <w:t>-</w:t>
            </w:r>
          </w:p>
        </w:tc>
        <w:tc>
          <w:tcPr>
            <w:tcW w:w="1276" w:type="dxa"/>
            <w:shd w:val="clear" w:color="auto" w:fill="auto"/>
            <w:vAlign w:val="bottom"/>
          </w:tcPr>
          <w:p w:rsidR="000218B7" w:rsidRPr="008C7B44" w:rsidRDefault="000218B7" w:rsidP="00A252C4">
            <w:pPr>
              <w:jc w:val="left"/>
              <w:rPr>
                <w:rFonts w:cstheme="minorHAnsi"/>
                <w:sz w:val="16"/>
                <w:szCs w:val="16"/>
              </w:rPr>
            </w:pPr>
            <w:r w:rsidRPr="008C7B44">
              <w:rPr>
                <w:color w:val="000000"/>
                <w:sz w:val="16"/>
                <w:szCs w:val="16"/>
              </w:rPr>
              <w:t>330 630 965</w:t>
            </w:r>
          </w:p>
        </w:tc>
        <w:tc>
          <w:tcPr>
            <w:tcW w:w="1134" w:type="dxa"/>
            <w:shd w:val="clear" w:color="auto" w:fill="auto"/>
            <w:vAlign w:val="bottom"/>
          </w:tcPr>
          <w:p w:rsidR="000218B7" w:rsidRPr="008C7B44" w:rsidRDefault="000218B7" w:rsidP="00A252C4">
            <w:pPr>
              <w:jc w:val="left"/>
              <w:rPr>
                <w:rFonts w:cstheme="minorHAnsi"/>
                <w:sz w:val="16"/>
                <w:szCs w:val="16"/>
              </w:rPr>
            </w:pPr>
            <w:r w:rsidRPr="008C7B44">
              <w:rPr>
                <w:color w:val="000000"/>
                <w:sz w:val="16"/>
                <w:szCs w:val="16"/>
              </w:rPr>
              <w:t>58 346 641</w:t>
            </w:r>
          </w:p>
        </w:tc>
        <w:tc>
          <w:tcPr>
            <w:tcW w:w="850" w:type="dxa"/>
            <w:shd w:val="clear" w:color="auto" w:fill="auto"/>
            <w:vAlign w:val="bottom"/>
          </w:tcPr>
          <w:p w:rsidR="000218B7" w:rsidRPr="008C7B44" w:rsidRDefault="000218B7" w:rsidP="00A252C4">
            <w:pPr>
              <w:jc w:val="left"/>
              <w:rPr>
                <w:rFonts w:cstheme="minorHAnsi"/>
                <w:sz w:val="16"/>
                <w:szCs w:val="16"/>
              </w:rPr>
            </w:pPr>
            <w:r w:rsidRPr="008C7B44">
              <w:rPr>
                <w:color w:val="000000"/>
                <w:sz w:val="16"/>
                <w:szCs w:val="16"/>
              </w:rPr>
              <w:t>21104104</w:t>
            </w:r>
          </w:p>
        </w:tc>
        <w:tc>
          <w:tcPr>
            <w:tcW w:w="992" w:type="dxa"/>
            <w:shd w:val="clear" w:color="auto" w:fill="auto"/>
            <w:vAlign w:val="bottom"/>
          </w:tcPr>
          <w:p w:rsidR="000218B7" w:rsidRPr="008C7B44" w:rsidRDefault="000218B7" w:rsidP="00A252C4">
            <w:pPr>
              <w:jc w:val="left"/>
              <w:rPr>
                <w:rFonts w:cstheme="minorHAnsi"/>
                <w:sz w:val="16"/>
                <w:szCs w:val="16"/>
              </w:rPr>
            </w:pPr>
            <w:r w:rsidRPr="008C7B44">
              <w:rPr>
                <w:color w:val="000000"/>
                <w:sz w:val="16"/>
                <w:szCs w:val="16"/>
              </w:rPr>
              <w:t>3724254</w:t>
            </w:r>
          </w:p>
        </w:tc>
        <w:tc>
          <w:tcPr>
            <w:tcW w:w="851" w:type="dxa"/>
            <w:vAlign w:val="bottom"/>
          </w:tcPr>
          <w:p w:rsidR="000218B7" w:rsidRPr="008C7B44" w:rsidRDefault="000218B7" w:rsidP="00A252C4">
            <w:pPr>
              <w:jc w:val="left"/>
              <w:rPr>
                <w:rFonts w:cstheme="minorHAnsi"/>
                <w:sz w:val="16"/>
                <w:szCs w:val="16"/>
              </w:rPr>
            </w:pPr>
            <w:r w:rsidRPr="008C7B44">
              <w:rPr>
                <w:color w:val="000000"/>
                <w:sz w:val="16"/>
                <w:szCs w:val="16"/>
              </w:rPr>
              <w:t>0,06</w:t>
            </w:r>
          </w:p>
        </w:tc>
      </w:tr>
      <w:tr w:rsidR="000218B7" w:rsidRPr="008C7B44" w:rsidTr="00253FFB">
        <w:tc>
          <w:tcPr>
            <w:tcW w:w="426" w:type="dxa"/>
          </w:tcPr>
          <w:p w:rsidR="000218B7" w:rsidRPr="008C7B44" w:rsidRDefault="000218B7" w:rsidP="00A252C4">
            <w:pPr>
              <w:jc w:val="left"/>
              <w:rPr>
                <w:rFonts w:cstheme="minorHAnsi"/>
                <w:sz w:val="16"/>
                <w:szCs w:val="16"/>
              </w:rPr>
            </w:pPr>
            <w:r w:rsidRPr="008C7B44">
              <w:rPr>
                <w:rFonts w:cstheme="minorHAnsi"/>
                <w:sz w:val="16"/>
                <w:szCs w:val="16"/>
              </w:rPr>
              <w:t>PO 5</w:t>
            </w:r>
          </w:p>
        </w:tc>
        <w:tc>
          <w:tcPr>
            <w:tcW w:w="284" w:type="dxa"/>
          </w:tcPr>
          <w:p w:rsidR="000218B7" w:rsidRPr="008C7B44" w:rsidRDefault="000218B7" w:rsidP="00A252C4">
            <w:pPr>
              <w:jc w:val="left"/>
              <w:rPr>
                <w:rFonts w:cstheme="minorHAnsi"/>
                <w:sz w:val="16"/>
                <w:szCs w:val="16"/>
              </w:rPr>
            </w:pPr>
            <w:r w:rsidRPr="008C7B44">
              <w:rPr>
                <w:rFonts w:cstheme="minorHAnsi"/>
                <w:sz w:val="16"/>
                <w:szCs w:val="16"/>
              </w:rPr>
              <w:t>FS</w:t>
            </w:r>
          </w:p>
        </w:tc>
        <w:tc>
          <w:tcPr>
            <w:tcW w:w="850" w:type="dxa"/>
          </w:tcPr>
          <w:p w:rsidR="000218B7" w:rsidRPr="008C7B44" w:rsidRDefault="000218B7" w:rsidP="00A252C4">
            <w:pPr>
              <w:jc w:val="left"/>
              <w:rPr>
                <w:rFonts w:cstheme="minorHAnsi"/>
                <w:sz w:val="16"/>
                <w:szCs w:val="16"/>
              </w:rPr>
            </w:pPr>
            <w:r w:rsidRPr="008C7B44">
              <w:rPr>
                <w:rFonts w:cstheme="minorHAnsi"/>
                <w:sz w:val="16"/>
                <w:szCs w:val="16"/>
              </w:rPr>
              <w:t>Není relevantní</w:t>
            </w:r>
          </w:p>
        </w:tc>
        <w:tc>
          <w:tcPr>
            <w:tcW w:w="851" w:type="dxa"/>
          </w:tcPr>
          <w:p w:rsidR="000218B7" w:rsidRPr="008C7B44" w:rsidRDefault="000218B7" w:rsidP="00A252C4">
            <w:pPr>
              <w:jc w:val="left"/>
              <w:rPr>
                <w:rFonts w:cstheme="minorHAnsi"/>
                <w:sz w:val="16"/>
                <w:szCs w:val="16"/>
              </w:rPr>
            </w:pPr>
            <w:r w:rsidRPr="008C7B44">
              <w:rPr>
                <w:rFonts w:cstheme="minorHAnsi"/>
                <w:sz w:val="16"/>
                <w:szCs w:val="16"/>
              </w:rPr>
              <w:t>CZV</w:t>
            </w:r>
          </w:p>
        </w:tc>
        <w:tc>
          <w:tcPr>
            <w:tcW w:w="992" w:type="dxa"/>
            <w:vAlign w:val="bottom"/>
          </w:tcPr>
          <w:p w:rsidR="000218B7" w:rsidRPr="008C7B44" w:rsidRDefault="000218B7" w:rsidP="00A252C4">
            <w:pPr>
              <w:jc w:val="left"/>
              <w:rPr>
                <w:rFonts w:cstheme="minorHAnsi"/>
                <w:sz w:val="16"/>
                <w:szCs w:val="16"/>
              </w:rPr>
            </w:pPr>
            <w:r w:rsidRPr="008C7B44">
              <w:rPr>
                <w:color w:val="000000"/>
                <w:sz w:val="16"/>
                <w:szCs w:val="16"/>
              </w:rPr>
              <w:t>509 626 952</w:t>
            </w:r>
          </w:p>
        </w:tc>
        <w:tc>
          <w:tcPr>
            <w:tcW w:w="992" w:type="dxa"/>
            <w:vAlign w:val="bottom"/>
          </w:tcPr>
          <w:p w:rsidR="000218B7" w:rsidRPr="008C7B44" w:rsidRDefault="000218B7" w:rsidP="00A252C4">
            <w:pPr>
              <w:jc w:val="left"/>
              <w:rPr>
                <w:rFonts w:cstheme="minorHAnsi"/>
                <w:sz w:val="16"/>
                <w:szCs w:val="16"/>
              </w:rPr>
            </w:pPr>
            <w:r w:rsidRPr="008C7B44">
              <w:rPr>
                <w:color w:val="000000"/>
                <w:sz w:val="16"/>
                <w:szCs w:val="16"/>
              </w:rPr>
              <w:t>89 934 168</w:t>
            </w:r>
          </w:p>
        </w:tc>
        <w:tc>
          <w:tcPr>
            <w:tcW w:w="851" w:type="dxa"/>
            <w:vAlign w:val="bottom"/>
          </w:tcPr>
          <w:p w:rsidR="000218B7" w:rsidRPr="008C7B44" w:rsidRDefault="000218B7" w:rsidP="00A252C4">
            <w:pPr>
              <w:jc w:val="left"/>
              <w:rPr>
                <w:rFonts w:cstheme="minorHAnsi"/>
                <w:sz w:val="16"/>
                <w:szCs w:val="16"/>
              </w:rPr>
            </w:pPr>
            <w:r w:rsidRPr="008C7B44">
              <w:rPr>
                <w:color w:val="000000"/>
                <w:sz w:val="16"/>
                <w:szCs w:val="16"/>
              </w:rPr>
              <w:t>0</w:t>
            </w:r>
          </w:p>
        </w:tc>
        <w:tc>
          <w:tcPr>
            <w:tcW w:w="850" w:type="dxa"/>
            <w:vAlign w:val="bottom"/>
          </w:tcPr>
          <w:p w:rsidR="000218B7" w:rsidRPr="008C7B44" w:rsidRDefault="000218B7" w:rsidP="00A252C4">
            <w:pPr>
              <w:jc w:val="left"/>
              <w:rPr>
                <w:rFonts w:cstheme="minorHAnsi"/>
                <w:sz w:val="16"/>
                <w:szCs w:val="16"/>
              </w:rPr>
            </w:pPr>
            <w:r w:rsidRPr="008C7B44">
              <w:rPr>
                <w:color w:val="000000"/>
                <w:sz w:val="16"/>
                <w:szCs w:val="16"/>
              </w:rPr>
              <w:t>89 934 168</w:t>
            </w:r>
          </w:p>
        </w:tc>
        <w:tc>
          <w:tcPr>
            <w:tcW w:w="1134" w:type="dxa"/>
            <w:vAlign w:val="bottom"/>
          </w:tcPr>
          <w:p w:rsidR="000218B7" w:rsidRPr="008C7B44" w:rsidRDefault="000218B7" w:rsidP="00A252C4">
            <w:pPr>
              <w:jc w:val="left"/>
              <w:rPr>
                <w:rFonts w:cstheme="minorHAnsi"/>
                <w:sz w:val="16"/>
                <w:szCs w:val="16"/>
              </w:rPr>
            </w:pPr>
            <w:r w:rsidRPr="008C7B44">
              <w:rPr>
                <w:color w:val="000000"/>
                <w:sz w:val="16"/>
                <w:szCs w:val="16"/>
              </w:rPr>
              <w:t>599 561 120</w:t>
            </w:r>
          </w:p>
        </w:tc>
        <w:tc>
          <w:tcPr>
            <w:tcW w:w="851" w:type="dxa"/>
            <w:vAlign w:val="bottom"/>
          </w:tcPr>
          <w:p w:rsidR="000218B7" w:rsidRPr="008C7B44" w:rsidRDefault="000218B7" w:rsidP="00A252C4">
            <w:pPr>
              <w:jc w:val="left"/>
              <w:rPr>
                <w:rFonts w:cstheme="minorHAnsi"/>
                <w:sz w:val="16"/>
                <w:szCs w:val="16"/>
              </w:rPr>
            </w:pPr>
            <w:r w:rsidRPr="008C7B44">
              <w:rPr>
                <w:color w:val="000000"/>
                <w:sz w:val="16"/>
                <w:szCs w:val="16"/>
              </w:rPr>
              <w:t>0,85</w:t>
            </w:r>
          </w:p>
        </w:tc>
        <w:tc>
          <w:tcPr>
            <w:tcW w:w="567" w:type="dxa"/>
            <w:vAlign w:val="bottom"/>
          </w:tcPr>
          <w:p w:rsidR="000218B7" w:rsidRPr="008C7B44" w:rsidRDefault="000218B7" w:rsidP="00A252C4">
            <w:pPr>
              <w:jc w:val="left"/>
              <w:rPr>
                <w:rFonts w:cstheme="minorHAnsi"/>
                <w:sz w:val="16"/>
                <w:szCs w:val="16"/>
              </w:rPr>
            </w:pPr>
            <w:r w:rsidRPr="008C7B44">
              <w:rPr>
                <w:color w:val="000000"/>
                <w:sz w:val="16"/>
                <w:szCs w:val="16"/>
              </w:rPr>
              <w:t>-</w:t>
            </w:r>
          </w:p>
        </w:tc>
        <w:tc>
          <w:tcPr>
            <w:tcW w:w="1276" w:type="dxa"/>
            <w:shd w:val="clear" w:color="auto" w:fill="auto"/>
            <w:vAlign w:val="bottom"/>
          </w:tcPr>
          <w:p w:rsidR="000218B7" w:rsidRPr="008C7B44" w:rsidRDefault="000218B7" w:rsidP="00A252C4">
            <w:pPr>
              <w:jc w:val="left"/>
              <w:rPr>
                <w:rFonts w:cstheme="minorHAnsi"/>
                <w:sz w:val="16"/>
                <w:szCs w:val="16"/>
              </w:rPr>
            </w:pPr>
            <w:r w:rsidRPr="008C7B44">
              <w:rPr>
                <w:color w:val="000000"/>
                <w:sz w:val="16"/>
                <w:szCs w:val="16"/>
              </w:rPr>
              <w:t>479 049 335</w:t>
            </w:r>
          </w:p>
        </w:tc>
        <w:tc>
          <w:tcPr>
            <w:tcW w:w="1134" w:type="dxa"/>
            <w:shd w:val="clear" w:color="auto" w:fill="auto"/>
            <w:vAlign w:val="bottom"/>
          </w:tcPr>
          <w:p w:rsidR="000218B7" w:rsidRPr="008C7B44" w:rsidRDefault="000218B7" w:rsidP="00A252C4">
            <w:pPr>
              <w:jc w:val="left"/>
              <w:rPr>
                <w:rFonts w:cstheme="minorHAnsi"/>
                <w:sz w:val="16"/>
                <w:szCs w:val="16"/>
              </w:rPr>
            </w:pPr>
            <w:r w:rsidRPr="008C7B44">
              <w:rPr>
                <w:color w:val="000000"/>
                <w:sz w:val="16"/>
                <w:szCs w:val="16"/>
              </w:rPr>
              <w:t>84 538 118</w:t>
            </w:r>
          </w:p>
        </w:tc>
        <w:tc>
          <w:tcPr>
            <w:tcW w:w="850" w:type="dxa"/>
            <w:shd w:val="clear" w:color="auto" w:fill="auto"/>
            <w:vAlign w:val="bottom"/>
          </w:tcPr>
          <w:p w:rsidR="000218B7" w:rsidRPr="008C7B44" w:rsidRDefault="000218B7" w:rsidP="00A252C4">
            <w:pPr>
              <w:jc w:val="left"/>
              <w:rPr>
                <w:rFonts w:cstheme="minorHAnsi"/>
                <w:sz w:val="16"/>
                <w:szCs w:val="16"/>
              </w:rPr>
            </w:pPr>
            <w:r w:rsidRPr="008C7B44">
              <w:rPr>
                <w:color w:val="000000"/>
                <w:sz w:val="16"/>
                <w:szCs w:val="16"/>
              </w:rPr>
              <w:t>30577617</w:t>
            </w:r>
          </w:p>
        </w:tc>
        <w:tc>
          <w:tcPr>
            <w:tcW w:w="992" w:type="dxa"/>
            <w:shd w:val="clear" w:color="auto" w:fill="auto"/>
            <w:vAlign w:val="bottom"/>
          </w:tcPr>
          <w:p w:rsidR="000218B7" w:rsidRPr="008C7B44" w:rsidRDefault="000218B7" w:rsidP="00A252C4">
            <w:pPr>
              <w:jc w:val="left"/>
              <w:rPr>
                <w:rFonts w:cstheme="minorHAnsi"/>
                <w:sz w:val="16"/>
                <w:szCs w:val="16"/>
              </w:rPr>
            </w:pPr>
            <w:r w:rsidRPr="008C7B44">
              <w:rPr>
                <w:color w:val="000000"/>
                <w:sz w:val="16"/>
                <w:szCs w:val="16"/>
              </w:rPr>
              <w:t>5396050</w:t>
            </w:r>
          </w:p>
        </w:tc>
        <w:tc>
          <w:tcPr>
            <w:tcW w:w="851" w:type="dxa"/>
            <w:vAlign w:val="bottom"/>
          </w:tcPr>
          <w:p w:rsidR="000218B7" w:rsidRPr="008C7B44" w:rsidRDefault="000218B7" w:rsidP="00A252C4">
            <w:pPr>
              <w:jc w:val="left"/>
              <w:rPr>
                <w:rFonts w:cstheme="minorHAnsi"/>
                <w:sz w:val="16"/>
                <w:szCs w:val="16"/>
              </w:rPr>
            </w:pPr>
            <w:r w:rsidRPr="008C7B44">
              <w:rPr>
                <w:color w:val="000000"/>
                <w:sz w:val="16"/>
                <w:szCs w:val="16"/>
              </w:rPr>
              <w:t>0,06</w:t>
            </w:r>
          </w:p>
        </w:tc>
      </w:tr>
      <w:tr w:rsidR="000218B7" w:rsidRPr="008C7B44" w:rsidTr="00253FFB">
        <w:tc>
          <w:tcPr>
            <w:tcW w:w="426" w:type="dxa"/>
          </w:tcPr>
          <w:p w:rsidR="000218B7" w:rsidRPr="008C7B44" w:rsidRDefault="000218B7" w:rsidP="00A252C4">
            <w:pPr>
              <w:jc w:val="left"/>
              <w:rPr>
                <w:rFonts w:cstheme="minorHAnsi"/>
                <w:sz w:val="16"/>
                <w:szCs w:val="16"/>
              </w:rPr>
            </w:pPr>
            <w:r w:rsidRPr="008C7B44">
              <w:rPr>
                <w:rFonts w:cstheme="minorHAnsi"/>
                <w:sz w:val="16"/>
                <w:szCs w:val="16"/>
              </w:rPr>
              <w:t>PO 6</w:t>
            </w:r>
          </w:p>
        </w:tc>
        <w:tc>
          <w:tcPr>
            <w:tcW w:w="284" w:type="dxa"/>
          </w:tcPr>
          <w:p w:rsidR="000218B7" w:rsidRPr="008C7B44" w:rsidRDefault="000218B7" w:rsidP="00A252C4">
            <w:pPr>
              <w:jc w:val="left"/>
              <w:rPr>
                <w:rFonts w:cstheme="minorHAnsi"/>
                <w:sz w:val="16"/>
                <w:szCs w:val="16"/>
              </w:rPr>
            </w:pPr>
            <w:r w:rsidRPr="008C7B44">
              <w:rPr>
                <w:rFonts w:cstheme="minorHAnsi"/>
                <w:sz w:val="16"/>
                <w:szCs w:val="16"/>
              </w:rPr>
              <w:t>FS</w:t>
            </w:r>
          </w:p>
        </w:tc>
        <w:tc>
          <w:tcPr>
            <w:tcW w:w="850" w:type="dxa"/>
          </w:tcPr>
          <w:p w:rsidR="000218B7" w:rsidRPr="008C7B44" w:rsidRDefault="000218B7" w:rsidP="00A252C4">
            <w:pPr>
              <w:jc w:val="left"/>
              <w:rPr>
                <w:rFonts w:cstheme="minorHAnsi"/>
                <w:sz w:val="16"/>
                <w:szCs w:val="16"/>
              </w:rPr>
            </w:pPr>
            <w:r w:rsidRPr="008C7B44">
              <w:rPr>
                <w:rFonts w:cstheme="minorHAnsi"/>
                <w:sz w:val="16"/>
                <w:szCs w:val="16"/>
              </w:rPr>
              <w:t>Není relevantní</w:t>
            </w:r>
          </w:p>
        </w:tc>
        <w:tc>
          <w:tcPr>
            <w:tcW w:w="851" w:type="dxa"/>
          </w:tcPr>
          <w:p w:rsidR="000218B7" w:rsidRPr="008C7B44" w:rsidRDefault="000218B7" w:rsidP="00A252C4">
            <w:pPr>
              <w:jc w:val="left"/>
              <w:rPr>
                <w:rFonts w:cstheme="minorHAnsi"/>
                <w:sz w:val="16"/>
                <w:szCs w:val="16"/>
              </w:rPr>
            </w:pPr>
            <w:r w:rsidRPr="008C7B44">
              <w:rPr>
                <w:rFonts w:cstheme="minorHAnsi"/>
                <w:sz w:val="16"/>
                <w:szCs w:val="16"/>
              </w:rPr>
              <w:t>CZV</w:t>
            </w:r>
          </w:p>
        </w:tc>
        <w:tc>
          <w:tcPr>
            <w:tcW w:w="992" w:type="dxa"/>
            <w:vAlign w:val="bottom"/>
          </w:tcPr>
          <w:p w:rsidR="000218B7" w:rsidRPr="008C7B44" w:rsidRDefault="000218B7" w:rsidP="00A252C4">
            <w:pPr>
              <w:jc w:val="left"/>
              <w:rPr>
                <w:rFonts w:cstheme="minorHAnsi"/>
                <w:sz w:val="16"/>
                <w:szCs w:val="16"/>
              </w:rPr>
            </w:pPr>
            <w:r w:rsidRPr="008C7B44">
              <w:rPr>
                <w:color w:val="000000"/>
                <w:sz w:val="16"/>
                <w:szCs w:val="16"/>
              </w:rPr>
              <w:t>73 115 012</w:t>
            </w:r>
          </w:p>
        </w:tc>
        <w:tc>
          <w:tcPr>
            <w:tcW w:w="992" w:type="dxa"/>
            <w:vAlign w:val="bottom"/>
          </w:tcPr>
          <w:p w:rsidR="000218B7" w:rsidRPr="008C7B44" w:rsidRDefault="000218B7" w:rsidP="00A252C4">
            <w:pPr>
              <w:jc w:val="left"/>
              <w:rPr>
                <w:rFonts w:cstheme="minorHAnsi"/>
                <w:sz w:val="16"/>
                <w:szCs w:val="16"/>
              </w:rPr>
            </w:pPr>
            <w:r w:rsidRPr="008C7B44">
              <w:rPr>
                <w:color w:val="000000"/>
                <w:sz w:val="16"/>
                <w:szCs w:val="16"/>
              </w:rPr>
              <w:t>12 902 649</w:t>
            </w:r>
          </w:p>
        </w:tc>
        <w:tc>
          <w:tcPr>
            <w:tcW w:w="851" w:type="dxa"/>
            <w:vAlign w:val="bottom"/>
          </w:tcPr>
          <w:p w:rsidR="000218B7" w:rsidRPr="008C7B44" w:rsidRDefault="000218B7" w:rsidP="00A252C4">
            <w:pPr>
              <w:jc w:val="left"/>
              <w:rPr>
                <w:rFonts w:cstheme="minorHAnsi"/>
                <w:sz w:val="16"/>
                <w:szCs w:val="16"/>
              </w:rPr>
            </w:pPr>
            <w:r w:rsidRPr="008C7B44">
              <w:rPr>
                <w:color w:val="000000"/>
                <w:sz w:val="16"/>
                <w:szCs w:val="16"/>
              </w:rPr>
              <w:t>12 902 649</w:t>
            </w:r>
          </w:p>
        </w:tc>
        <w:tc>
          <w:tcPr>
            <w:tcW w:w="850" w:type="dxa"/>
            <w:vAlign w:val="bottom"/>
          </w:tcPr>
          <w:p w:rsidR="000218B7" w:rsidRPr="008C7B44" w:rsidRDefault="000218B7" w:rsidP="00A252C4">
            <w:pPr>
              <w:jc w:val="left"/>
              <w:rPr>
                <w:rFonts w:cstheme="minorHAnsi"/>
                <w:sz w:val="16"/>
                <w:szCs w:val="16"/>
              </w:rPr>
            </w:pPr>
            <w:r w:rsidRPr="008C7B44">
              <w:rPr>
                <w:color w:val="000000"/>
                <w:sz w:val="16"/>
                <w:szCs w:val="16"/>
              </w:rPr>
              <w:t>0</w:t>
            </w:r>
          </w:p>
        </w:tc>
        <w:tc>
          <w:tcPr>
            <w:tcW w:w="1134" w:type="dxa"/>
            <w:vAlign w:val="bottom"/>
          </w:tcPr>
          <w:p w:rsidR="000218B7" w:rsidRPr="008C7B44" w:rsidRDefault="000218B7" w:rsidP="00A252C4">
            <w:pPr>
              <w:jc w:val="left"/>
              <w:rPr>
                <w:rFonts w:cstheme="minorHAnsi"/>
                <w:sz w:val="16"/>
                <w:szCs w:val="16"/>
              </w:rPr>
            </w:pPr>
            <w:r w:rsidRPr="008C7B44">
              <w:rPr>
                <w:color w:val="000000"/>
                <w:sz w:val="16"/>
                <w:szCs w:val="16"/>
              </w:rPr>
              <w:t>86 017 661</w:t>
            </w:r>
          </w:p>
        </w:tc>
        <w:tc>
          <w:tcPr>
            <w:tcW w:w="851" w:type="dxa"/>
            <w:vAlign w:val="bottom"/>
          </w:tcPr>
          <w:p w:rsidR="000218B7" w:rsidRPr="008C7B44" w:rsidRDefault="000218B7" w:rsidP="00A252C4">
            <w:pPr>
              <w:jc w:val="left"/>
              <w:rPr>
                <w:rFonts w:cstheme="minorHAnsi"/>
                <w:sz w:val="16"/>
                <w:szCs w:val="16"/>
              </w:rPr>
            </w:pPr>
            <w:r w:rsidRPr="008C7B44">
              <w:rPr>
                <w:color w:val="000000"/>
                <w:sz w:val="16"/>
                <w:szCs w:val="16"/>
              </w:rPr>
              <w:t>0,85</w:t>
            </w:r>
          </w:p>
        </w:tc>
        <w:tc>
          <w:tcPr>
            <w:tcW w:w="567" w:type="dxa"/>
            <w:vAlign w:val="bottom"/>
          </w:tcPr>
          <w:p w:rsidR="000218B7" w:rsidRPr="008C7B44" w:rsidRDefault="000218B7" w:rsidP="00A252C4">
            <w:pPr>
              <w:jc w:val="left"/>
              <w:rPr>
                <w:rFonts w:cstheme="minorHAnsi"/>
                <w:sz w:val="16"/>
                <w:szCs w:val="16"/>
              </w:rPr>
            </w:pPr>
            <w:r w:rsidRPr="008C7B44">
              <w:rPr>
                <w:color w:val="000000"/>
                <w:sz w:val="16"/>
                <w:szCs w:val="16"/>
              </w:rPr>
              <w:t>-</w:t>
            </w:r>
          </w:p>
        </w:tc>
        <w:tc>
          <w:tcPr>
            <w:tcW w:w="1276" w:type="dxa"/>
            <w:shd w:val="clear" w:color="auto" w:fill="auto"/>
          </w:tcPr>
          <w:p w:rsidR="000218B7" w:rsidRPr="008C7B44" w:rsidRDefault="000218B7" w:rsidP="00A252C4">
            <w:pPr>
              <w:jc w:val="left"/>
              <w:rPr>
                <w:rFonts w:cstheme="minorHAnsi"/>
                <w:sz w:val="16"/>
                <w:szCs w:val="16"/>
              </w:rPr>
            </w:pPr>
            <w:r w:rsidRPr="008C7B44">
              <w:rPr>
                <w:rFonts w:cstheme="minorHAnsi"/>
                <w:sz w:val="16"/>
                <w:szCs w:val="16"/>
              </w:rPr>
              <w:t>Není relevantní</w:t>
            </w:r>
          </w:p>
        </w:tc>
        <w:tc>
          <w:tcPr>
            <w:tcW w:w="1134" w:type="dxa"/>
            <w:shd w:val="clear" w:color="auto" w:fill="auto"/>
          </w:tcPr>
          <w:p w:rsidR="000218B7" w:rsidRPr="008C7B44" w:rsidRDefault="000218B7" w:rsidP="00A252C4">
            <w:pPr>
              <w:jc w:val="left"/>
              <w:rPr>
                <w:rFonts w:cstheme="minorHAnsi"/>
                <w:sz w:val="16"/>
                <w:szCs w:val="16"/>
              </w:rPr>
            </w:pPr>
            <w:r w:rsidRPr="008C7B44">
              <w:rPr>
                <w:rFonts w:cstheme="minorHAnsi"/>
                <w:sz w:val="16"/>
                <w:szCs w:val="16"/>
              </w:rPr>
              <w:t>Není relevantní</w:t>
            </w:r>
          </w:p>
        </w:tc>
        <w:tc>
          <w:tcPr>
            <w:tcW w:w="850" w:type="dxa"/>
            <w:shd w:val="clear" w:color="auto" w:fill="auto"/>
          </w:tcPr>
          <w:p w:rsidR="000218B7" w:rsidRPr="008C7B44" w:rsidRDefault="000218B7" w:rsidP="00A252C4">
            <w:pPr>
              <w:jc w:val="left"/>
              <w:rPr>
                <w:rFonts w:cstheme="minorHAnsi"/>
                <w:sz w:val="16"/>
                <w:szCs w:val="16"/>
              </w:rPr>
            </w:pPr>
            <w:r w:rsidRPr="008C7B44">
              <w:rPr>
                <w:rFonts w:cstheme="minorHAnsi"/>
                <w:sz w:val="16"/>
                <w:szCs w:val="16"/>
              </w:rPr>
              <w:t>Není relevantní</w:t>
            </w:r>
          </w:p>
        </w:tc>
        <w:tc>
          <w:tcPr>
            <w:tcW w:w="992" w:type="dxa"/>
            <w:shd w:val="clear" w:color="auto" w:fill="auto"/>
          </w:tcPr>
          <w:p w:rsidR="000218B7" w:rsidRPr="008C7B44" w:rsidRDefault="000218B7" w:rsidP="00A252C4">
            <w:pPr>
              <w:jc w:val="left"/>
              <w:rPr>
                <w:rFonts w:cstheme="minorHAnsi"/>
                <w:sz w:val="16"/>
                <w:szCs w:val="16"/>
              </w:rPr>
            </w:pPr>
            <w:r w:rsidRPr="008C7B44">
              <w:rPr>
                <w:rFonts w:cstheme="minorHAnsi"/>
                <w:sz w:val="16"/>
                <w:szCs w:val="16"/>
              </w:rPr>
              <w:t>Není relevantní</w:t>
            </w:r>
          </w:p>
        </w:tc>
        <w:tc>
          <w:tcPr>
            <w:tcW w:w="851" w:type="dxa"/>
          </w:tcPr>
          <w:p w:rsidR="000218B7" w:rsidRPr="008C7B44" w:rsidRDefault="000218B7" w:rsidP="00A252C4">
            <w:pPr>
              <w:jc w:val="left"/>
              <w:rPr>
                <w:rFonts w:cstheme="minorHAnsi"/>
                <w:sz w:val="16"/>
                <w:szCs w:val="16"/>
              </w:rPr>
            </w:pPr>
            <w:r w:rsidRPr="008C7B44">
              <w:rPr>
                <w:rFonts w:cstheme="minorHAnsi"/>
                <w:sz w:val="16"/>
                <w:szCs w:val="16"/>
              </w:rPr>
              <w:t>Není relevantní</w:t>
            </w:r>
          </w:p>
        </w:tc>
      </w:tr>
      <w:tr w:rsidR="000218B7" w:rsidRPr="008C7B44" w:rsidTr="00253FFB">
        <w:tc>
          <w:tcPr>
            <w:tcW w:w="426" w:type="dxa"/>
          </w:tcPr>
          <w:p w:rsidR="000218B7" w:rsidRPr="008C7B44" w:rsidRDefault="000218B7" w:rsidP="00A252C4">
            <w:pPr>
              <w:jc w:val="left"/>
              <w:rPr>
                <w:rFonts w:cstheme="minorHAnsi"/>
                <w:sz w:val="16"/>
                <w:szCs w:val="16"/>
              </w:rPr>
            </w:pPr>
            <w:r w:rsidRPr="008C7B44">
              <w:rPr>
                <w:rFonts w:cstheme="minorHAnsi"/>
                <w:sz w:val="16"/>
                <w:szCs w:val="16"/>
              </w:rPr>
              <w:t>Celkem</w:t>
            </w:r>
          </w:p>
        </w:tc>
        <w:tc>
          <w:tcPr>
            <w:tcW w:w="284" w:type="dxa"/>
          </w:tcPr>
          <w:p w:rsidR="000218B7" w:rsidRPr="008C7B44" w:rsidRDefault="000218B7" w:rsidP="00A252C4">
            <w:pPr>
              <w:jc w:val="left"/>
              <w:rPr>
                <w:rFonts w:cstheme="minorHAnsi"/>
                <w:sz w:val="16"/>
                <w:szCs w:val="16"/>
              </w:rPr>
            </w:pPr>
            <w:r w:rsidRPr="008C7B44">
              <w:rPr>
                <w:rFonts w:cstheme="minorHAnsi"/>
                <w:sz w:val="16"/>
                <w:szCs w:val="16"/>
              </w:rPr>
              <w:t>-</w:t>
            </w:r>
          </w:p>
        </w:tc>
        <w:tc>
          <w:tcPr>
            <w:tcW w:w="850" w:type="dxa"/>
          </w:tcPr>
          <w:p w:rsidR="000218B7" w:rsidRPr="008C7B44" w:rsidRDefault="000218B7" w:rsidP="00A252C4">
            <w:pPr>
              <w:jc w:val="left"/>
              <w:rPr>
                <w:rFonts w:cstheme="minorHAnsi"/>
                <w:sz w:val="16"/>
                <w:szCs w:val="16"/>
              </w:rPr>
            </w:pPr>
            <w:r w:rsidRPr="008C7B44">
              <w:rPr>
                <w:rFonts w:cstheme="minorHAnsi"/>
                <w:sz w:val="16"/>
                <w:szCs w:val="16"/>
              </w:rPr>
              <w:t>-</w:t>
            </w:r>
          </w:p>
        </w:tc>
        <w:tc>
          <w:tcPr>
            <w:tcW w:w="851" w:type="dxa"/>
          </w:tcPr>
          <w:p w:rsidR="000218B7" w:rsidRPr="008C7B44" w:rsidRDefault="000218B7" w:rsidP="00A252C4">
            <w:pPr>
              <w:jc w:val="left"/>
              <w:rPr>
                <w:rFonts w:cstheme="minorHAnsi"/>
                <w:sz w:val="16"/>
                <w:szCs w:val="16"/>
              </w:rPr>
            </w:pPr>
            <w:r w:rsidRPr="008C7B44">
              <w:rPr>
                <w:rFonts w:cstheme="minorHAnsi"/>
                <w:sz w:val="16"/>
                <w:szCs w:val="16"/>
              </w:rPr>
              <w:t>-</w:t>
            </w:r>
          </w:p>
        </w:tc>
        <w:tc>
          <w:tcPr>
            <w:tcW w:w="992" w:type="dxa"/>
            <w:vAlign w:val="bottom"/>
          </w:tcPr>
          <w:p w:rsidR="000218B7" w:rsidRPr="008C7B44" w:rsidRDefault="000218B7" w:rsidP="00A252C4">
            <w:pPr>
              <w:jc w:val="left"/>
              <w:rPr>
                <w:rFonts w:cstheme="minorHAnsi"/>
                <w:sz w:val="16"/>
                <w:szCs w:val="16"/>
              </w:rPr>
            </w:pPr>
            <w:r w:rsidRPr="008C7B44">
              <w:rPr>
                <w:color w:val="000000"/>
                <w:sz w:val="16"/>
                <w:szCs w:val="16"/>
              </w:rPr>
              <w:t>2 565 439 018</w:t>
            </w:r>
          </w:p>
        </w:tc>
        <w:tc>
          <w:tcPr>
            <w:tcW w:w="992" w:type="dxa"/>
            <w:vAlign w:val="bottom"/>
          </w:tcPr>
          <w:p w:rsidR="000218B7" w:rsidRPr="008C7B44" w:rsidRDefault="000218B7" w:rsidP="00A252C4">
            <w:pPr>
              <w:jc w:val="left"/>
              <w:rPr>
                <w:rFonts w:cstheme="minorHAnsi"/>
                <w:sz w:val="16"/>
                <w:szCs w:val="16"/>
              </w:rPr>
            </w:pPr>
            <w:r w:rsidRPr="008C7B44">
              <w:rPr>
                <w:color w:val="000000"/>
                <w:sz w:val="16"/>
                <w:szCs w:val="16"/>
              </w:rPr>
              <w:t>452 724 533</w:t>
            </w:r>
          </w:p>
        </w:tc>
        <w:tc>
          <w:tcPr>
            <w:tcW w:w="851" w:type="dxa"/>
            <w:vAlign w:val="bottom"/>
          </w:tcPr>
          <w:p w:rsidR="000218B7" w:rsidRPr="008C7B44" w:rsidRDefault="000218B7" w:rsidP="00A252C4">
            <w:pPr>
              <w:jc w:val="left"/>
              <w:rPr>
                <w:rFonts w:cstheme="minorHAnsi"/>
                <w:sz w:val="16"/>
                <w:szCs w:val="16"/>
              </w:rPr>
            </w:pPr>
            <w:r w:rsidRPr="008C7B44">
              <w:rPr>
                <w:color w:val="000000"/>
                <w:sz w:val="16"/>
                <w:szCs w:val="16"/>
              </w:rPr>
              <w:t>12902649</w:t>
            </w:r>
          </w:p>
        </w:tc>
        <w:tc>
          <w:tcPr>
            <w:tcW w:w="850" w:type="dxa"/>
            <w:vAlign w:val="bottom"/>
          </w:tcPr>
          <w:p w:rsidR="000218B7" w:rsidRPr="008C7B44" w:rsidRDefault="000218B7" w:rsidP="00A252C4">
            <w:pPr>
              <w:jc w:val="left"/>
              <w:rPr>
                <w:rFonts w:cstheme="minorHAnsi"/>
                <w:sz w:val="16"/>
                <w:szCs w:val="16"/>
              </w:rPr>
            </w:pPr>
            <w:r w:rsidRPr="008C7B44">
              <w:rPr>
                <w:color w:val="000000"/>
                <w:sz w:val="16"/>
                <w:szCs w:val="16"/>
              </w:rPr>
              <w:t>439 821 883</w:t>
            </w:r>
          </w:p>
        </w:tc>
        <w:tc>
          <w:tcPr>
            <w:tcW w:w="1134" w:type="dxa"/>
            <w:vAlign w:val="bottom"/>
          </w:tcPr>
          <w:p w:rsidR="000218B7" w:rsidRPr="008C7B44" w:rsidRDefault="000218B7" w:rsidP="00A252C4">
            <w:pPr>
              <w:jc w:val="left"/>
              <w:rPr>
                <w:rFonts w:cstheme="minorHAnsi"/>
                <w:sz w:val="16"/>
                <w:szCs w:val="16"/>
              </w:rPr>
            </w:pPr>
            <w:r w:rsidRPr="008C7B44">
              <w:rPr>
                <w:color w:val="000000"/>
                <w:sz w:val="16"/>
                <w:szCs w:val="16"/>
              </w:rPr>
              <w:t>3 018 163 551</w:t>
            </w:r>
          </w:p>
        </w:tc>
        <w:tc>
          <w:tcPr>
            <w:tcW w:w="851" w:type="dxa"/>
            <w:vAlign w:val="bottom"/>
          </w:tcPr>
          <w:p w:rsidR="000218B7" w:rsidRPr="008C7B44" w:rsidRDefault="000218B7" w:rsidP="00A252C4">
            <w:pPr>
              <w:jc w:val="left"/>
              <w:rPr>
                <w:rFonts w:cstheme="minorHAnsi"/>
                <w:sz w:val="16"/>
                <w:szCs w:val="16"/>
              </w:rPr>
            </w:pPr>
            <w:r w:rsidRPr="008C7B44">
              <w:rPr>
                <w:color w:val="000000"/>
                <w:sz w:val="16"/>
                <w:szCs w:val="16"/>
              </w:rPr>
              <w:t> </w:t>
            </w:r>
          </w:p>
        </w:tc>
        <w:tc>
          <w:tcPr>
            <w:tcW w:w="567" w:type="dxa"/>
            <w:vAlign w:val="bottom"/>
          </w:tcPr>
          <w:p w:rsidR="000218B7" w:rsidRPr="008C7B44" w:rsidRDefault="000218B7" w:rsidP="00A252C4">
            <w:pPr>
              <w:jc w:val="left"/>
              <w:rPr>
                <w:rFonts w:cstheme="minorHAnsi"/>
                <w:sz w:val="16"/>
                <w:szCs w:val="16"/>
              </w:rPr>
            </w:pPr>
            <w:r w:rsidRPr="008C7B44">
              <w:rPr>
                <w:color w:val="000000"/>
                <w:sz w:val="16"/>
                <w:szCs w:val="16"/>
              </w:rPr>
              <w:t> </w:t>
            </w:r>
          </w:p>
        </w:tc>
        <w:tc>
          <w:tcPr>
            <w:tcW w:w="1276" w:type="dxa"/>
            <w:shd w:val="clear" w:color="auto" w:fill="auto"/>
            <w:vAlign w:val="bottom"/>
          </w:tcPr>
          <w:p w:rsidR="000218B7" w:rsidRPr="008C7B44" w:rsidRDefault="000218B7" w:rsidP="00A252C4">
            <w:pPr>
              <w:jc w:val="left"/>
              <w:rPr>
                <w:rFonts w:cstheme="minorHAnsi"/>
                <w:sz w:val="16"/>
                <w:szCs w:val="16"/>
              </w:rPr>
            </w:pPr>
            <w:r w:rsidRPr="008C7B44">
              <w:rPr>
                <w:color w:val="000000"/>
                <w:sz w:val="16"/>
                <w:szCs w:val="16"/>
              </w:rPr>
              <w:t>2 342 784 566</w:t>
            </w:r>
          </w:p>
        </w:tc>
        <w:tc>
          <w:tcPr>
            <w:tcW w:w="1134" w:type="dxa"/>
            <w:shd w:val="clear" w:color="auto" w:fill="auto"/>
            <w:vAlign w:val="bottom"/>
          </w:tcPr>
          <w:p w:rsidR="000218B7" w:rsidRPr="008C7B44" w:rsidRDefault="000218B7" w:rsidP="00A252C4">
            <w:pPr>
              <w:jc w:val="left"/>
              <w:rPr>
                <w:rFonts w:cstheme="minorHAnsi"/>
                <w:sz w:val="16"/>
                <w:szCs w:val="16"/>
              </w:rPr>
            </w:pPr>
            <w:r w:rsidRPr="008C7B44">
              <w:rPr>
                <w:color w:val="000000"/>
                <w:sz w:val="16"/>
                <w:szCs w:val="16"/>
              </w:rPr>
              <w:t>413 432 570</w:t>
            </w:r>
          </w:p>
        </w:tc>
        <w:tc>
          <w:tcPr>
            <w:tcW w:w="850" w:type="dxa"/>
            <w:shd w:val="clear" w:color="auto" w:fill="auto"/>
            <w:vAlign w:val="bottom"/>
          </w:tcPr>
          <w:p w:rsidR="000218B7" w:rsidRPr="008C7B44" w:rsidRDefault="000218B7" w:rsidP="00A252C4">
            <w:pPr>
              <w:jc w:val="left"/>
              <w:rPr>
                <w:rFonts w:cstheme="minorHAnsi"/>
                <w:sz w:val="16"/>
                <w:szCs w:val="16"/>
              </w:rPr>
            </w:pPr>
            <w:r w:rsidRPr="008C7B44">
              <w:rPr>
                <w:color w:val="000000"/>
                <w:sz w:val="16"/>
                <w:szCs w:val="16"/>
              </w:rPr>
              <w:t>149539440</w:t>
            </w:r>
          </w:p>
        </w:tc>
        <w:tc>
          <w:tcPr>
            <w:tcW w:w="992" w:type="dxa"/>
            <w:shd w:val="clear" w:color="auto" w:fill="auto"/>
            <w:vAlign w:val="bottom"/>
          </w:tcPr>
          <w:p w:rsidR="000218B7" w:rsidRPr="008C7B44" w:rsidRDefault="000218B7" w:rsidP="00A252C4">
            <w:pPr>
              <w:jc w:val="left"/>
              <w:rPr>
                <w:rFonts w:cstheme="minorHAnsi"/>
                <w:sz w:val="16"/>
                <w:szCs w:val="16"/>
              </w:rPr>
            </w:pPr>
            <w:r w:rsidRPr="008C7B44">
              <w:rPr>
                <w:color w:val="000000"/>
                <w:sz w:val="16"/>
                <w:szCs w:val="16"/>
              </w:rPr>
              <w:t>26389313</w:t>
            </w:r>
          </w:p>
        </w:tc>
        <w:tc>
          <w:tcPr>
            <w:tcW w:w="851" w:type="dxa"/>
            <w:vAlign w:val="bottom"/>
          </w:tcPr>
          <w:p w:rsidR="000218B7" w:rsidRPr="008C7B44" w:rsidRDefault="000218B7" w:rsidP="00A252C4">
            <w:pPr>
              <w:jc w:val="left"/>
              <w:rPr>
                <w:rFonts w:cstheme="minorHAnsi"/>
                <w:sz w:val="16"/>
                <w:szCs w:val="16"/>
              </w:rPr>
            </w:pPr>
            <w:r w:rsidRPr="008C7B44">
              <w:rPr>
                <w:color w:val="000000"/>
                <w:sz w:val="16"/>
                <w:szCs w:val="16"/>
              </w:rPr>
              <w:t>0,06</w:t>
            </w:r>
          </w:p>
        </w:tc>
      </w:tr>
    </w:tbl>
    <w:p w:rsidR="00AE7F37" w:rsidRPr="00AE7F37" w:rsidRDefault="00AE7F37" w:rsidP="00AE7F37"/>
    <w:p w:rsidR="00835EC3" w:rsidRDefault="00835EC3" w:rsidP="00835EC3">
      <w:pPr>
        <w:sectPr w:rsidR="00835EC3" w:rsidSect="00860EE2">
          <w:pgSz w:w="16838" w:h="11906" w:orient="landscape" w:code="9"/>
          <w:pgMar w:top="1418" w:right="1418" w:bottom="1418" w:left="2126" w:header="709" w:footer="709" w:gutter="0"/>
          <w:cols w:space="708"/>
          <w:docGrid w:linePitch="360"/>
        </w:sectPr>
      </w:pPr>
    </w:p>
    <w:p w:rsidR="00A5209E" w:rsidRPr="00BD12AB" w:rsidRDefault="00A5209E" w:rsidP="00F625C4">
      <w:pPr>
        <w:pStyle w:val="Nadpis2"/>
        <w:rPr>
          <w:rFonts w:eastAsia="Arial Unicode MS" w:cstheme="minorBidi"/>
        </w:rPr>
      </w:pPr>
      <w:bookmarkStart w:id="2993" w:name="_Toc350962110"/>
      <w:bookmarkStart w:id="2994" w:name="_Toc351471137"/>
      <w:bookmarkStart w:id="2995" w:name="_Toc392151076"/>
      <w:r w:rsidRPr="004314F4">
        <w:rPr>
          <w:rFonts w:eastAsia="Arial Unicode MS"/>
        </w:rPr>
        <w:lastRenderedPageBreak/>
        <w:t xml:space="preserve">Rozdělení </w:t>
      </w:r>
      <w:bookmarkEnd w:id="2993"/>
      <w:bookmarkEnd w:id="2994"/>
      <w:r w:rsidR="005A64BD">
        <w:rPr>
          <w:rFonts w:eastAsia="Arial Unicode MS"/>
        </w:rPr>
        <w:t>plánu financování podle prioritní osy, fondu, kategorie regionů a tematického cíle</w:t>
      </w:r>
      <w:bookmarkEnd w:id="2995"/>
      <w:r w:rsidRPr="004314F4" w:rsidDel="004C5A21">
        <w:rPr>
          <w:rFonts w:eastAsia="Arial Unicode MS"/>
        </w:rPr>
        <w:t xml:space="preserve"> </w:t>
      </w:r>
    </w:p>
    <w:p w:rsidR="00A5209E" w:rsidRDefault="005A64BD" w:rsidP="003B1D21">
      <w:pPr>
        <w:pStyle w:val="Titulek"/>
      </w:pPr>
      <w:r>
        <w:t>Rozdělení plánu financování podle prioritní osy, fondu, kategorie regionů a tematického cíle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5"/>
        <w:gridCol w:w="1041"/>
        <w:gridCol w:w="1661"/>
        <w:gridCol w:w="1279"/>
        <w:gridCol w:w="1239"/>
        <w:gridCol w:w="1702"/>
        <w:gridCol w:w="1133"/>
      </w:tblGrid>
      <w:tr w:rsidR="00E23C87" w:rsidRPr="00CC4F07" w:rsidTr="00253FFB">
        <w:trPr>
          <w:trHeight w:val="900"/>
        </w:trPr>
        <w:tc>
          <w:tcPr>
            <w:tcW w:w="1125" w:type="dxa"/>
            <w:tcBorders>
              <w:bottom w:val="single" w:sz="18" w:space="0" w:color="auto"/>
            </w:tcBorders>
            <w:shd w:val="clear" w:color="auto" w:fill="BFBFBF" w:themeFill="background1" w:themeFillShade="BF"/>
            <w:vAlign w:val="bottom"/>
          </w:tcPr>
          <w:p w:rsidR="00E23C87" w:rsidRPr="00CC4F07" w:rsidRDefault="00E23C87" w:rsidP="00A252C4">
            <w:pPr>
              <w:rPr>
                <w:rFonts w:cstheme="minorHAnsi"/>
                <w:b/>
                <w:sz w:val="16"/>
                <w:szCs w:val="16"/>
              </w:rPr>
            </w:pPr>
          </w:p>
          <w:p w:rsidR="00E23C87" w:rsidRPr="00CC4F07" w:rsidRDefault="00E23C87" w:rsidP="00A252C4">
            <w:pPr>
              <w:rPr>
                <w:rFonts w:cstheme="minorHAnsi"/>
                <w:b/>
                <w:sz w:val="16"/>
                <w:szCs w:val="16"/>
              </w:rPr>
            </w:pPr>
            <w:r w:rsidRPr="00CC4F07">
              <w:rPr>
                <w:rFonts w:cstheme="minorHAnsi"/>
                <w:b/>
                <w:sz w:val="16"/>
                <w:szCs w:val="16"/>
              </w:rPr>
              <w:t>Prioritní osa</w:t>
            </w:r>
          </w:p>
        </w:tc>
        <w:tc>
          <w:tcPr>
            <w:tcW w:w="1041" w:type="dxa"/>
            <w:tcBorders>
              <w:bottom w:val="single" w:sz="18" w:space="0" w:color="auto"/>
            </w:tcBorders>
            <w:shd w:val="clear" w:color="auto" w:fill="BFBFBF" w:themeFill="background1" w:themeFillShade="BF"/>
            <w:vAlign w:val="bottom"/>
          </w:tcPr>
          <w:p w:rsidR="00E23C87" w:rsidRPr="00CC4F07" w:rsidRDefault="00E23C87" w:rsidP="00A252C4">
            <w:pPr>
              <w:rPr>
                <w:rFonts w:cstheme="minorHAnsi"/>
                <w:b/>
                <w:sz w:val="16"/>
                <w:szCs w:val="16"/>
              </w:rPr>
            </w:pPr>
            <w:r w:rsidRPr="00CC4F07">
              <w:rPr>
                <w:rFonts w:cstheme="minorHAnsi"/>
                <w:b/>
                <w:sz w:val="16"/>
                <w:szCs w:val="16"/>
              </w:rPr>
              <w:t>Fond</w:t>
            </w:r>
          </w:p>
        </w:tc>
        <w:tc>
          <w:tcPr>
            <w:tcW w:w="1661" w:type="dxa"/>
            <w:tcBorders>
              <w:bottom w:val="single" w:sz="18" w:space="0" w:color="auto"/>
            </w:tcBorders>
            <w:shd w:val="clear" w:color="auto" w:fill="BFBFBF" w:themeFill="background1" w:themeFillShade="BF"/>
            <w:vAlign w:val="bottom"/>
          </w:tcPr>
          <w:p w:rsidR="00E23C87" w:rsidRPr="00CC4F07" w:rsidRDefault="00E23C87" w:rsidP="00A252C4">
            <w:pPr>
              <w:rPr>
                <w:rFonts w:cstheme="minorHAnsi"/>
                <w:b/>
                <w:sz w:val="16"/>
                <w:szCs w:val="16"/>
              </w:rPr>
            </w:pPr>
            <w:r w:rsidRPr="00CC4F07">
              <w:rPr>
                <w:rFonts w:cstheme="minorHAnsi"/>
                <w:b/>
                <w:sz w:val="16"/>
                <w:szCs w:val="16"/>
              </w:rPr>
              <w:t>Kategorie regionu</w:t>
            </w:r>
          </w:p>
        </w:tc>
        <w:tc>
          <w:tcPr>
            <w:tcW w:w="1279" w:type="dxa"/>
            <w:tcBorders>
              <w:bottom w:val="single" w:sz="18" w:space="0" w:color="auto"/>
            </w:tcBorders>
            <w:shd w:val="clear" w:color="auto" w:fill="BFBFBF" w:themeFill="background1" w:themeFillShade="BF"/>
            <w:vAlign w:val="bottom"/>
          </w:tcPr>
          <w:p w:rsidR="00E23C87" w:rsidRPr="00CC4F07" w:rsidRDefault="00E23C87" w:rsidP="00A252C4">
            <w:pPr>
              <w:rPr>
                <w:rFonts w:cstheme="minorHAnsi"/>
                <w:b/>
                <w:sz w:val="16"/>
                <w:szCs w:val="16"/>
              </w:rPr>
            </w:pPr>
            <w:r w:rsidRPr="00CC4F07">
              <w:rPr>
                <w:rFonts w:cstheme="minorHAnsi"/>
                <w:b/>
                <w:sz w:val="16"/>
                <w:szCs w:val="16"/>
              </w:rPr>
              <w:t>Tematický cíl</w:t>
            </w:r>
          </w:p>
        </w:tc>
        <w:tc>
          <w:tcPr>
            <w:tcW w:w="1239" w:type="dxa"/>
            <w:tcBorders>
              <w:bottom w:val="single" w:sz="18" w:space="0" w:color="auto"/>
            </w:tcBorders>
            <w:shd w:val="clear" w:color="auto" w:fill="BFBFBF" w:themeFill="background1" w:themeFillShade="BF"/>
            <w:vAlign w:val="bottom"/>
          </w:tcPr>
          <w:p w:rsidR="00E23C87" w:rsidRPr="00CC4F07" w:rsidRDefault="00E23C87" w:rsidP="00A252C4">
            <w:pPr>
              <w:rPr>
                <w:rFonts w:cstheme="minorHAnsi"/>
                <w:b/>
                <w:sz w:val="16"/>
                <w:szCs w:val="16"/>
              </w:rPr>
            </w:pPr>
            <w:r w:rsidRPr="00CC4F07">
              <w:rPr>
                <w:rFonts w:cstheme="minorHAnsi"/>
                <w:b/>
                <w:sz w:val="16"/>
                <w:szCs w:val="16"/>
              </w:rPr>
              <w:t>Podpora z EU</w:t>
            </w:r>
          </w:p>
        </w:tc>
        <w:tc>
          <w:tcPr>
            <w:tcW w:w="1702" w:type="dxa"/>
            <w:tcBorders>
              <w:bottom w:val="single" w:sz="18" w:space="0" w:color="auto"/>
            </w:tcBorders>
            <w:shd w:val="clear" w:color="auto" w:fill="BFBFBF" w:themeFill="background1" w:themeFillShade="BF"/>
            <w:vAlign w:val="bottom"/>
          </w:tcPr>
          <w:p w:rsidR="00E23C87" w:rsidRPr="00CC4F07" w:rsidRDefault="00E23C87" w:rsidP="00A252C4">
            <w:pPr>
              <w:rPr>
                <w:rFonts w:cstheme="minorHAnsi"/>
                <w:b/>
                <w:sz w:val="16"/>
                <w:szCs w:val="16"/>
              </w:rPr>
            </w:pPr>
            <w:r w:rsidRPr="00CC4F07">
              <w:rPr>
                <w:rFonts w:cstheme="minorHAnsi"/>
                <w:b/>
                <w:sz w:val="16"/>
                <w:szCs w:val="16"/>
              </w:rPr>
              <w:t>Národní spolufinancování</w:t>
            </w:r>
          </w:p>
        </w:tc>
        <w:tc>
          <w:tcPr>
            <w:tcW w:w="1133" w:type="dxa"/>
            <w:tcBorders>
              <w:bottom w:val="single" w:sz="18" w:space="0" w:color="auto"/>
            </w:tcBorders>
            <w:shd w:val="clear" w:color="auto" w:fill="BFBFBF" w:themeFill="background1" w:themeFillShade="BF"/>
            <w:vAlign w:val="bottom"/>
          </w:tcPr>
          <w:p w:rsidR="00E23C87" w:rsidRPr="00CC4F07" w:rsidRDefault="00E23C87" w:rsidP="00A252C4">
            <w:pPr>
              <w:rPr>
                <w:rFonts w:cstheme="minorHAnsi"/>
                <w:b/>
                <w:sz w:val="16"/>
                <w:szCs w:val="16"/>
              </w:rPr>
            </w:pPr>
            <w:r w:rsidRPr="00CC4F07">
              <w:rPr>
                <w:rFonts w:cstheme="minorHAnsi"/>
                <w:b/>
                <w:sz w:val="16"/>
                <w:szCs w:val="16"/>
              </w:rPr>
              <w:t>Celkový příspěvek</w:t>
            </w:r>
          </w:p>
        </w:tc>
      </w:tr>
      <w:tr w:rsidR="006949A8" w:rsidRPr="00CC4F07" w:rsidTr="008656C6">
        <w:trPr>
          <w:trHeight w:val="484"/>
        </w:trPr>
        <w:tc>
          <w:tcPr>
            <w:tcW w:w="1125" w:type="dxa"/>
            <w:vMerge w:val="restart"/>
            <w:tcBorders>
              <w:top w:val="single" w:sz="18" w:space="0" w:color="auto"/>
            </w:tcBorders>
            <w:shd w:val="clear" w:color="auto" w:fill="D9D9D9" w:themeFill="background1" w:themeFillShade="D9"/>
            <w:vAlign w:val="center"/>
          </w:tcPr>
          <w:p w:rsidR="006949A8" w:rsidRPr="00CC4F07" w:rsidRDefault="006949A8" w:rsidP="008656C6">
            <w:pPr>
              <w:jc w:val="center"/>
              <w:rPr>
                <w:rFonts w:cstheme="minorHAnsi"/>
                <w:sz w:val="16"/>
                <w:szCs w:val="16"/>
              </w:rPr>
            </w:pPr>
            <w:r w:rsidRPr="00CC4F07">
              <w:rPr>
                <w:rFonts w:cstheme="minorHAnsi"/>
                <w:sz w:val="16"/>
                <w:szCs w:val="16"/>
              </w:rPr>
              <w:t>Prioritní osa 1</w:t>
            </w:r>
          </w:p>
        </w:tc>
        <w:tc>
          <w:tcPr>
            <w:tcW w:w="1041" w:type="dxa"/>
            <w:tcBorders>
              <w:top w:val="single" w:sz="18" w:space="0" w:color="auto"/>
            </w:tcBorders>
          </w:tcPr>
          <w:p w:rsidR="006949A8" w:rsidRPr="00CC4F07" w:rsidRDefault="006949A8" w:rsidP="008E28C6">
            <w:pPr>
              <w:jc w:val="center"/>
              <w:rPr>
                <w:rFonts w:cstheme="minorHAnsi"/>
                <w:sz w:val="16"/>
                <w:szCs w:val="16"/>
              </w:rPr>
            </w:pPr>
            <w:r w:rsidRPr="00CC4F07">
              <w:rPr>
                <w:rFonts w:cstheme="minorHAnsi"/>
                <w:sz w:val="16"/>
                <w:szCs w:val="16"/>
              </w:rPr>
              <w:t>FS</w:t>
            </w:r>
          </w:p>
        </w:tc>
        <w:tc>
          <w:tcPr>
            <w:tcW w:w="1661" w:type="dxa"/>
            <w:tcBorders>
              <w:top w:val="single" w:sz="18" w:space="0" w:color="auto"/>
            </w:tcBorders>
          </w:tcPr>
          <w:p w:rsidR="006949A8" w:rsidRPr="00CC4F07" w:rsidRDefault="006949A8" w:rsidP="008E28C6">
            <w:pPr>
              <w:jc w:val="center"/>
              <w:rPr>
                <w:rFonts w:cstheme="minorHAnsi"/>
                <w:sz w:val="16"/>
                <w:szCs w:val="16"/>
              </w:rPr>
            </w:pPr>
            <w:r w:rsidRPr="00CC4F07">
              <w:rPr>
                <w:rFonts w:cstheme="minorHAnsi"/>
                <w:sz w:val="16"/>
                <w:szCs w:val="16"/>
              </w:rPr>
              <w:t>Není relevantní</w:t>
            </w:r>
          </w:p>
        </w:tc>
        <w:tc>
          <w:tcPr>
            <w:tcW w:w="1279" w:type="dxa"/>
            <w:tcBorders>
              <w:top w:val="single" w:sz="18" w:space="0" w:color="auto"/>
            </w:tcBorders>
          </w:tcPr>
          <w:p w:rsidR="006949A8" w:rsidRPr="008E28C6" w:rsidRDefault="006949A8" w:rsidP="008E28C6">
            <w:pPr>
              <w:jc w:val="center"/>
              <w:rPr>
                <w:rFonts w:cstheme="minorHAnsi"/>
                <w:sz w:val="16"/>
                <w:szCs w:val="16"/>
              </w:rPr>
            </w:pPr>
            <w:r w:rsidRPr="008E28C6">
              <w:rPr>
                <w:rFonts w:cstheme="minorHAnsi"/>
                <w:sz w:val="16"/>
                <w:szCs w:val="16"/>
              </w:rPr>
              <w:t>TC 5</w:t>
            </w:r>
          </w:p>
        </w:tc>
        <w:tc>
          <w:tcPr>
            <w:tcW w:w="1239" w:type="dxa"/>
            <w:tcBorders>
              <w:top w:val="single" w:sz="18" w:space="0" w:color="auto"/>
            </w:tcBorders>
          </w:tcPr>
          <w:p w:rsidR="006949A8" w:rsidRPr="008E28C6" w:rsidRDefault="002302FB" w:rsidP="008E28C6">
            <w:pPr>
              <w:jc w:val="center"/>
              <w:rPr>
                <w:rFonts w:cstheme="minorHAnsi"/>
                <w:sz w:val="16"/>
                <w:szCs w:val="16"/>
              </w:rPr>
            </w:pPr>
            <w:r>
              <w:rPr>
                <w:rFonts w:cstheme="minorHAnsi"/>
                <w:sz w:val="16"/>
                <w:szCs w:val="16"/>
              </w:rPr>
              <w:t>287 329 170</w:t>
            </w:r>
          </w:p>
        </w:tc>
        <w:tc>
          <w:tcPr>
            <w:tcW w:w="1702" w:type="dxa"/>
            <w:tcBorders>
              <w:top w:val="single" w:sz="18" w:space="0" w:color="auto"/>
            </w:tcBorders>
          </w:tcPr>
          <w:p w:rsidR="006949A8" w:rsidRPr="008E28C6" w:rsidRDefault="00584BF8" w:rsidP="00584BF8">
            <w:pPr>
              <w:jc w:val="center"/>
              <w:rPr>
                <w:rFonts w:cstheme="minorHAnsi"/>
                <w:sz w:val="16"/>
                <w:szCs w:val="16"/>
              </w:rPr>
            </w:pPr>
            <w:r>
              <w:rPr>
                <w:rFonts w:cstheme="minorHAnsi"/>
                <w:sz w:val="16"/>
                <w:szCs w:val="16"/>
              </w:rPr>
              <w:t>50 705 148</w:t>
            </w:r>
          </w:p>
        </w:tc>
        <w:tc>
          <w:tcPr>
            <w:tcW w:w="1133" w:type="dxa"/>
            <w:tcBorders>
              <w:top w:val="single" w:sz="18" w:space="0" w:color="auto"/>
            </w:tcBorders>
          </w:tcPr>
          <w:p w:rsidR="006949A8" w:rsidRPr="008E28C6" w:rsidRDefault="00584BF8" w:rsidP="008E28C6">
            <w:pPr>
              <w:jc w:val="center"/>
              <w:rPr>
                <w:rFonts w:cstheme="minorHAnsi"/>
                <w:sz w:val="16"/>
                <w:szCs w:val="16"/>
              </w:rPr>
            </w:pPr>
            <w:r>
              <w:rPr>
                <w:rFonts w:cstheme="minorHAnsi"/>
                <w:sz w:val="16"/>
                <w:szCs w:val="16"/>
              </w:rPr>
              <w:t>338 034 318</w:t>
            </w:r>
          </w:p>
        </w:tc>
      </w:tr>
      <w:tr w:rsidR="006949A8" w:rsidRPr="00CC4F07" w:rsidTr="008E28C6">
        <w:trPr>
          <w:trHeight w:val="501"/>
        </w:trPr>
        <w:tc>
          <w:tcPr>
            <w:tcW w:w="1125" w:type="dxa"/>
            <w:vMerge/>
            <w:shd w:val="clear" w:color="auto" w:fill="D9D9D9" w:themeFill="background1" w:themeFillShade="D9"/>
          </w:tcPr>
          <w:p w:rsidR="006949A8" w:rsidRPr="00CC4F07" w:rsidRDefault="006949A8" w:rsidP="00BB1661">
            <w:pPr>
              <w:jc w:val="center"/>
              <w:rPr>
                <w:rFonts w:cstheme="minorHAnsi"/>
                <w:sz w:val="16"/>
                <w:szCs w:val="16"/>
              </w:rPr>
            </w:pPr>
          </w:p>
        </w:tc>
        <w:tc>
          <w:tcPr>
            <w:tcW w:w="1041" w:type="dxa"/>
          </w:tcPr>
          <w:p w:rsidR="006949A8" w:rsidRPr="00CC4F07" w:rsidRDefault="006949A8" w:rsidP="00BB1661">
            <w:pPr>
              <w:jc w:val="center"/>
              <w:rPr>
                <w:rFonts w:cstheme="minorHAnsi"/>
                <w:sz w:val="16"/>
                <w:szCs w:val="16"/>
              </w:rPr>
            </w:pPr>
            <w:r w:rsidRPr="00CC4F07">
              <w:rPr>
                <w:rFonts w:cstheme="minorHAnsi"/>
                <w:sz w:val="16"/>
                <w:szCs w:val="16"/>
              </w:rPr>
              <w:t>FS</w:t>
            </w:r>
          </w:p>
        </w:tc>
        <w:tc>
          <w:tcPr>
            <w:tcW w:w="1661" w:type="dxa"/>
          </w:tcPr>
          <w:p w:rsidR="006949A8" w:rsidRPr="00CC4F07" w:rsidRDefault="006949A8" w:rsidP="00BB1661">
            <w:pPr>
              <w:jc w:val="center"/>
              <w:rPr>
                <w:rFonts w:cstheme="minorHAnsi"/>
                <w:sz w:val="16"/>
                <w:szCs w:val="16"/>
              </w:rPr>
            </w:pPr>
            <w:r w:rsidRPr="00CC4F07">
              <w:rPr>
                <w:rFonts w:cstheme="minorHAnsi"/>
                <w:sz w:val="16"/>
                <w:szCs w:val="16"/>
              </w:rPr>
              <w:t>Není relevantní</w:t>
            </w:r>
          </w:p>
        </w:tc>
        <w:tc>
          <w:tcPr>
            <w:tcW w:w="1279" w:type="dxa"/>
          </w:tcPr>
          <w:p w:rsidR="006949A8" w:rsidRPr="008E28C6" w:rsidRDefault="006949A8" w:rsidP="008E28C6">
            <w:pPr>
              <w:jc w:val="center"/>
              <w:rPr>
                <w:rFonts w:cstheme="minorHAnsi"/>
                <w:sz w:val="16"/>
                <w:szCs w:val="16"/>
              </w:rPr>
            </w:pPr>
            <w:r w:rsidRPr="008E28C6">
              <w:rPr>
                <w:rFonts w:cstheme="minorHAnsi"/>
                <w:sz w:val="16"/>
                <w:szCs w:val="16"/>
              </w:rPr>
              <w:t>TC 6</w:t>
            </w:r>
          </w:p>
        </w:tc>
        <w:tc>
          <w:tcPr>
            <w:tcW w:w="1239" w:type="dxa"/>
          </w:tcPr>
          <w:p w:rsidR="006949A8" w:rsidRPr="008E28C6" w:rsidRDefault="002302FB" w:rsidP="008E28C6">
            <w:pPr>
              <w:jc w:val="center"/>
              <w:rPr>
                <w:rFonts w:ascii="Calibri" w:hAnsi="Calibri"/>
                <w:color w:val="000000"/>
                <w:sz w:val="16"/>
                <w:szCs w:val="16"/>
              </w:rPr>
            </w:pPr>
            <w:r>
              <w:rPr>
                <w:rFonts w:ascii="Calibri" w:hAnsi="Calibri"/>
                <w:color w:val="000000"/>
                <w:sz w:val="16"/>
                <w:szCs w:val="16"/>
              </w:rPr>
              <w:t>430 993 755</w:t>
            </w:r>
          </w:p>
        </w:tc>
        <w:tc>
          <w:tcPr>
            <w:tcW w:w="1702" w:type="dxa"/>
          </w:tcPr>
          <w:p w:rsidR="006949A8" w:rsidRPr="008E28C6" w:rsidRDefault="00BB34CD" w:rsidP="00BB34CD">
            <w:pPr>
              <w:jc w:val="center"/>
              <w:rPr>
                <w:rFonts w:ascii="Calibri" w:hAnsi="Calibri"/>
                <w:color w:val="000000"/>
                <w:sz w:val="16"/>
                <w:szCs w:val="16"/>
              </w:rPr>
            </w:pPr>
            <w:r>
              <w:rPr>
                <w:rFonts w:ascii="Calibri" w:hAnsi="Calibri"/>
                <w:color w:val="000000"/>
                <w:sz w:val="16"/>
                <w:szCs w:val="16"/>
              </w:rPr>
              <w:t>76 057 721</w:t>
            </w:r>
          </w:p>
        </w:tc>
        <w:tc>
          <w:tcPr>
            <w:tcW w:w="1133" w:type="dxa"/>
          </w:tcPr>
          <w:p w:rsidR="006949A8" w:rsidRPr="008E28C6" w:rsidRDefault="00BB34CD" w:rsidP="008E28C6">
            <w:pPr>
              <w:jc w:val="center"/>
              <w:rPr>
                <w:rFonts w:ascii="Calibri" w:hAnsi="Calibri"/>
                <w:color w:val="000000"/>
                <w:sz w:val="16"/>
                <w:szCs w:val="16"/>
              </w:rPr>
            </w:pPr>
            <w:r>
              <w:rPr>
                <w:rFonts w:ascii="Calibri" w:hAnsi="Calibri"/>
                <w:color w:val="000000"/>
                <w:sz w:val="16"/>
                <w:szCs w:val="16"/>
              </w:rPr>
              <w:t>507 051 476</w:t>
            </w:r>
          </w:p>
        </w:tc>
      </w:tr>
      <w:tr w:rsidR="008E28C6" w:rsidRPr="00CC4F07" w:rsidTr="008E28C6">
        <w:trPr>
          <w:trHeight w:val="501"/>
        </w:trPr>
        <w:tc>
          <w:tcPr>
            <w:tcW w:w="1125" w:type="dxa"/>
            <w:shd w:val="clear" w:color="auto" w:fill="D9D9D9" w:themeFill="background1" w:themeFillShade="D9"/>
          </w:tcPr>
          <w:p w:rsidR="008E28C6" w:rsidRPr="00CC4F07" w:rsidRDefault="008E28C6" w:rsidP="008E28C6">
            <w:pPr>
              <w:jc w:val="center"/>
              <w:rPr>
                <w:rFonts w:cstheme="minorHAnsi"/>
                <w:sz w:val="16"/>
                <w:szCs w:val="16"/>
              </w:rPr>
            </w:pPr>
            <w:r w:rsidRPr="00CC4F07">
              <w:rPr>
                <w:rFonts w:cstheme="minorHAnsi"/>
                <w:sz w:val="16"/>
                <w:szCs w:val="16"/>
              </w:rPr>
              <w:t>Prioritní osa 2</w:t>
            </w:r>
          </w:p>
        </w:tc>
        <w:tc>
          <w:tcPr>
            <w:tcW w:w="1041" w:type="dxa"/>
          </w:tcPr>
          <w:p w:rsidR="008E28C6" w:rsidRPr="00CC4F07" w:rsidRDefault="008E28C6" w:rsidP="008E28C6">
            <w:pPr>
              <w:jc w:val="center"/>
              <w:rPr>
                <w:rFonts w:cstheme="minorHAnsi"/>
                <w:sz w:val="16"/>
                <w:szCs w:val="16"/>
              </w:rPr>
            </w:pPr>
            <w:r w:rsidRPr="00CC4F07">
              <w:rPr>
                <w:rFonts w:cstheme="minorHAnsi"/>
                <w:sz w:val="16"/>
                <w:szCs w:val="16"/>
              </w:rPr>
              <w:t>FS</w:t>
            </w:r>
          </w:p>
        </w:tc>
        <w:tc>
          <w:tcPr>
            <w:tcW w:w="1661" w:type="dxa"/>
          </w:tcPr>
          <w:p w:rsidR="008E28C6" w:rsidRPr="00CC4F07" w:rsidRDefault="008E28C6" w:rsidP="008E28C6">
            <w:pPr>
              <w:jc w:val="center"/>
              <w:rPr>
                <w:rFonts w:cstheme="minorHAnsi"/>
                <w:sz w:val="16"/>
                <w:szCs w:val="16"/>
              </w:rPr>
            </w:pPr>
            <w:r w:rsidRPr="00CC4F07">
              <w:rPr>
                <w:rFonts w:cstheme="minorHAnsi"/>
                <w:sz w:val="16"/>
                <w:szCs w:val="16"/>
              </w:rPr>
              <w:t>Není relevantní</w:t>
            </w:r>
          </w:p>
        </w:tc>
        <w:tc>
          <w:tcPr>
            <w:tcW w:w="1279" w:type="dxa"/>
          </w:tcPr>
          <w:p w:rsidR="008E28C6" w:rsidRPr="008E28C6" w:rsidRDefault="008E28C6" w:rsidP="008E28C6">
            <w:pPr>
              <w:jc w:val="center"/>
              <w:rPr>
                <w:rFonts w:cstheme="minorHAnsi"/>
                <w:sz w:val="16"/>
                <w:szCs w:val="16"/>
              </w:rPr>
            </w:pPr>
            <w:r w:rsidRPr="008E28C6">
              <w:rPr>
                <w:rFonts w:cstheme="minorHAnsi"/>
                <w:sz w:val="16"/>
                <w:szCs w:val="16"/>
              </w:rPr>
              <w:t>TC 6</w:t>
            </w:r>
          </w:p>
        </w:tc>
        <w:tc>
          <w:tcPr>
            <w:tcW w:w="1239" w:type="dxa"/>
          </w:tcPr>
          <w:p w:rsidR="008E28C6" w:rsidRPr="008E28C6" w:rsidRDefault="008E28C6" w:rsidP="008E28C6">
            <w:pPr>
              <w:jc w:val="center"/>
              <w:rPr>
                <w:rFonts w:cstheme="minorHAnsi"/>
                <w:sz w:val="16"/>
                <w:szCs w:val="16"/>
              </w:rPr>
            </w:pPr>
            <w:r w:rsidRPr="008E28C6">
              <w:rPr>
                <w:rFonts w:ascii="Calibri" w:hAnsi="Calibri"/>
                <w:color w:val="000000"/>
                <w:sz w:val="16"/>
                <w:szCs w:val="16"/>
              </w:rPr>
              <w:t>453 819 065</w:t>
            </w:r>
          </w:p>
        </w:tc>
        <w:tc>
          <w:tcPr>
            <w:tcW w:w="1702" w:type="dxa"/>
          </w:tcPr>
          <w:p w:rsidR="008E28C6" w:rsidRPr="008E28C6" w:rsidRDefault="008E28C6" w:rsidP="008E28C6">
            <w:pPr>
              <w:jc w:val="center"/>
              <w:rPr>
                <w:rFonts w:cstheme="minorHAnsi"/>
                <w:sz w:val="16"/>
                <w:szCs w:val="16"/>
              </w:rPr>
            </w:pPr>
            <w:r w:rsidRPr="008E28C6">
              <w:rPr>
                <w:rFonts w:ascii="Calibri" w:hAnsi="Calibri"/>
                <w:color w:val="000000"/>
                <w:sz w:val="16"/>
                <w:szCs w:val="16"/>
              </w:rPr>
              <w:t>80 085 717</w:t>
            </w:r>
          </w:p>
        </w:tc>
        <w:tc>
          <w:tcPr>
            <w:tcW w:w="1133" w:type="dxa"/>
          </w:tcPr>
          <w:p w:rsidR="008E28C6" w:rsidRPr="008E28C6" w:rsidRDefault="008E28C6" w:rsidP="008E28C6">
            <w:pPr>
              <w:jc w:val="center"/>
              <w:rPr>
                <w:rFonts w:cstheme="minorHAnsi"/>
                <w:sz w:val="16"/>
                <w:szCs w:val="16"/>
              </w:rPr>
            </w:pPr>
            <w:r w:rsidRPr="008E28C6">
              <w:rPr>
                <w:rFonts w:ascii="Calibri" w:hAnsi="Calibri"/>
                <w:color w:val="000000"/>
                <w:sz w:val="16"/>
                <w:szCs w:val="16"/>
              </w:rPr>
              <w:t>533 904 782</w:t>
            </w:r>
          </w:p>
        </w:tc>
      </w:tr>
      <w:tr w:rsidR="008E28C6" w:rsidRPr="00CC4F07" w:rsidTr="008656C6">
        <w:trPr>
          <w:trHeight w:val="511"/>
        </w:trPr>
        <w:tc>
          <w:tcPr>
            <w:tcW w:w="1125" w:type="dxa"/>
            <w:vMerge w:val="restart"/>
            <w:shd w:val="clear" w:color="auto" w:fill="D9D9D9" w:themeFill="background1" w:themeFillShade="D9"/>
            <w:vAlign w:val="center"/>
          </w:tcPr>
          <w:p w:rsidR="008E28C6" w:rsidRPr="00CC4F07" w:rsidRDefault="008E28C6" w:rsidP="008656C6">
            <w:pPr>
              <w:jc w:val="center"/>
              <w:rPr>
                <w:rFonts w:cstheme="minorHAnsi"/>
                <w:sz w:val="16"/>
                <w:szCs w:val="16"/>
              </w:rPr>
            </w:pPr>
            <w:r w:rsidRPr="00CC4F07">
              <w:rPr>
                <w:rFonts w:cstheme="minorHAnsi"/>
                <w:sz w:val="16"/>
                <w:szCs w:val="16"/>
              </w:rPr>
              <w:t>Prioritní osa 3</w:t>
            </w:r>
          </w:p>
        </w:tc>
        <w:tc>
          <w:tcPr>
            <w:tcW w:w="1041" w:type="dxa"/>
          </w:tcPr>
          <w:p w:rsidR="008E28C6" w:rsidRPr="00CC4F07" w:rsidRDefault="008E28C6" w:rsidP="008E28C6">
            <w:pPr>
              <w:jc w:val="center"/>
              <w:rPr>
                <w:rFonts w:cstheme="minorHAnsi"/>
                <w:sz w:val="16"/>
                <w:szCs w:val="16"/>
              </w:rPr>
            </w:pPr>
            <w:r w:rsidRPr="00CC4F07">
              <w:rPr>
                <w:rFonts w:cstheme="minorHAnsi"/>
                <w:sz w:val="16"/>
                <w:szCs w:val="16"/>
              </w:rPr>
              <w:t>FS</w:t>
            </w:r>
          </w:p>
        </w:tc>
        <w:tc>
          <w:tcPr>
            <w:tcW w:w="1661" w:type="dxa"/>
          </w:tcPr>
          <w:p w:rsidR="008E28C6" w:rsidRPr="00CC4F07" w:rsidRDefault="008E28C6" w:rsidP="008E28C6">
            <w:pPr>
              <w:jc w:val="center"/>
              <w:rPr>
                <w:rFonts w:cstheme="minorHAnsi"/>
                <w:sz w:val="16"/>
                <w:szCs w:val="16"/>
              </w:rPr>
            </w:pPr>
            <w:r w:rsidRPr="00CC4F07">
              <w:rPr>
                <w:rFonts w:cstheme="minorHAnsi"/>
                <w:sz w:val="16"/>
                <w:szCs w:val="16"/>
              </w:rPr>
              <w:t>Není relevantní</w:t>
            </w:r>
          </w:p>
        </w:tc>
        <w:tc>
          <w:tcPr>
            <w:tcW w:w="1279" w:type="dxa"/>
          </w:tcPr>
          <w:p w:rsidR="008E28C6" w:rsidRPr="00CC4F07" w:rsidRDefault="008E28C6" w:rsidP="007C3E7B">
            <w:pPr>
              <w:jc w:val="center"/>
              <w:rPr>
                <w:rFonts w:cstheme="minorHAnsi"/>
                <w:sz w:val="16"/>
                <w:szCs w:val="16"/>
              </w:rPr>
            </w:pPr>
            <w:r w:rsidRPr="00CC4F07">
              <w:rPr>
                <w:rFonts w:cstheme="minorHAnsi"/>
                <w:sz w:val="16"/>
                <w:szCs w:val="16"/>
              </w:rPr>
              <w:t>TC 5</w:t>
            </w:r>
          </w:p>
        </w:tc>
        <w:tc>
          <w:tcPr>
            <w:tcW w:w="1239" w:type="dxa"/>
          </w:tcPr>
          <w:p w:rsidR="008E28C6" w:rsidRPr="008C7B44" w:rsidRDefault="00BB46C7" w:rsidP="008E28C6">
            <w:pPr>
              <w:jc w:val="center"/>
              <w:rPr>
                <w:rFonts w:cstheme="minorHAnsi"/>
                <w:sz w:val="16"/>
                <w:szCs w:val="16"/>
              </w:rPr>
            </w:pPr>
            <w:r>
              <w:rPr>
                <w:rFonts w:cstheme="minorHAnsi"/>
                <w:sz w:val="16"/>
                <w:szCs w:val="16"/>
              </w:rPr>
              <w:t>115 468 727</w:t>
            </w:r>
          </w:p>
        </w:tc>
        <w:tc>
          <w:tcPr>
            <w:tcW w:w="1702" w:type="dxa"/>
          </w:tcPr>
          <w:p w:rsidR="008E28C6" w:rsidRPr="008C7B44" w:rsidRDefault="00BB46C7" w:rsidP="00BB46C7">
            <w:pPr>
              <w:jc w:val="center"/>
              <w:rPr>
                <w:rFonts w:cstheme="minorHAnsi"/>
                <w:sz w:val="16"/>
                <w:szCs w:val="16"/>
              </w:rPr>
            </w:pPr>
            <w:r>
              <w:rPr>
                <w:rFonts w:cstheme="minorHAnsi"/>
                <w:sz w:val="16"/>
                <w:szCs w:val="16"/>
              </w:rPr>
              <w:t xml:space="preserve">20 376 834 </w:t>
            </w:r>
          </w:p>
        </w:tc>
        <w:tc>
          <w:tcPr>
            <w:tcW w:w="1133" w:type="dxa"/>
          </w:tcPr>
          <w:p w:rsidR="008E28C6" w:rsidRPr="008C7B44" w:rsidRDefault="00BB46C7" w:rsidP="008E28C6">
            <w:pPr>
              <w:jc w:val="center"/>
              <w:rPr>
                <w:rFonts w:cstheme="minorHAnsi"/>
                <w:sz w:val="16"/>
                <w:szCs w:val="16"/>
              </w:rPr>
            </w:pPr>
            <w:r>
              <w:rPr>
                <w:rFonts w:cstheme="minorHAnsi"/>
                <w:sz w:val="16"/>
                <w:szCs w:val="16"/>
              </w:rPr>
              <w:t>135 845 561</w:t>
            </w:r>
          </w:p>
        </w:tc>
      </w:tr>
      <w:tr w:rsidR="007C3E7B" w:rsidRPr="00CC4F07" w:rsidTr="008E28C6">
        <w:trPr>
          <w:trHeight w:val="511"/>
        </w:trPr>
        <w:tc>
          <w:tcPr>
            <w:tcW w:w="1125" w:type="dxa"/>
            <w:vMerge/>
            <w:shd w:val="clear" w:color="auto" w:fill="D9D9D9" w:themeFill="background1" w:themeFillShade="D9"/>
          </w:tcPr>
          <w:p w:rsidR="007C3E7B" w:rsidRPr="00CC4F07" w:rsidRDefault="007C3E7B" w:rsidP="008E28C6">
            <w:pPr>
              <w:jc w:val="center"/>
              <w:rPr>
                <w:rFonts w:cstheme="minorHAnsi"/>
                <w:sz w:val="16"/>
                <w:szCs w:val="16"/>
              </w:rPr>
            </w:pPr>
          </w:p>
        </w:tc>
        <w:tc>
          <w:tcPr>
            <w:tcW w:w="1041" w:type="dxa"/>
          </w:tcPr>
          <w:p w:rsidR="007C3E7B" w:rsidRPr="00CC4F07" w:rsidRDefault="007C3E7B" w:rsidP="008E28C6">
            <w:pPr>
              <w:jc w:val="center"/>
              <w:rPr>
                <w:rFonts w:cstheme="minorHAnsi"/>
                <w:sz w:val="16"/>
                <w:szCs w:val="16"/>
              </w:rPr>
            </w:pPr>
            <w:r>
              <w:rPr>
                <w:rFonts w:cstheme="minorHAnsi"/>
                <w:sz w:val="16"/>
                <w:szCs w:val="16"/>
              </w:rPr>
              <w:t>FS</w:t>
            </w:r>
          </w:p>
        </w:tc>
        <w:tc>
          <w:tcPr>
            <w:tcW w:w="1661" w:type="dxa"/>
          </w:tcPr>
          <w:p w:rsidR="007C3E7B" w:rsidRPr="00CC4F07" w:rsidRDefault="007C3E7B" w:rsidP="008E28C6">
            <w:pPr>
              <w:jc w:val="center"/>
              <w:rPr>
                <w:rFonts w:cstheme="minorHAnsi"/>
                <w:sz w:val="16"/>
                <w:szCs w:val="16"/>
              </w:rPr>
            </w:pPr>
            <w:r w:rsidRPr="00CC4F07">
              <w:rPr>
                <w:rFonts w:cstheme="minorHAnsi"/>
                <w:sz w:val="16"/>
                <w:szCs w:val="16"/>
              </w:rPr>
              <w:t>Není relevantní</w:t>
            </w:r>
          </w:p>
        </w:tc>
        <w:tc>
          <w:tcPr>
            <w:tcW w:w="1279" w:type="dxa"/>
          </w:tcPr>
          <w:p w:rsidR="007C3E7B" w:rsidRPr="00CC4F07" w:rsidRDefault="007C3E7B" w:rsidP="008E28C6">
            <w:pPr>
              <w:jc w:val="center"/>
              <w:rPr>
                <w:rFonts w:cstheme="minorHAnsi"/>
                <w:sz w:val="16"/>
                <w:szCs w:val="16"/>
              </w:rPr>
            </w:pPr>
            <w:r w:rsidRPr="00CC4F07">
              <w:rPr>
                <w:rFonts w:cstheme="minorHAnsi"/>
                <w:sz w:val="16"/>
                <w:szCs w:val="16"/>
              </w:rPr>
              <w:t>TC 6</w:t>
            </w:r>
          </w:p>
        </w:tc>
        <w:tc>
          <w:tcPr>
            <w:tcW w:w="1239" w:type="dxa"/>
          </w:tcPr>
          <w:p w:rsidR="007C3E7B" w:rsidRPr="008C7B44" w:rsidRDefault="00BB46C7" w:rsidP="00BB46C7">
            <w:pPr>
              <w:jc w:val="center"/>
              <w:rPr>
                <w:color w:val="000000"/>
                <w:sz w:val="16"/>
                <w:szCs w:val="16"/>
              </w:rPr>
            </w:pPr>
            <w:r w:rsidRPr="00BB46C7">
              <w:rPr>
                <w:color w:val="000000"/>
                <w:sz w:val="16"/>
                <w:szCs w:val="16"/>
              </w:rPr>
              <w:t>320 262 317</w:t>
            </w:r>
          </w:p>
        </w:tc>
        <w:tc>
          <w:tcPr>
            <w:tcW w:w="1702" w:type="dxa"/>
          </w:tcPr>
          <w:p w:rsidR="007C3E7B" w:rsidRPr="008C7B44" w:rsidRDefault="00BB46C7" w:rsidP="00BB46C7">
            <w:pPr>
              <w:jc w:val="center"/>
              <w:rPr>
                <w:color w:val="000000"/>
                <w:sz w:val="16"/>
                <w:szCs w:val="16"/>
              </w:rPr>
            </w:pPr>
            <w:r>
              <w:rPr>
                <w:color w:val="000000"/>
                <w:sz w:val="16"/>
                <w:szCs w:val="16"/>
              </w:rPr>
              <w:t>56 516 880</w:t>
            </w:r>
          </w:p>
        </w:tc>
        <w:tc>
          <w:tcPr>
            <w:tcW w:w="1133" w:type="dxa"/>
          </w:tcPr>
          <w:p w:rsidR="007C3E7B" w:rsidRPr="008C7B44" w:rsidRDefault="00BB46C7" w:rsidP="008E28C6">
            <w:pPr>
              <w:jc w:val="center"/>
              <w:rPr>
                <w:color w:val="000000"/>
                <w:sz w:val="16"/>
                <w:szCs w:val="16"/>
              </w:rPr>
            </w:pPr>
            <w:r>
              <w:rPr>
                <w:color w:val="000000"/>
                <w:sz w:val="16"/>
                <w:szCs w:val="16"/>
              </w:rPr>
              <w:t>376 779 197</w:t>
            </w:r>
          </w:p>
        </w:tc>
      </w:tr>
      <w:tr w:rsidR="008E28C6" w:rsidRPr="00CC4F07" w:rsidTr="008E28C6">
        <w:trPr>
          <w:trHeight w:val="511"/>
        </w:trPr>
        <w:tc>
          <w:tcPr>
            <w:tcW w:w="1125" w:type="dxa"/>
            <w:vMerge/>
            <w:shd w:val="clear" w:color="auto" w:fill="D9D9D9" w:themeFill="background1" w:themeFillShade="D9"/>
          </w:tcPr>
          <w:p w:rsidR="008E28C6" w:rsidRPr="00CC4F07" w:rsidRDefault="008E28C6" w:rsidP="008E28C6">
            <w:pPr>
              <w:jc w:val="center"/>
              <w:rPr>
                <w:rFonts w:cstheme="minorHAnsi"/>
                <w:sz w:val="16"/>
                <w:szCs w:val="16"/>
              </w:rPr>
            </w:pPr>
          </w:p>
        </w:tc>
        <w:tc>
          <w:tcPr>
            <w:tcW w:w="1041" w:type="dxa"/>
          </w:tcPr>
          <w:p w:rsidR="008E28C6" w:rsidRPr="00CC4F07" w:rsidRDefault="008E28C6" w:rsidP="008E28C6">
            <w:pPr>
              <w:jc w:val="center"/>
              <w:rPr>
                <w:rFonts w:cstheme="minorHAnsi"/>
                <w:sz w:val="16"/>
                <w:szCs w:val="16"/>
              </w:rPr>
            </w:pPr>
            <w:r w:rsidRPr="00CC4F07">
              <w:rPr>
                <w:rFonts w:cstheme="minorHAnsi"/>
                <w:sz w:val="16"/>
                <w:szCs w:val="16"/>
              </w:rPr>
              <w:t>EFRR</w:t>
            </w:r>
          </w:p>
        </w:tc>
        <w:tc>
          <w:tcPr>
            <w:tcW w:w="1661" w:type="dxa"/>
          </w:tcPr>
          <w:p w:rsidR="008E28C6" w:rsidRPr="00CC4F07" w:rsidRDefault="008E28C6" w:rsidP="008E28C6">
            <w:pPr>
              <w:jc w:val="center"/>
              <w:rPr>
                <w:rFonts w:cstheme="minorHAnsi"/>
                <w:sz w:val="16"/>
                <w:szCs w:val="16"/>
              </w:rPr>
            </w:pPr>
            <w:r w:rsidRPr="00CC4F07">
              <w:rPr>
                <w:rFonts w:cstheme="minorHAnsi"/>
                <w:sz w:val="16"/>
                <w:szCs w:val="16"/>
              </w:rPr>
              <w:t>Méně rozvinuté regiony</w:t>
            </w:r>
          </w:p>
        </w:tc>
        <w:tc>
          <w:tcPr>
            <w:tcW w:w="1279" w:type="dxa"/>
          </w:tcPr>
          <w:p w:rsidR="008E28C6" w:rsidRPr="00CC4F07" w:rsidRDefault="008E28C6" w:rsidP="008E28C6">
            <w:pPr>
              <w:jc w:val="center"/>
              <w:rPr>
                <w:rFonts w:cstheme="minorHAnsi"/>
                <w:sz w:val="16"/>
                <w:szCs w:val="16"/>
              </w:rPr>
            </w:pPr>
            <w:r w:rsidRPr="00CC4F07">
              <w:rPr>
                <w:rFonts w:cstheme="minorHAnsi"/>
                <w:sz w:val="16"/>
                <w:szCs w:val="16"/>
              </w:rPr>
              <w:t>TC 5</w:t>
            </w:r>
          </w:p>
        </w:tc>
        <w:tc>
          <w:tcPr>
            <w:tcW w:w="1239" w:type="dxa"/>
          </w:tcPr>
          <w:p w:rsidR="008E28C6" w:rsidRPr="008C7B44" w:rsidRDefault="008E28C6" w:rsidP="008E28C6">
            <w:pPr>
              <w:jc w:val="center"/>
              <w:rPr>
                <w:rFonts w:cstheme="minorHAnsi"/>
                <w:sz w:val="16"/>
                <w:szCs w:val="16"/>
              </w:rPr>
            </w:pPr>
            <w:r w:rsidRPr="008C7B44">
              <w:rPr>
                <w:color w:val="000000"/>
                <w:sz w:val="16"/>
                <w:szCs w:val="16"/>
              </w:rPr>
              <w:t>23 088 951</w:t>
            </w:r>
          </w:p>
        </w:tc>
        <w:tc>
          <w:tcPr>
            <w:tcW w:w="1702" w:type="dxa"/>
          </w:tcPr>
          <w:p w:rsidR="008E28C6" w:rsidRPr="008C7B44" w:rsidRDefault="008E28C6" w:rsidP="008E28C6">
            <w:pPr>
              <w:jc w:val="center"/>
              <w:rPr>
                <w:rFonts w:cstheme="minorHAnsi"/>
                <w:sz w:val="16"/>
                <w:szCs w:val="16"/>
              </w:rPr>
            </w:pPr>
            <w:r w:rsidRPr="008C7B44">
              <w:rPr>
                <w:color w:val="000000"/>
                <w:sz w:val="16"/>
                <w:szCs w:val="16"/>
              </w:rPr>
              <w:t>4 074 521</w:t>
            </w:r>
          </w:p>
        </w:tc>
        <w:tc>
          <w:tcPr>
            <w:tcW w:w="1133" w:type="dxa"/>
          </w:tcPr>
          <w:p w:rsidR="008E28C6" w:rsidRPr="008C7B44" w:rsidRDefault="008E28C6" w:rsidP="008E28C6">
            <w:pPr>
              <w:jc w:val="center"/>
              <w:rPr>
                <w:rFonts w:cstheme="minorHAnsi"/>
                <w:sz w:val="16"/>
                <w:szCs w:val="16"/>
              </w:rPr>
            </w:pPr>
            <w:r w:rsidRPr="008C7B44">
              <w:rPr>
                <w:color w:val="000000"/>
                <w:sz w:val="16"/>
                <w:szCs w:val="16"/>
              </w:rPr>
              <w:t>27 163 472</w:t>
            </w:r>
          </w:p>
        </w:tc>
      </w:tr>
      <w:tr w:rsidR="008E28C6" w:rsidRPr="00CC4F07" w:rsidTr="008E28C6">
        <w:tc>
          <w:tcPr>
            <w:tcW w:w="1125" w:type="dxa"/>
            <w:shd w:val="clear" w:color="auto" w:fill="D9D9D9" w:themeFill="background1" w:themeFillShade="D9"/>
          </w:tcPr>
          <w:p w:rsidR="008E28C6" w:rsidRPr="00CC4F07" w:rsidRDefault="008E28C6" w:rsidP="008E28C6">
            <w:pPr>
              <w:jc w:val="center"/>
              <w:rPr>
                <w:rFonts w:cstheme="minorHAnsi"/>
                <w:sz w:val="16"/>
                <w:szCs w:val="16"/>
              </w:rPr>
            </w:pPr>
            <w:r w:rsidRPr="00CC4F07">
              <w:rPr>
                <w:rFonts w:cstheme="minorHAnsi"/>
                <w:sz w:val="16"/>
                <w:szCs w:val="16"/>
              </w:rPr>
              <w:t>Prioritní osa 4</w:t>
            </w:r>
          </w:p>
        </w:tc>
        <w:tc>
          <w:tcPr>
            <w:tcW w:w="1041" w:type="dxa"/>
          </w:tcPr>
          <w:p w:rsidR="008E28C6" w:rsidRPr="00CC4F07" w:rsidRDefault="008E28C6" w:rsidP="008E28C6">
            <w:pPr>
              <w:jc w:val="center"/>
              <w:rPr>
                <w:rFonts w:cstheme="minorHAnsi"/>
                <w:sz w:val="16"/>
                <w:szCs w:val="16"/>
              </w:rPr>
            </w:pPr>
            <w:r w:rsidRPr="00CC4F07">
              <w:rPr>
                <w:rFonts w:cstheme="minorHAnsi"/>
                <w:sz w:val="16"/>
                <w:szCs w:val="16"/>
              </w:rPr>
              <w:t>EFRR</w:t>
            </w:r>
          </w:p>
        </w:tc>
        <w:tc>
          <w:tcPr>
            <w:tcW w:w="1661" w:type="dxa"/>
          </w:tcPr>
          <w:p w:rsidR="008E28C6" w:rsidRPr="00CC4F07" w:rsidRDefault="008E28C6" w:rsidP="008E28C6">
            <w:pPr>
              <w:jc w:val="center"/>
              <w:rPr>
                <w:rFonts w:cstheme="minorHAnsi"/>
                <w:sz w:val="16"/>
                <w:szCs w:val="16"/>
              </w:rPr>
            </w:pPr>
            <w:r w:rsidRPr="00CC4F07">
              <w:rPr>
                <w:rFonts w:cstheme="minorHAnsi"/>
                <w:sz w:val="16"/>
                <w:szCs w:val="16"/>
              </w:rPr>
              <w:t>Méně rozvinuté regiony</w:t>
            </w:r>
          </w:p>
        </w:tc>
        <w:tc>
          <w:tcPr>
            <w:tcW w:w="1279" w:type="dxa"/>
          </w:tcPr>
          <w:p w:rsidR="008E28C6" w:rsidRPr="00CC4F07" w:rsidRDefault="008E28C6" w:rsidP="008E28C6">
            <w:pPr>
              <w:jc w:val="center"/>
              <w:rPr>
                <w:rFonts w:cstheme="minorHAnsi"/>
                <w:sz w:val="16"/>
                <w:szCs w:val="16"/>
              </w:rPr>
            </w:pPr>
            <w:r w:rsidRPr="00CC4F07">
              <w:rPr>
                <w:rFonts w:cstheme="minorHAnsi"/>
                <w:sz w:val="16"/>
                <w:szCs w:val="16"/>
              </w:rPr>
              <w:t>TC 6</w:t>
            </w:r>
          </w:p>
        </w:tc>
        <w:tc>
          <w:tcPr>
            <w:tcW w:w="1239" w:type="dxa"/>
          </w:tcPr>
          <w:p w:rsidR="008E28C6" w:rsidRPr="008C7B44" w:rsidRDefault="008E28C6" w:rsidP="008E28C6">
            <w:pPr>
              <w:jc w:val="center"/>
              <w:rPr>
                <w:rFonts w:cstheme="minorHAnsi"/>
                <w:sz w:val="16"/>
                <w:szCs w:val="16"/>
              </w:rPr>
            </w:pPr>
            <w:r w:rsidRPr="008C7B44">
              <w:rPr>
                <w:color w:val="000000"/>
                <w:sz w:val="16"/>
                <w:szCs w:val="16"/>
              </w:rPr>
              <w:t>351 735 069</w:t>
            </w:r>
          </w:p>
        </w:tc>
        <w:tc>
          <w:tcPr>
            <w:tcW w:w="1702" w:type="dxa"/>
          </w:tcPr>
          <w:p w:rsidR="008E28C6" w:rsidRPr="008C7B44" w:rsidRDefault="008E28C6" w:rsidP="008E28C6">
            <w:pPr>
              <w:jc w:val="center"/>
              <w:rPr>
                <w:rFonts w:cstheme="minorHAnsi"/>
                <w:sz w:val="16"/>
                <w:szCs w:val="16"/>
              </w:rPr>
            </w:pPr>
            <w:r w:rsidRPr="008C7B44">
              <w:rPr>
                <w:color w:val="000000"/>
                <w:sz w:val="16"/>
                <w:szCs w:val="16"/>
              </w:rPr>
              <w:t>62 070 895</w:t>
            </w:r>
          </w:p>
        </w:tc>
        <w:tc>
          <w:tcPr>
            <w:tcW w:w="1133" w:type="dxa"/>
          </w:tcPr>
          <w:p w:rsidR="008E28C6" w:rsidRPr="008C7B44" w:rsidRDefault="008E28C6" w:rsidP="008E28C6">
            <w:pPr>
              <w:jc w:val="center"/>
              <w:rPr>
                <w:rFonts w:cstheme="minorHAnsi"/>
                <w:sz w:val="16"/>
                <w:szCs w:val="16"/>
              </w:rPr>
            </w:pPr>
            <w:r w:rsidRPr="008C7B44">
              <w:rPr>
                <w:color w:val="000000"/>
                <w:sz w:val="16"/>
                <w:szCs w:val="16"/>
              </w:rPr>
              <w:t>413 805 964</w:t>
            </w:r>
          </w:p>
        </w:tc>
      </w:tr>
      <w:tr w:rsidR="008E28C6" w:rsidRPr="00CC4F07" w:rsidTr="008E28C6">
        <w:tc>
          <w:tcPr>
            <w:tcW w:w="1125" w:type="dxa"/>
            <w:shd w:val="clear" w:color="auto" w:fill="D9D9D9" w:themeFill="background1" w:themeFillShade="D9"/>
          </w:tcPr>
          <w:p w:rsidR="008E28C6" w:rsidRPr="00CC4F07" w:rsidRDefault="008E28C6" w:rsidP="008E28C6">
            <w:pPr>
              <w:jc w:val="center"/>
              <w:rPr>
                <w:rFonts w:cstheme="minorHAnsi"/>
                <w:sz w:val="16"/>
                <w:szCs w:val="16"/>
              </w:rPr>
            </w:pPr>
            <w:r w:rsidRPr="00CC4F07">
              <w:rPr>
                <w:rFonts w:cstheme="minorHAnsi"/>
                <w:sz w:val="16"/>
                <w:szCs w:val="16"/>
              </w:rPr>
              <w:t>Prioritní osa 5</w:t>
            </w:r>
          </w:p>
        </w:tc>
        <w:tc>
          <w:tcPr>
            <w:tcW w:w="1041" w:type="dxa"/>
          </w:tcPr>
          <w:p w:rsidR="008E28C6" w:rsidRPr="00CC4F07" w:rsidRDefault="008E28C6" w:rsidP="008E28C6">
            <w:pPr>
              <w:jc w:val="center"/>
              <w:rPr>
                <w:rFonts w:cstheme="minorHAnsi"/>
                <w:sz w:val="16"/>
                <w:szCs w:val="16"/>
              </w:rPr>
            </w:pPr>
            <w:r w:rsidRPr="00CC4F07">
              <w:rPr>
                <w:rFonts w:cstheme="minorHAnsi"/>
                <w:sz w:val="16"/>
                <w:szCs w:val="16"/>
              </w:rPr>
              <w:t>FS</w:t>
            </w:r>
          </w:p>
        </w:tc>
        <w:tc>
          <w:tcPr>
            <w:tcW w:w="1661" w:type="dxa"/>
          </w:tcPr>
          <w:p w:rsidR="008E28C6" w:rsidRPr="00CC4F07" w:rsidRDefault="008E28C6" w:rsidP="008E28C6">
            <w:pPr>
              <w:jc w:val="center"/>
              <w:rPr>
                <w:rFonts w:cstheme="minorHAnsi"/>
                <w:sz w:val="16"/>
                <w:szCs w:val="16"/>
              </w:rPr>
            </w:pPr>
            <w:r w:rsidRPr="00CC4F07">
              <w:rPr>
                <w:rFonts w:cstheme="minorHAnsi"/>
                <w:sz w:val="16"/>
                <w:szCs w:val="16"/>
              </w:rPr>
              <w:t>Není relevantní</w:t>
            </w:r>
          </w:p>
        </w:tc>
        <w:tc>
          <w:tcPr>
            <w:tcW w:w="1279" w:type="dxa"/>
          </w:tcPr>
          <w:p w:rsidR="008E28C6" w:rsidRPr="00CC4F07" w:rsidRDefault="008E28C6" w:rsidP="008E28C6">
            <w:pPr>
              <w:jc w:val="center"/>
              <w:rPr>
                <w:rFonts w:cstheme="minorHAnsi"/>
                <w:sz w:val="16"/>
                <w:szCs w:val="16"/>
              </w:rPr>
            </w:pPr>
            <w:r w:rsidRPr="00CC4F07">
              <w:rPr>
                <w:rFonts w:cstheme="minorHAnsi"/>
                <w:sz w:val="16"/>
                <w:szCs w:val="16"/>
              </w:rPr>
              <w:t>TC 4</w:t>
            </w:r>
          </w:p>
        </w:tc>
        <w:tc>
          <w:tcPr>
            <w:tcW w:w="1239" w:type="dxa"/>
          </w:tcPr>
          <w:p w:rsidR="008E28C6" w:rsidRPr="008C7B44" w:rsidRDefault="008E28C6" w:rsidP="008E28C6">
            <w:pPr>
              <w:jc w:val="center"/>
              <w:rPr>
                <w:rFonts w:cstheme="minorHAnsi"/>
                <w:sz w:val="16"/>
                <w:szCs w:val="16"/>
              </w:rPr>
            </w:pPr>
            <w:r w:rsidRPr="008C7B44">
              <w:rPr>
                <w:color w:val="000000"/>
                <w:sz w:val="16"/>
                <w:szCs w:val="16"/>
              </w:rPr>
              <w:t>509 626 952</w:t>
            </w:r>
          </w:p>
        </w:tc>
        <w:tc>
          <w:tcPr>
            <w:tcW w:w="1702" w:type="dxa"/>
          </w:tcPr>
          <w:p w:rsidR="008E28C6" w:rsidRPr="008C7B44" w:rsidRDefault="008E28C6" w:rsidP="008E28C6">
            <w:pPr>
              <w:jc w:val="center"/>
              <w:rPr>
                <w:rFonts w:cstheme="minorHAnsi"/>
                <w:sz w:val="16"/>
                <w:szCs w:val="16"/>
              </w:rPr>
            </w:pPr>
            <w:r w:rsidRPr="008C7B44">
              <w:rPr>
                <w:color w:val="000000"/>
                <w:sz w:val="16"/>
                <w:szCs w:val="16"/>
              </w:rPr>
              <w:t>89 934 168</w:t>
            </w:r>
          </w:p>
        </w:tc>
        <w:tc>
          <w:tcPr>
            <w:tcW w:w="1133" w:type="dxa"/>
          </w:tcPr>
          <w:p w:rsidR="008E28C6" w:rsidRPr="008C7B44" w:rsidRDefault="008E28C6" w:rsidP="008E28C6">
            <w:pPr>
              <w:jc w:val="center"/>
              <w:rPr>
                <w:rFonts w:cstheme="minorHAnsi"/>
                <w:sz w:val="16"/>
                <w:szCs w:val="16"/>
              </w:rPr>
            </w:pPr>
            <w:r w:rsidRPr="008C7B44">
              <w:rPr>
                <w:color w:val="000000"/>
                <w:sz w:val="16"/>
                <w:szCs w:val="16"/>
              </w:rPr>
              <w:t>599 561 120</w:t>
            </w:r>
          </w:p>
        </w:tc>
      </w:tr>
      <w:tr w:rsidR="008E28C6" w:rsidRPr="00CC4F07" w:rsidTr="008E28C6">
        <w:tc>
          <w:tcPr>
            <w:tcW w:w="1125" w:type="dxa"/>
            <w:shd w:val="clear" w:color="auto" w:fill="D9D9D9" w:themeFill="background1" w:themeFillShade="D9"/>
          </w:tcPr>
          <w:p w:rsidR="008E28C6" w:rsidRPr="00CC4F07" w:rsidRDefault="008E28C6" w:rsidP="008E28C6">
            <w:pPr>
              <w:jc w:val="center"/>
              <w:rPr>
                <w:rFonts w:cstheme="minorHAnsi"/>
                <w:sz w:val="16"/>
                <w:szCs w:val="16"/>
              </w:rPr>
            </w:pPr>
            <w:r w:rsidRPr="00CC4F07">
              <w:rPr>
                <w:rFonts w:cstheme="minorHAnsi"/>
                <w:sz w:val="16"/>
                <w:szCs w:val="16"/>
              </w:rPr>
              <w:t>Prioritní osa 6</w:t>
            </w:r>
          </w:p>
        </w:tc>
        <w:tc>
          <w:tcPr>
            <w:tcW w:w="1041" w:type="dxa"/>
          </w:tcPr>
          <w:p w:rsidR="008E28C6" w:rsidRPr="00CC4F07" w:rsidRDefault="008E28C6" w:rsidP="008E28C6">
            <w:pPr>
              <w:jc w:val="center"/>
              <w:rPr>
                <w:rFonts w:cstheme="minorHAnsi"/>
                <w:sz w:val="16"/>
                <w:szCs w:val="16"/>
              </w:rPr>
            </w:pPr>
            <w:r w:rsidRPr="00CC4F07">
              <w:rPr>
                <w:rFonts w:cstheme="minorHAnsi"/>
                <w:sz w:val="16"/>
                <w:szCs w:val="16"/>
              </w:rPr>
              <w:t>FS</w:t>
            </w:r>
          </w:p>
        </w:tc>
        <w:tc>
          <w:tcPr>
            <w:tcW w:w="1661" w:type="dxa"/>
          </w:tcPr>
          <w:p w:rsidR="008E28C6" w:rsidRPr="00CC4F07" w:rsidRDefault="008E28C6" w:rsidP="008E28C6">
            <w:pPr>
              <w:jc w:val="center"/>
              <w:rPr>
                <w:rFonts w:cstheme="minorHAnsi"/>
                <w:sz w:val="16"/>
                <w:szCs w:val="16"/>
              </w:rPr>
            </w:pPr>
            <w:proofErr w:type="gramStart"/>
            <w:r w:rsidRPr="00CC4F07">
              <w:rPr>
                <w:rFonts w:cstheme="minorHAnsi"/>
                <w:sz w:val="16"/>
                <w:szCs w:val="16"/>
              </w:rPr>
              <w:t>NA</w:t>
            </w:r>
            <w:proofErr w:type="gramEnd"/>
          </w:p>
        </w:tc>
        <w:tc>
          <w:tcPr>
            <w:tcW w:w="1279" w:type="dxa"/>
          </w:tcPr>
          <w:p w:rsidR="008E28C6" w:rsidRPr="00CC4F07" w:rsidRDefault="008E28C6" w:rsidP="008E28C6">
            <w:pPr>
              <w:jc w:val="center"/>
              <w:rPr>
                <w:rFonts w:cstheme="minorHAnsi"/>
                <w:sz w:val="16"/>
                <w:szCs w:val="16"/>
              </w:rPr>
            </w:pPr>
            <w:proofErr w:type="gramStart"/>
            <w:r w:rsidRPr="00CC4F07">
              <w:rPr>
                <w:rFonts w:cstheme="minorHAnsi"/>
                <w:sz w:val="16"/>
                <w:szCs w:val="16"/>
              </w:rPr>
              <w:t>NA</w:t>
            </w:r>
            <w:proofErr w:type="gramEnd"/>
          </w:p>
        </w:tc>
        <w:tc>
          <w:tcPr>
            <w:tcW w:w="1239" w:type="dxa"/>
          </w:tcPr>
          <w:p w:rsidR="008E28C6" w:rsidRPr="008C7B44" w:rsidRDefault="008E28C6" w:rsidP="008E28C6">
            <w:pPr>
              <w:jc w:val="center"/>
              <w:rPr>
                <w:rFonts w:cstheme="minorHAnsi"/>
                <w:sz w:val="16"/>
                <w:szCs w:val="16"/>
              </w:rPr>
            </w:pPr>
            <w:r w:rsidRPr="008C7B44">
              <w:rPr>
                <w:color w:val="000000"/>
                <w:sz w:val="16"/>
                <w:szCs w:val="16"/>
              </w:rPr>
              <w:t>73 115 012</w:t>
            </w:r>
          </w:p>
        </w:tc>
        <w:tc>
          <w:tcPr>
            <w:tcW w:w="1702" w:type="dxa"/>
          </w:tcPr>
          <w:p w:rsidR="008E28C6" w:rsidRPr="008C7B44" w:rsidRDefault="008E28C6" w:rsidP="008E28C6">
            <w:pPr>
              <w:jc w:val="center"/>
              <w:rPr>
                <w:rFonts w:cstheme="minorHAnsi"/>
                <w:sz w:val="16"/>
                <w:szCs w:val="16"/>
              </w:rPr>
            </w:pPr>
            <w:r w:rsidRPr="008C7B44">
              <w:rPr>
                <w:color w:val="000000"/>
                <w:sz w:val="16"/>
                <w:szCs w:val="16"/>
              </w:rPr>
              <w:t>12 902 649</w:t>
            </w:r>
          </w:p>
        </w:tc>
        <w:tc>
          <w:tcPr>
            <w:tcW w:w="1133" w:type="dxa"/>
          </w:tcPr>
          <w:p w:rsidR="008E28C6" w:rsidRPr="008C7B44" w:rsidRDefault="008E28C6" w:rsidP="008E28C6">
            <w:pPr>
              <w:jc w:val="center"/>
              <w:rPr>
                <w:rFonts w:cstheme="minorHAnsi"/>
                <w:sz w:val="16"/>
                <w:szCs w:val="16"/>
              </w:rPr>
            </w:pPr>
            <w:r w:rsidRPr="008C7B44">
              <w:rPr>
                <w:color w:val="000000"/>
                <w:sz w:val="16"/>
                <w:szCs w:val="16"/>
              </w:rPr>
              <w:t>86 017 661</w:t>
            </w:r>
          </w:p>
        </w:tc>
      </w:tr>
      <w:tr w:rsidR="008E28C6" w:rsidRPr="00CC4F07" w:rsidTr="008E28C6">
        <w:tc>
          <w:tcPr>
            <w:tcW w:w="1125" w:type="dxa"/>
            <w:shd w:val="clear" w:color="auto" w:fill="D9D9D9" w:themeFill="background1" w:themeFillShade="D9"/>
          </w:tcPr>
          <w:p w:rsidR="008E28C6" w:rsidRPr="00CC4F07" w:rsidRDefault="008E28C6" w:rsidP="008E28C6">
            <w:pPr>
              <w:jc w:val="center"/>
              <w:rPr>
                <w:rFonts w:cstheme="minorHAnsi"/>
                <w:sz w:val="16"/>
                <w:szCs w:val="16"/>
              </w:rPr>
            </w:pPr>
            <w:r w:rsidRPr="00CC4F07">
              <w:rPr>
                <w:rFonts w:cstheme="minorHAnsi"/>
                <w:sz w:val="16"/>
                <w:szCs w:val="16"/>
              </w:rPr>
              <w:t>Celkem</w:t>
            </w:r>
          </w:p>
        </w:tc>
        <w:tc>
          <w:tcPr>
            <w:tcW w:w="1041" w:type="dxa"/>
          </w:tcPr>
          <w:p w:rsidR="008E28C6" w:rsidRPr="00CC4F07" w:rsidRDefault="008E28C6" w:rsidP="008E28C6">
            <w:pPr>
              <w:jc w:val="center"/>
              <w:rPr>
                <w:rFonts w:cstheme="minorHAnsi"/>
                <w:sz w:val="16"/>
                <w:szCs w:val="16"/>
              </w:rPr>
            </w:pPr>
            <w:r w:rsidRPr="00CC4F07">
              <w:rPr>
                <w:rFonts w:cstheme="minorHAnsi"/>
                <w:sz w:val="16"/>
                <w:szCs w:val="16"/>
              </w:rPr>
              <w:t>Není relevantní</w:t>
            </w:r>
          </w:p>
        </w:tc>
        <w:tc>
          <w:tcPr>
            <w:tcW w:w="1661" w:type="dxa"/>
          </w:tcPr>
          <w:p w:rsidR="008E28C6" w:rsidRPr="00CC4F07" w:rsidRDefault="008E28C6" w:rsidP="008E28C6">
            <w:pPr>
              <w:jc w:val="center"/>
              <w:rPr>
                <w:rFonts w:cstheme="minorHAnsi"/>
                <w:sz w:val="16"/>
                <w:szCs w:val="16"/>
              </w:rPr>
            </w:pPr>
            <w:r w:rsidRPr="00CC4F07">
              <w:rPr>
                <w:rFonts w:cstheme="minorHAnsi"/>
                <w:sz w:val="16"/>
                <w:szCs w:val="16"/>
              </w:rPr>
              <w:t>Není relevantní</w:t>
            </w:r>
          </w:p>
        </w:tc>
        <w:tc>
          <w:tcPr>
            <w:tcW w:w="1279" w:type="dxa"/>
          </w:tcPr>
          <w:p w:rsidR="008E28C6" w:rsidRPr="00CC4F07" w:rsidRDefault="008E28C6" w:rsidP="008E28C6">
            <w:pPr>
              <w:jc w:val="center"/>
              <w:rPr>
                <w:rFonts w:cstheme="minorHAnsi"/>
                <w:sz w:val="16"/>
                <w:szCs w:val="16"/>
              </w:rPr>
            </w:pPr>
            <w:r w:rsidRPr="00CC4F07">
              <w:rPr>
                <w:rFonts w:cstheme="minorHAnsi"/>
                <w:sz w:val="16"/>
                <w:szCs w:val="16"/>
              </w:rPr>
              <w:t>Není relevantní</w:t>
            </w:r>
          </w:p>
        </w:tc>
        <w:tc>
          <w:tcPr>
            <w:tcW w:w="1239" w:type="dxa"/>
          </w:tcPr>
          <w:p w:rsidR="008E28C6" w:rsidRPr="008C7B44" w:rsidRDefault="008E28C6" w:rsidP="008E28C6">
            <w:pPr>
              <w:jc w:val="center"/>
              <w:rPr>
                <w:rFonts w:cstheme="minorHAnsi"/>
                <w:sz w:val="16"/>
                <w:szCs w:val="16"/>
              </w:rPr>
            </w:pPr>
            <w:r w:rsidRPr="008C7B44">
              <w:rPr>
                <w:color w:val="000000"/>
                <w:sz w:val="16"/>
                <w:szCs w:val="16"/>
              </w:rPr>
              <w:t>2 565 439 018</w:t>
            </w:r>
          </w:p>
        </w:tc>
        <w:tc>
          <w:tcPr>
            <w:tcW w:w="1702" w:type="dxa"/>
          </w:tcPr>
          <w:p w:rsidR="008E28C6" w:rsidRPr="008C7B44" w:rsidRDefault="008E28C6" w:rsidP="008E28C6">
            <w:pPr>
              <w:jc w:val="center"/>
              <w:rPr>
                <w:rFonts w:cstheme="minorHAnsi"/>
                <w:sz w:val="16"/>
                <w:szCs w:val="16"/>
              </w:rPr>
            </w:pPr>
            <w:r w:rsidRPr="008C7B44">
              <w:rPr>
                <w:color w:val="000000"/>
                <w:sz w:val="16"/>
                <w:szCs w:val="16"/>
              </w:rPr>
              <w:t>452 724 533</w:t>
            </w:r>
          </w:p>
        </w:tc>
        <w:tc>
          <w:tcPr>
            <w:tcW w:w="1133" w:type="dxa"/>
          </w:tcPr>
          <w:p w:rsidR="008E28C6" w:rsidRPr="008C7B44" w:rsidRDefault="008E28C6" w:rsidP="008E28C6">
            <w:pPr>
              <w:jc w:val="center"/>
              <w:rPr>
                <w:rFonts w:cstheme="minorHAnsi"/>
                <w:sz w:val="16"/>
                <w:szCs w:val="16"/>
              </w:rPr>
            </w:pPr>
            <w:r w:rsidRPr="008C7B44">
              <w:rPr>
                <w:color w:val="000000"/>
                <w:sz w:val="16"/>
                <w:szCs w:val="16"/>
              </w:rPr>
              <w:t>3 018 163 551</w:t>
            </w:r>
          </w:p>
        </w:tc>
      </w:tr>
    </w:tbl>
    <w:p w:rsidR="00E23C87" w:rsidRPr="00E23C87" w:rsidRDefault="00E23C87" w:rsidP="00E23C87"/>
    <w:p w:rsidR="005A4AB7" w:rsidRPr="00B25864" w:rsidRDefault="00A5209E" w:rsidP="00B66FDE">
      <w:pPr>
        <w:pStyle w:val="Titulek"/>
      </w:pPr>
      <w:r w:rsidRPr="004314F4">
        <w:t>Orientační částk</w:t>
      </w:r>
      <w:r w:rsidR="005A64BD">
        <w:t>a</w:t>
      </w:r>
      <w:r w:rsidRPr="004314F4">
        <w:t xml:space="preserve"> podpory</w:t>
      </w:r>
      <w:r w:rsidR="005A64BD">
        <w:t>, jež má být použita na cle v oblasti změny klimatu</w:t>
      </w:r>
    </w:p>
    <w:tbl>
      <w:tblPr>
        <w:tblStyle w:val="Mkatabulky"/>
        <w:tblW w:w="9180" w:type="dxa"/>
        <w:tblLook w:val="04A0" w:firstRow="1" w:lastRow="0" w:firstColumn="1" w:lastColumn="0" w:noHBand="0" w:noVBand="1"/>
      </w:tblPr>
      <w:tblGrid>
        <w:gridCol w:w="2660"/>
        <w:gridCol w:w="2977"/>
        <w:gridCol w:w="3543"/>
      </w:tblGrid>
      <w:tr w:rsidR="00366933" w:rsidRPr="00E31C87" w:rsidTr="00253FFB">
        <w:tc>
          <w:tcPr>
            <w:tcW w:w="2660" w:type="dxa"/>
            <w:shd w:val="clear" w:color="auto" w:fill="BFBFBF" w:themeFill="background1" w:themeFillShade="BF"/>
            <w:vAlign w:val="center"/>
          </w:tcPr>
          <w:p w:rsidR="00366933" w:rsidRPr="00E31C87" w:rsidRDefault="00366933" w:rsidP="00B66FDE">
            <w:pPr>
              <w:rPr>
                <w:rFonts w:cs="Arial"/>
                <w:b/>
                <w:sz w:val="20"/>
                <w:szCs w:val="20"/>
              </w:rPr>
            </w:pPr>
            <w:r w:rsidRPr="00E31C87">
              <w:rPr>
                <w:rFonts w:cs="Arial"/>
                <w:b/>
                <w:sz w:val="20"/>
                <w:szCs w:val="20"/>
              </w:rPr>
              <w:t>Prioritní osa</w:t>
            </w:r>
          </w:p>
        </w:tc>
        <w:tc>
          <w:tcPr>
            <w:tcW w:w="2977" w:type="dxa"/>
            <w:shd w:val="clear" w:color="auto" w:fill="BFBFBF" w:themeFill="background1" w:themeFillShade="BF"/>
            <w:vAlign w:val="center"/>
          </w:tcPr>
          <w:p w:rsidR="00366933" w:rsidRPr="00E31C87" w:rsidRDefault="00366933" w:rsidP="000955F0">
            <w:pPr>
              <w:rPr>
                <w:rFonts w:cs="Arial"/>
                <w:b/>
                <w:sz w:val="20"/>
                <w:szCs w:val="20"/>
              </w:rPr>
            </w:pPr>
            <w:r w:rsidRPr="00E31C87">
              <w:rPr>
                <w:rFonts w:cs="Arial"/>
                <w:b/>
                <w:sz w:val="20"/>
                <w:szCs w:val="20"/>
              </w:rPr>
              <w:t>Orientační částka podpory</w:t>
            </w:r>
            <w:r w:rsidR="005A64BD">
              <w:rPr>
                <w:rFonts w:cs="Arial"/>
                <w:b/>
                <w:sz w:val="20"/>
                <w:szCs w:val="20"/>
              </w:rPr>
              <w:t>, jež má být použita na cíl v oblasti změny klimatu</w:t>
            </w:r>
            <w:r w:rsidRPr="00E31C87">
              <w:rPr>
                <w:rFonts w:cs="Arial"/>
                <w:b/>
                <w:sz w:val="20"/>
                <w:szCs w:val="20"/>
              </w:rPr>
              <w:t xml:space="preserve"> (</w:t>
            </w:r>
            <w:r w:rsidR="000955F0">
              <w:rPr>
                <w:rFonts w:cs="Arial"/>
                <w:b/>
                <w:sz w:val="20"/>
                <w:szCs w:val="20"/>
              </w:rPr>
              <w:t xml:space="preserve">v </w:t>
            </w:r>
            <w:proofErr w:type="gramStart"/>
            <w:r w:rsidRPr="00E31C87">
              <w:rPr>
                <w:rFonts w:cs="Arial"/>
                <w:b/>
                <w:sz w:val="20"/>
                <w:szCs w:val="20"/>
              </w:rPr>
              <w:t>EUR</w:t>
            </w:r>
            <w:proofErr w:type="gramEnd"/>
            <w:r w:rsidRPr="00E31C87">
              <w:rPr>
                <w:rFonts w:cs="Arial"/>
                <w:b/>
                <w:sz w:val="20"/>
                <w:szCs w:val="20"/>
              </w:rPr>
              <w:t xml:space="preserve">) </w:t>
            </w:r>
          </w:p>
        </w:tc>
        <w:tc>
          <w:tcPr>
            <w:tcW w:w="3543" w:type="dxa"/>
            <w:shd w:val="clear" w:color="auto" w:fill="BFBFBF" w:themeFill="background1" w:themeFillShade="BF"/>
            <w:vAlign w:val="center"/>
          </w:tcPr>
          <w:p w:rsidR="00366933" w:rsidRPr="00E31C87" w:rsidRDefault="00366933" w:rsidP="005A64BD">
            <w:pPr>
              <w:rPr>
                <w:rFonts w:cs="Arial"/>
                <w:b/>
                <w:sz w:val="20"/>
                <w:szCs w:val="20"/>
              </w:rPr>
            </w:pPr>
            <w:r w:rsidRPr="00E31C87">
              <w:rPr>
                <w:rFonts w:cs="Arial"/>
                <w:b/>
                <w:sz w:val="20"/>
                <w:szCs w:val="20"/>
              </w:rPr>
              <w:t xml:space="preserve">Podíl </w:t>
            </w:r>
            <w:r w:rsidR="005A64BD">
              <w:rPr>
                <w:rFonts w:cs="Arial"/>
                <w:b/>
                <w:sz w:val="20"/>
                <w:szCs w:val="20"/>
              </w:rPr>
              <w:t>celkového přídělu pro operační program</w:t>
            </w:r>
            <w:r w:rsidRPr="00E31C87">
              <w:rPr>
                <w:rFonts w:cs="Arial"/>
                <w:b/>
                <w:sz w:val="20"/>
                <w:szCs w:val="20"/>
              </w:rPr>
              <w:t xml:space="preserve"> (v %)</w:t>
            </w:r>
          </w:p>
        </w:tc>
      </w:tr>
      <w:tr w:rsidR="00E3063C" w:rsidRPr="00E31C87" w:rsidTr="00253FFB">
        <w:trPr>
          <w:trHeight w:val="375"/>
        </w:trPr>
        <w:tc>
          <w:tcPr>
            <w:tcW w:w="2660" w:type="dxa"/>
            <w:vAlign w:val="center"/>
          </w:tcPr>
          <w:p w:rsidR="00E3063C" w:rsidRPr="00E31C87" w:rsidRDefault="00E3063C" w:rsidP="00E3063C">
            <w:pPr>
              <w:rPr>
                <w:rFonts w:cs="Arial"/>
                <w:sz w:val="20"/>
                <w:szCs w:val="20"/>
              </w:rPr>
            </w:pPr>
            <w:r w:rsidRPr="00E31C87">
              <w:rPr>
                <w:rFonts w:cs="Arial"/>
                <w:sz w:val="20"/>
                <w:szCs w:val="20"/>
              </w:rPr>
              <w:t xml:space="preserve">Prioritní osa 1 </w:t>
            </w:r>
          </w:p>
        </w:tc>
        <w:tc>
          <w:tcPr>
            <w:tcW w:w="2977" w:type="dxa"/>
            <w:vAlign w:val="bottom"/>
          </w:tcPr>
          <w:p w:rsidR="00E3063C" w:rsidRPr="000955F0" w:rsidRDefault="00C72B50" w:rsidP="00E3063C">
            <w:pPr>
              <w:jc w:val="right"/>
              <w:rPr>
                <w:color w:val="000000"/>
                <w:sz w:val="20"/>
                <w:szCs w:val="20"/>
              </w:rPr>
            </w:pPr>
            <w:r w:rsidRPr="00C72B50">
              <w:rPr>
                <w:color w:val="000000"/>
                <w:sz w:val="20"/>
                <w:szCs w:val="20"/>
              </w:rPr>
              <w:t>147 543 529</w:t>
            </w:r>
          </w:p>
        </w:tc>
        <w:tc>
          <w:tcPr>
            <w:tcW w:w="3543" w:type="dxa"/>
            <w:vAlign w:val="bottom"/>
          </w:tcPr>
          <w:p w:rsidR="00E3063C" w:rsidRPr="00E31C87" w:rsidRDefault="002763C6" w:rsidP="00E3063C">
            <w:pPr>
              <w:jc w:val="right"/>
              <w:rPr>
                <w:rFonts w:cs="Arial"/>
                <w:sz w:val="20"/>
                <w:szCs w:val="20"/>
              </w:rPr>
            </w:pPr>
            <w:r>
              <w:rPr>
                <w:color w:val="000000"/>
                <w:sz w:val="20"/>
                <w:szCs w:val="20"/>
              </w:rPr>
              <w:t>5,7</w:t>
            </w:r>
            <w:r w:rsidR="00C72B50">
              <w:rPr>
                <w:color w:val="000000"/>
                <w:sz w:val="20"/>
                <w:szCs w:val="20"/>
              </w:rPr>
              <w:t>5</w:t>
            </w:r>
          </w:p>
        </w:tc>
      </w:tr>
      <w:tr w:rsidR="00E3063C" w:rsidRPr="00E31C87" w:rsidTr="00253FFB">
        <w:trPr>
          <w:trHeight w:val="422"/>
        </w:trPr>
        <w:tc>
          <w:tcPr>
            <w:tcW w:w="2660" w:type="dxa"/>
            <w:vAlign w:val="center"/>
          </w:tcPr>
          <w:p w:rsidR="00E3063C" w:rsidRPr="00E31C87" w:rsidRDefault="00E3063C" w:rsidP="00E3063C">
            <w:pPr>
              <w:rPr>
                <w:rFonts w:cs="Arial"/>
                <w:sz w:val="20"/>
                <w:szCs w:val="20"/>
              </w:rPr>
            </w:pPr>
            <w:r w:rsidRPr="00E31C87">
              <w:rPr>
                <w:rFonts w:cs="Arial"/>
                <w:sz w:val="20"/>
                <w:szCs w:val="20"/>
              </w:rPr>
              <w:t xml:space="preserve">Prioritní osa 2 </w:t>
            </w:r>
          </w:p>
        </w:tc>
        <w:tc>
          <w:tcPr>
            <w:tcW w:w="2977" w:type="dxa"/>
            <w:vAlign w:val="bottom"/>
          </w:tcPr>
          <w:p w:rsidR="00E3063C" w:rsidRPr="000955F0" w:rsidRDefault="006B1C77" w:rsidP="00E3063C">
            <w:pPr>
              <w:jc w:val="right"/>
              <w:rPr>
                <w:color w:val="000000"/>
                <w:sz w:val="20"/>
                <w:szCs w:val="20"/>
              </w:rPr>
            </w:pPr>
            <w:r w:rsidRPr="006B1C77">
              <w:rPr>
                <w:color w:val="000000"/>
                <w:sz w:val="20"/>
                <w:szCs w:val="20"/>
              </w:rPr>
              <w:t>181 527 626</w:t>
            </w:r>
          </w:p>
        </w:tc>
        <w:tc>
          <w:tcPr>
            <w:tcW w:w="3543" w:type="dxa"/>
            <w:vAlign w:val="bottom"/>
          </w:tcPr>
          <w:p w:rsidR="00E3063C" w:rsidRPr="00E31C87" w:rsidRDefault="00E3063C" w:rsidP="006B1C77">
            <w:pPr>
              <w:jc w:val="right"/>
              <w:rPr>
                <w:rFonts w:cs="Arial"/>
                <w:sz w:val="20"/>
                <w:szCs w:val="20"/>
              </w:rPr>
            </w:pPr>
            <w:r>
              <w:rPr>
                <w:color w:val="000000"/>
                <w:sz w:val="20"/>
                <w:szCs w:val="20"/>
              </w:rPr>
              <w:t>7,</w:t>
            </w:r>
            <w:r w:rsidR="006B1C77">
              <w:rPr>
                <w:color w:val="000000"/>
                <w:sz w:val="20"/>
                <w:szCs w:val="20"/>
              </w:rPr>
              <w:t>08</w:t>
            </w:r>
          </w:p>
        </w:tc>
      </w:tr>
      <w:tr w:rsidR="00E3063C" w:rsidRPr="00E31C87" w:rsidTr="00253FFB">
        <w:trPr>
          <w:trHeight w:val="401"/>
        </w:trPr>
        <w:tc>
          <w:tcPr>
            <w:tcW w:w="2660" w:type="dxa"/>
            <w:vAlign w:val="center"/>
          </w:tcPr>
          <w:p w:rsidR="00E3063C" w:rsidRPr="00E31C87" w:rsidRDefault="00E3063C" w:rsidP="00E3063C">
            <w:pPr>
              <w:rPr>
                <w:rFonts w:cs="Arial"/>
                <w:sz w:val="20"/>
                <w:szCs w:val="20"/>
              </w:rPr>
            </w:pPr>
            <w:r w:rsidRPr="00E31C87">
              <w:rPr>
                <w:rFonts w:cs="Arial"/>
                <w:sz w:val="20"/>
                <w:szCs w:val="20"/>
              </w:rPr>
              <w:t xml:space="preserve">Prioritní osa 3 </w:t>
            </w:r>
          </w:p>
        </w:tc>
        <w:tc>
          <w:tcPr>
            <w:tcW w:w="2977" w:type="dxa"/>
            <w:vAlign w:val="bottom"/>
          </w:tcPr>
          <w:p w:rsidR="00E3063C" w:rsidRPr="000955F0" w:rsidRDefault="002763C6" w:rsidP="00E3063C">
            <w:pPr>
              <w:jc w:val="right"/>
              <w:rPr>
                <w:color w:val="000000"/>
                <w:sz w:val="20"/>
                <w:szCs w:val="20"/>
              </w:rPr>
            </w:pPr>
            <w:r w:rsidRPr="002763C6">
              <w:rPr>
                <w:rFonts w:cs="Arial"/>
                <w:color w:val="000000"/>
                <w:sz w:val="20"/>
                <w:szCs w:val="20"/>
              </w:rPr>
              <w:t>55 423 071</w:t>
            </w:r>
          </w:p>
        </w:tc>
        <w:tc>
          <w:tcPr>
            <w:tcW w:w="3543" w:type="dxa"/>
            <w:vAlign w:val="bottom"/>
          </w:tcPr>
          <w:p w:rsidR="00E3063C" w:rsidRPr="00E31C87" w:rsidRDefault="006E7332" w:rsidP="00E3063C">
            <w:pPr>
              <w:jc w:val="right"/>
              <w:rPr>
                <w:rFonts w:cs="Arial"/>
                <w:sz w:val="20"/>
                <w:szCs w:val="20"/>
              </w:rPr>
            </w:pPr>
            <w:r>
              <w:rPr>
                <w:color w:val="000000"/>
                <w:sz w:val="20"/>
                <w:szCs w:val="20"/>
              </w:rPr>
              <w:t>2,</w:t>
            </w:r>
            <w:r w:rsidR="002763C6">
              <w:rPr>
                <w:color w:val="000000"/>
                <w:sz w:val="20"/>
                <w:szCs w:val="20"/>
              </w:rPr>
              <w:t>16</w:t>
            </w:r>
          </w:p>
        </w:tc>
      </w:tr>
      <w:tr w:rsidR="00E3063C" w:rsidRPr="00E31C87" w:rsidTr="00253FFB">
        <w:trPr>
          <w:trHeight w:val="421"/>
        </w:trPr>
        <w:tc>
          <w:tcPr>
            <w:tcW w:w="2660" w:type="dxa"/>
            <w:vAlign w:val="center"/>
          </w:tcPr>
          <w:p w:rsidR="00E3063C" w:rsidRPr="00E31C87" w:rsidRDefault="00E3063C" w:rsidP="00E3063C">
            <w:pPr>
              <w:rPr>
                <w:rFonts w:cs="Arial"/>
                <w:sz w:val="20"/>
                <w:szCs w:val="20"/>
              </w:rPr>
            </w:pPr>
            <w:r w:rsidRPr="00E31C87">
              <w:rPr>
                <w:rFonts w:cs="Arial"/>
                <w:sz w:val="20"/>
                <w:szCs w:val="20"/>
              </w:rPr>
              <w:t>Prioritní osa 4</w:t>
            </w:r>
          </w:p>
        </w:tc>
        <w:tc>
          <w:tcPr>
            <w:tcW w:w="2977" w:type="dxa"/>
            <w:vAlign w:val="bottom"/>
          </w:tcPr>
          <w:p w:rsidR="00E3063C" w:rsidRPr="000955F0" w:rsidRDefault="00E3063C" w:rsidP="00E3063C">
            <w:pPr>
              <w:jc w:val="right"/>
              <w:rPr>
                <w:color w:val="000000"/>
                <w:sz w:val="20"/>
                <w:szCs w:val="20"/>
              </w:rPr>
            </w:pPr>
            <w:r w:rsidRPr="000955F0">
              <w:rPr>
                <w:color w:val="000000"/>
                <w:sz w:val="20"/>
                <w:szCs w:val="20"/>
              </w:rPr>
              <w:t>140 694 028</w:t>
            </w:r>
          </w:p>
        </w:tc>
        <w:tc>
          <w:tcPr>
            <w:tcW w:w="3543" w:type="dxa"/>
            <w:vAlign w:val="bottom"/>
          </w:tcPr>
          <w:p w:rsidR="00E3063C" w:rsidRPr="00E31C87" w:rsidRDefault="00E3063C" w:rsidP="00E3063C">
            <w:pPr>
              <w:jc w:val="right"/>
              <w:rPr>
                <w:rFonts w:cs="Arial"/>
                <w:sz w:val="20"/>
                <w:szCs w:val="20"/>
              </w:rPr>
            </w:pPr>
            <w:r>
              <w:rPr>
                <w:color w:val="000000"/>
                <w:sz w:val="20"/>
                <w:szCs w:val="20"/>
              </w:rPr>
              <w:t>5,48</w:t>
            </w:r>
          </w:p>
        </w:tc>
      </w:tr>
      <w:tr w:rsidR="00E3063C" w:rsidRPr="00E31C87" w:rsidTr="00253FFB">
        <w:trPr>
          <w:trHeight w:val="413"/>
        </w:trPr>
        <w:tc>
          <w:tcPr>
            <w:tcW w:w="2660" w:type="dxa"/>
            <w:vAlign w:val="center"/>
          </w:tcPr>
          <w:p w:rsidR="00E3063C" w:rsidRPr="00E31C87" w:rsidRDefault="00E3063C" w:rsidP="00E3063C">
            <w:pPr>
              <w:rPr>
                <w:rFonts w:cs="Arial"/>
                <w:sz w:val="20"/>
                <w:szCs w:val="20"/>
              </w:rPr>
            </w:pPr>
            <w:r w:rsidRPr="00E31C87">
              <w:rPr>
                <w:rFonts w:cs="Arial"/>
                <w:sz w:val="20"/>
                <w:szCs w:val="20"/>
              </w:rPr>
              <w:t>Prioritní osa 5</w:t>
            </w:r>
          </w:p>
        </w:tc>
        <w:tc>
          <w:tcPr>
            <w:tcW w:w="2977" w:type="dxa"/>
            <w:vAlign w:val="bottom"/>
          </w:tcPr>
          <w:p w:rsidR="00E3063C" w:rsidRPr="000955F0" w:rsidRDefault="00E3063C" w:rsidP="00E3063C">
            <w:pPr>
              <w:jc w:val="right"/>
              <w:rPr>
                <w:color w:val="000000"/>
                <w:sz w:val="20"/>
                <w:szCs w:val="20"/>
              </w:rPr>
            </w:pPr>
            <w:r w:rsidRPr="000955F0">
              <w:rPr>
                <w:color w:val="000000"/>
                <w:sz w:val="20"/>
                <w:szCs w:val="20"/>
              </w:rPr>
              <w:t>509 626 952</w:t>
            </w:r>
          </w:p>
        </w:tc>
        <w:tc>
          <w:tcPr>
            <w:tcW w:w="3543" w:type="dxa"/>
            <w:vAlign w:val="bottom"/>
          </w:tcPr>
          <w:p w:rsidR="00E3063C" w:rsidRPr="00E31C87" w:rsidRDefault="00E3063C" w:rsidP="00E3063C">
            <w:pPr>
              <w:jc w:val="right"/>
              <w:rPr>
                <w:rFonts w:cs="Arial"/>
                <w:sz w:val="20"/>
                <w:szCs w:val="20"/>
              </w:rPr>
            </w:pPr>
            <w:r>
              <w:rPr>
                <w:color w:val="000000"/>
                <w:sz w:val="20"/>
                <w:szCs w:val="20"/>
              </w:rPr>
              <w:t>19,87</w:t>
            </w:r>
          </w:p>
        </w:tc>
      </w:tr>
      <w:tr w:rsidR="00E3063C" w:rsidRPr="00E31C87" w:rsidTr="00253FFB">
        <w:trPr>
          <w:trHeight w:val="418"/>
        </w:trPr>
        <w:tc>
          <w:tcPr>
            <w:tcW w:w="2660" w:type="dxa"/>
            <w:vAlign w:val="center"/>
          </w:tcPr>
          <w:p w:rsidR="00E3063C" w:rsidRPr="00E31C87" w:rsidRDefault="00E3063C" w:rsidP="00B66FDE">
            <w:pPr>
              <w:rPr>
                <w:rFonts w:cs="Arial"/>
                <w:sz w:val="20"/>
                <w:szCs w:val="20"/>
              </w:rPr>
            </w:pPr>
            <w:r w:rsidRPr="00E31C87">
              <w:rPr>
                <w:rFonts w:cs="Arial"/>
                <w:sz w:val="20"/>
                <w:szCs w:val="20"/>
              </w:rPr>
              <w:t>Celkem</w:t>
            </w:r>
          </w:p>
        </w:tc>
        <w:tc>
          <w:tcPr>
            <w:tcW w:w="2977" w:type="dxa"/>
            <w:vAlign w:val="bottom"/>
          </w:tcPr>
          <w:p w:rsidR="00E3063C" w:rsidRPr="001A1368" w:rsidRDefault="006B1C77" w:rsidP="00E3063C">
            <w:pPr>
              <w:jc w:val="right"/>
              <w:rPr>
                <w:rFonts w:cs="Arial"/>
                <w:sz w:val="20"/>
              </w:rPr>
            </w:pPr>
            <w:r>
              <w:rPr>
                <w:rFonts w:cs="Arial"/>
                <w:sz w:val="20"/>
              </w:rPr>
              <w:t>1 034 815 206</w:t>
            </w:r>
          </w:p>
        </w:tc>
        <w:tc>
          <w:tcPr>
            <w:tcW w:w="3543" w:type="dxa"/>
            <w:vAlign w:val="bottom"/>
          </w:tcPr>
          <w:p w:rsidR="00E3063C" w:rsidRPr="00E31C87" w:rsidRDefault="006E7332" w:rsidP="00E3063C">
            <w:pPr>
              <w:jc w:val="right"/>
              <w:rPr>
                <w:rFonts w:cs="Arial"/>
                <w:sz w:val="20"/>
                <w:szCs w:val="20"/>
              </w:rPr>
            </w:pPr>
            <w:r>
              <w:rPr>
                <w:color w:val="000000"/>
                <w:sz w:val="20"/>
                <w:szCs w:val="20"/>
              </w:rPr>
              <w:t>40,3</w:t>
            </w:r>
            <w:r w:rsidR="006B1C77">
              <w:rPr>
                <w:color w:val="000000"/>
                <w:sz w:val="20"/>
                <w:szCs w:val="20"/>
              </w:rPr>
              <w:t>4</w:t>
            </w:r>
          </w:p>
        </w:tc>
      </w:tr>
    </w:tbl>
    <w:p w:rsidR="005E12BA" w:rsidRDefault="005E12BA" w:rsidP="00B66FDE">
      <w:pPr>
        <w:rPr>
          <w:rFonts w:asciiTheme="majorHAnsi" w:eastAsiaTheme="majorEastAsia" w:hAnsiTheme="majorHAnsi"/>
          <w:b/>
          <w:bCs/>
          <w:color w:val="76923C" w:themeColor="accent3" w:themeShade="BF"/>
          <w:sz w:val="32"/>
          <w:szCs w:val="28"/>
        </w:rPr>
      </w:pPr>
      <w:bookmarkStart w:id="2996" w:name="_Toc383164362"/>
      <w:bookmarkStart w:id="2997" w:name="_Toc383165239"/>
      <w:bookmarkStart w:id="2998" w:name="_Toc351471138"/>
      <w:bookmarkEnd w:id="2996"/>
      <w:bookmarkEnd w:id="2997"/>
    </w:p>
    <w:p w:rsidR="00F625C4" w:rsidRDefault="00F625C4" w:rsidP="00B66FDE">
      <w:pPr>
        <w:rPr>
          <w:rFonts w:asciiTheme="majorHAnsi" w:eastAsiaTheme="majorEastAsia" w:hAnsiTheme="majorHAnsi"/>
          <w:b/>
          <w:bCs/>
          <w:color w:val="76923C" w:themeColor="accent3" w:themeShade="BF"/>
          <w:sz w:val="32"/>
          <w:szCs w:val="28"/>
        </w:rPr>
      </w:pPr>
    </w:p>
    <w:p w:rsidR="00F625C4" w:rsidRDefault="00F625C4" w:rsidP="00B66FDE">
      <w:pPr>
        <w:rPr>
          <w:rFonts w:asciiTheme="majorHAnsi" w:eastAsiaTheme="majorEastAsia" w:hAnsiTheme="majorHAnsi"/>
          <w:b/>
          <w:bCs/>
          <w:color w:val="76923C" w:themeColor="accent3" w:themeShade="BF"/>
          <w:sz w:val="32"/>
          <w:szCs w:val="28"/>
        </w:rPr>
      </w:pPr>
    </w:p>
    <w:p w:rsidR="00A5209E" w:rsidRDefault="001F1BB9" w:rsidP="00BD12AB">
      <w:pPr>
        <w:pStyle w:val="Nadpis1"/>
      </w:pPr>
      <w:bookmarkStart w:id="2999" w:name="_Toc392151077"/>
      <w:r>
        <w:lastRenderedPageBreak/>
        <w:t>I</w:t>
      </w:r>
      <w:r w:rsidR="00A5209E" w:rsidRPr="004314F4">
        <w:t>ntegrovan</w:t>
      </w:r>
      <w:r>
        <w:t>ý</w:t>
      </w:r>
      <w:r w:rsidR="00A5209E" w:rsidRPr="004314F4">
        <w:t xml:space="preserve"> přístup</w:t>
      </w:r>
      <w:r>
        <w:t xml:space="preserve"> k</w:t>
      </w:r>
      <w:r w:rsidR="00A5209E" w:rsidRPr="004314F4">
        <w:t xml:space="preserve"> územní</w:t>
      </w:r>
      <w:r>
        <w:t>mu</w:t>
      </w:r>
      <w:r w:rsidR="00A5209E" w:rsidRPr="004314F4">
        <w:t xml:space="preserve"> rozvoj</w:t>
      </w:r>
      <w:bookmarkEnd w:id="2998"/>
      <w:r>
        <w:t>i</w:t>
      </w:r>
      <w:bookmarkEnd w:id="2999"/>
    </w:p>
    <w:p w:rsidR="007425F1" w:rsidRPr="00DC407F" w:rsidRDefault="007425F1" w:rsidP="007425F1">
      <w:pPr>
        <w:rPr>
          <w:rFonts w:cstheme="minorHAnsi"/>
        </w:rPr>
      </w:pPr>
      <w:r w:rsidRPr="00DC407F">
        <w:rPr>
          <w:rFonts w:cstheme="minorHAnsi"/>
        </w:rPr>
        <w:t xml:space="preserve">Základním strategickým </w:t>
      </w:r>
      <w:r>
        <w:rPr>
          <w:rFonts w:cstheme="minorHAnsi"/>
        </w:rPr>
        <w:t xml:space="preserve">sektorovým </w:t>
      </w:r>
      <w:r w:rsidRPr="00DC407F">
        <w:rPr>
          <w:rFonts w:cstheme="minorHAnsi"/>
        </w:rPr>
        <w:t xml:space="preserve">dokumentem, ze kterého </w:t>
      </w:r>
      <w:r>
        <w:rPr>
          <w:rFonts w:cstheme="minorHAnsi"/>
        </w:rPr>
        <w:t xml:space="preserve">OP ŽP 2014-2020 </w:t>
      </w:r>
      <w:r w:rsidRPr="00DC407F">
        <w:rPr>
          <w:rFonts w:cstheme="minorHAnsi"/>
        </w:rPr>
        <w:t>vychází pro</w:t>
      </w:r>
      <w:r w:rsidR="00F92B1D">
        <w:rPr>
          <w:rFonts w:cstheme="minorHAnsi"/>
        </w:rPr>
        <w:t> </w:t>
      </w:r>
      <w:r w:rsidRPr="00DC407F">
        <w:rPr>
          <w:rFonts w:cstheme="minorHAnsi"/>
        </w:rPr>
        <w:t>stanovování podporovaných opatření je Státní politika životního prostředí ČR 2012-2020. Podporovaná opatření odrážejí stav jednotlivých složek životního prostředí v dané lokalitě, intervence jsou směřovány do území se zhoršeným stavem v dané oblasti životního prostředí. Existence specifických potřeb jednotlivých regionů je i nadále v rámci OP</w:t>
      </w:r>
      <w:r>
        <w:rPr>
          <w:rFonts w:cstheme="minorHAnsi"/>
        </w:rPr>
        <w:t xml:space="preserve"> </w:t>
      </w:r>
      <w:r w:rsidRPr="00DC407F">
        <w:rPr>
          <w:rFonts w:cstheme="minorHAnsi"/>
        </w:rPr>
        <w:t xml:space="preserve">ŽP </w:t>
      </w:r>
      <w:r>
        <w:rPr>
          <w:rFonts w:cstheme="minorHAnsi"/>
        </w:rPr>
        <w:t xml:space="preserve">2014-2020 </w:t>
      </w:r>
      <w:r w:rsidRPr="00DC407F">
        <w:rPr>
          <w:rFonts w:cstheme="minorHAnsi"/>
        </w:rPr>
        <w:t>plně respektována a garantována. Tyto specifick</w:t>
      </w:r>
      <w:r>
        <w:rPr>
          <w:rFonts w:cstheme="minorHAnsi"/>
        </w:rPr>
        <w:t>é</w:t>
      </w:r>
      <w:r w:rsidRPr="00DC407F">
        <w:rPr>
          <w:rFonts w:cstheme="minorHAnsi"/>
        </w:rPr>
        <w:t xml:space="preserve"> potřeby jsou zohledněny nejen navrhovanými specifickými cíli a aktivitami, ale i zajištěním principu partnerství, tj. spolupráce s regionálními partnery na přípravě programového dokumentu.</w:t>
      </w:r>
    </w:p>
    <w:p w:rsidR="007425F1" w:rsidRPr="002C3221" w:rsidRDefault="007425F1" w:rsidP="007425F1">
      <w:r>
        <w:rPr>
          <w:rFonts w:cstheme="minorHAnsi"/>
        </w:rPr>
        <w:t>V</w:t>
      </w:r>
      <w:r w:rsidRPr="00DC407F">
        <w:rPr>
          <w:rFonts w:cstheme="minorHAnsi"/>
        </w:rPr>
        <w:t xml:space="preserve">ýrazným příkladem </w:t>
      </w:r>
      <w:r>
        <w:rPr>
          <w:rFonts w:cstheme="minorHAnsi"/>
        </w:rPr>
        <w:t xml:space="preserve">zajištění územní dimenze v OPŽP 2014-2020 </w:t>
      </w:r>
      <w:r w:rsidRPr="00DC407F">
        <w:rPr>
          <w:rFonts w:cstheme="minorHAnsi"/>
        </w:rPr>
        <w:t>jsou intervence v oblasti ochrany ovzduší, kdy budou podporovaná opatření zaměřena na území se zhoršenou kvalitou ovzduší.</w:t>
      </w:r>
      <w:r>
        <w:rPr>
          <w:rFonts w:cstheme="minorHAnsi"/>
        </w:rPr>
        <w:t xml:space="preserve"> </w:t>
      </w:r>
      <w:r>
        <w:t>Z</w:t>
      </w:r>
      <w:r w:rsidRPr="005D0B43">
        <w:rPr>
          <w:rFonts w:cs="Times New Roman"/>
        </w:rPr>
        <w:t>horšená kvalita ovzduší je problémem celého území České republiky, ale toto znečištění není rozloženo rovnoměrně, což je způsobeno geografickými a klimatickými podmínkami, koncentrací zdrojů znečišťování ovzduší a skladbou těchto zdrojů. Typickým příkladem je Moravskoslezský kraj nebo oblast severních Čech, kde je historicky vysoká koncentrace energetiky a těžkého průmyslu daná dostupností přírodních zdrojů.</w:t>
      </w:r>
      <w:r>
        <w:t xml:space="preserve"> </w:t>
      </w:r>
      <w:r w:rsidRPr="005D0B43">
        <w:t>Z uvedených důvodů lze očekávat, že intervence budou za</w:t>
      </w:r>
      <w:r w:rsidRPr="00467CB3">
        <w:t>měřena z velké části</w:t>
      </w:r>
      <w:r>
        <w:t xml:space="preserve"> </w:t>
      </w:r>
      <w:r w:rsidRPr="00467CB3">
        <w:t>na oblasti Mora</w:t>
      </w:r>
      <w:r w:rsidR="00693E53">
        <w:t xml:space="preserve">vskoslezského a Ústeckého kraje, </w:t>
      </w:r>
      <w:r w:rsidRPr="00A1025B">
        <w:t>kde je výrazně zhoršené ovzduší</w:t>
      </w:r>
      <w:r w:rsidRPr="005E666F">
        <w:t>. Zvláš</w:t>
      </w:r>
      <w:r>
        <w:t>t</w:t>
      </w:r>
      <w:r w:rsidRPr="00467CB3">
        <w:t>ě Moravskoslezský kraj představuje komplikovaný a velmi komplexní p</w:t>
      </w:r>
      <w:r w:rsidRPr="00045808">
        <w:t>roblém, ve kterém opatření na zlepšení kvality ovzduší jsou jen jedním z</w:t>
      </w:r>
      <w:r w:rsidRPr="00AF78A1">
        <w:t xml:space="preserve"> typů </w:t>
      </w:r>
      <w:r w:rsidRPr="00867370">
        <w:t xml:space="preserve">intervencí, které mohou přispět k jeho řešení. </w:t>
      </w:r>
      <w:r>
        <w:t>V rámci Prioritní osy 2 je proto počítáno se specifickým zvýhodněním lokalit ve smyslu usnesení vlády č. 732 ze dne 25. září 2013.</w:t>
      </w:r>
    </w:p>
    <w:p w:rsidR="004A49BB" w:rsidRDefault="007425F1" w:rsidP="00B66FDE">
      <w:pPr>
        <w:rPr>
          <w:rFonts w:cstheme="minorHAnsi"/>
        </w:rPr>
      </w:pPr>
      <w:r w:rsidRPr="004314F4">
        <w:rPr>
          <w:rFonts w:cstheme="minorHAnsi"/>
          <w:bCs/>
          <w:iCs/>
        </w:rPr>
        <w:t>Integrovaný přístup</w:t>
      </w:r>
      <w:r w:rsidRPr="004314F4">
        <w:rPr>
          <w:rFonts w:cstheme="minorHAnsi"/>
          <w:b/>
          <w:bCs/>
          <w:i/>
          <w:iCs/>
        </w:rPr>
        <w:t xml:space="preserve"> </w:t>
      </w:r>
      <w:r w:rsidRPr="004314F4">
        <w:rPr>
          <w:rFonts w:cstheme="minorHAnsi"/>
        </w:rPr>
        <w:t>představuje z pohledu regionálního rozvoje jednu z metod pro uplatnění územní dimenze, jež vyplývá ze samé podstaty integrace postavené na územní rozvojové strategii</w:t>
      </w:r>
      <w:r w:rsidRPr="004314F4">
        <w:rPr>
          <w:rStyle w:val="Znakapoznpodarou"/>
          <w:rFonts w:cstheme="minorHAnsi"/>
        </w:rPr>
        <w:footnoteReference w:id="2"/>
      </w:r>
      <w:r w:rsidRPr="004314F4">
        <w:rPr>
          <w:rFonts w:cstheme="minorHAnsi"/>
        </w:rPr>
        <w:t>. Jeho přínos je zejména dosažení vyšší kvality st</w:t>
      </w:r>
      <w:r>
        <w:rPr>
          <w:rFonts w:cstheme="minorHAnsi"/>
        </w:rPr>
        <w:t>rategického plánování, řízení a </w:t>
      </w:r>
      <w:r w:rsidRPr="004314F4">
        <w:rPr>
          <w:rFonts w:cstheme="minorHAnsi"/>
        </w:rPr>
        <w:t xml:space="preserve">efektivnější (zesilující a synergický efekt) vynakládání finančních prostředků. </w:t>
      </w:r>
      <w:r>
        <w:rPr>
          <w:rFonts w:cstheme="minorHAnsi"/>
        </w:rPr>
        <w:t>Řídicí orgán OP ŽP 2014-2020 připravuje pro identifikované specifické území typicky např. zvláště chráněná území možnost využití vlastního integrovaného nástroje napomáhajícího využití finančních prostředků s maximálním dopadem na složky životního prostředí v dané oblasti.</w:t>
      </w:r>
      <w:r w:rsidR="004A49BB">
        <w:rPr>
          <w:rFonts w:cstheme="minorHAnsi"/>
        </w:rPr>
        <w:t xml:space="preserve"> </w:t>
      </w:r>
    </w:p>
    <w:p w:rsidR="007425F1" w:rsidRPr="004314F4" w:rsidRDefault="004A49BB" w:rsidP="00B66FDE">
      <w:pPr>
        <w:rPr>
          <w:rFonts w:cstheme="minorHAnsi"/>
        </w:rPr>
      </w:pPr>
      <w:r>
        <w:rPr>
          <w:rFonts w:cstheme="minorHAnsi"/>
        </w:rPr>
        <w:t xml:space="preserve">Při výběru projektů bude dále zohledňováno, zda jsou předložené projekty součástí širší územní integrované strategie (např. Smart </w:t>
      </w:r>
      <w:proofErr w:type="spellStart"/>
      <w:r>
        <w:rPr>
          <w:rFonts w:cstheme="minorHAnsi"/>
        </w:rPr>
        <w:t>Cities</w:t>
      </w:r>
      <w:proofErr w:type="spellEnd"/>
      <w:r>
        <w:rPr>
          <w:rFonts w:cstheme="minorHAnsi"/>
        </w:rPr>
        <w:t xml:space="preserve">). </w:t>
      </w:r>
    </w:p>
    <w:p w:rsidR="00B65141" w:rsidRDefault="00AC470E" w:rsidP="00165854">
      <w:pPr>
        <w:pStyle w:val="Nadpis2"/>
      </w:pPr>
      <w:bookmarkStart w:id="3000" w:name="_Toc392151078"/>
      <w:bookmarkStart w:id="3001" w:name="_Toc350962112"/>
      <w:bookmarkStart w:id="3002" w:name="_Toc351472152"/>
      <w:r>
        <w:lastRenderedPageBreak/>
        <w:t>Nástroje k zajištění komunitně vedeného místního rozvoje</w:t>
      </w:r>
      <w:bookmarkEnd w:id="3000"/>
      <w:r>
        <w:t xml:space="preserve"> </w:t>
      </w:r>
    </w:p>
    <w:p w:rsidR="007C2163" w:rsidRDefault="007C2163" w:rsidP="00B66FDE">
      <w:r>
        <w:t>Komunitně vedený místní rozvoj bude podporován prostřednictvím spolupráce s místními akčními skupinami v souladu s Metodickým pokynem pro integrované nástroje (MMR), a</w:t>
      </w:r>
      <w:r w:rsidR="00F92B1D">
        <w:t> </w:t>
      </w:r>
      <w:r>
        <w:t>to</w:t>
      </w:r>
      <w:r w:rsidR="00F92B1D">
        <w:t> </w:t>
      </w:r>
      <w:r>
        <w:t>ve</w:t>
      </w:r>
      <w:r w:rsidR="00F92B1D">
        <w:t> </w:t>
      </w:r>
      <w:r>
        <w:t xml:space="preserve">specifickém cíli 4.2 Posílit biodiverzitu v aktivitách, které budou dále upřesněny jednotlivými výzvami. </w:t>
      </w:r>
    </w:p>
    <w:p w:rsidR="007C2163" w:rsidRPr="004314F4" w:rsidRDefault="007C2163" w:rsidP="00B66FDE">
      <w:r>
        <w:t>Celková alokace OPŽP na tento nástroj je 0,5 mld. Kč.</w:t>
      </w:r>
    </w:p>
    <w:p w:rsidR="00B65141" w:rsidRDefault="00AC470E" w:rsidP="00165854">
      <w:pPr>
        <w:pStyle w:val="Nadpis2"/>
      </w:pPr>
      <w:bookmarkStart w:id="3003" w:name="_Toc392151079"/>
      <w:r>
        <w:t>Integrovaná opatření pro udržitelný rozvoj měst</w:t>
      </w:r>
      <w:bookmarkEnd w:id="3003"/>
      <w:r>
        <w:t xml:space="preserve"> </w:t>
      </w:r>
      <w:r w:rsidR="00901C83" w:rsidRPr="004314F4">
        <w:t xml:space="preserve"> </w:t>
      </w:r>
      <w:bookmarkEnd w:id="3001"/>
      <w:bookmarkEnd w:id="3002"/>
    </w:p>
    <w:p w:rsidR="009623A8" w:rsidRDefault="00ED4FF2" w:rsidP="00B66FDE">
      <w:r w:rsidRPr="004314F4">
        <w:t xml:space="preserve">Otázka integrovaných přístupů není na národní úrovni dosud </w:t>
      </w:r>
      <w:r>
        <w:t xml:space="preserve">finálně </w:t>
      </w:r>
      <w:r w:rsidRPr="004314F4">
        <w:t xml:space="preserve">vyřešena. </w:t>
      </w:r>
      <w:r w:rsidR="0037158A" w:rsidRPr="004314F4">
        <w:t>Bude doplněno na základě jednání, která probíhají na národní úrovni</w:t>
      </w:r>
      <w:r w:rsidR="0037158A">
        <w:t xml:space="preserve"> s regionálními partnery</w:t>
      </w:r>
      <w:r w:rsidRPr="004314F4">
        <w:t>.</w:t>
      </w:r>
    </w:p>
    <w:p w:rsidR="00686896" w:rsidRPr="004314F4" w:rsidRDefault="001F1BB9" w:rsidP="00165854">
      <w:pPr>
        <w:pStyle w:val="Titulek"/>
      </w:pPr>
      <w:r>
        <w:t>Integrovaná opatření pro udržitelný ro</w:t>
      </w:r>
      <w:r w:rsidR="00AC470E">
        <w:t>z</w:t>
      </w:r>
      <w:r>
        <w:t xml:space="preserve">voj </w:t>
      </w:r>
      <w:proofErr w:type="gramStart"/>
      <w:r>
        <w:t>měst</w:t>
      </w:r>
      <w:proofErr w:type="gramEnd"/>
      <w:r>
        <w:t>–</w:t>
      </w:r>
      <w:proofErr w:type="gramStart"/>
      <w:r>
        <w:t>orientační</w:t>
      </w:r>
      <w:proofErr w:type="gramEnd"/>
      <w:r>
        <w:t xml:space="preserve"> částky podpory z EFRR</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3118"/>
        <w:gridCol w:w="3402"/>
      </w:tblGrid>
      <w:tr w:rsidR="00686896" w:rsidRPr="004314F4" w:rsidTr="00253FFB">
        <w:trPr>
          <w:trHeight w:val="336"/>
        </w:trPr>
        <w:tc>
          <w:tcPr>
            <w:tcW w:w="2658" w:type="dxa"/>
            <w:vMerge w:val="restart"/>
            <w:shd w:val="clear" w:color="auto" w:fill="BFBFBF" w:themeFill="background1" w:themeFillShade="BF"/>
          </w:tcPr>
          <w:p w:rsidR="00686896" w:rsidRPr="004314F4" w:rsidRDefault="00686896" w:rsidP="00B66FDE">
            <w:pPr>
              <w:rPr>
                <w:rFonts w:cstheme="minorHAnsi"/>
                <w:b/>
                <w:bCs/>
                <w:sz w:val="18"/>
                <w:szCs w:val="18"/>
              </w:rPr>
            </w:pPr>
            <w:r w:rsidRPr="004314F4">
              <w:rPr>
                <w:rFonts w:cstheme="minorHAnsi"/>
                <w:b/>
                <w:bCs/>
                <w:sz w:val="18"/>
                <w:szCs w:val="18"/>
              </w:rPr>
              <w:t>Fond</w:t>
            </w:r>
          </w:p>
        </w:tc>
        <w:tc>
          <w:tcPr>
            <w:tcW w:w="3118" w:type="dxa"/>
            <w:vMerge w:val="restart"/>
            <w:shd w:val="clear" w:color="auto" w:fill="BFBFBF" w:themeFill="background1" w:themeFillShade="BF"/>
          </w:tcPr>
          <w:p w:rsidR="00686896" w:rsidRPr="004314F4" w:rsidRDefault="001F1BB9" w:rsidP="001F1BB9">
            <w:pPr>
              <w:rPr>
                <w:rFonts w:cstheme="minorHAnsi"/>
                <w:b/>
                <w:bCs/>
                <w:sz w:val="18"/>
                <w:szCs w:val="18"/>
              </w:rPr>
            </w:pPr>
            <w:r>
              <w:rPr>
                <w:rFonts w:cstheme="minorHAnsi"/>
                <w:b/>
                <w:bCs/>
                <w:color w:val="000000"/>
                <w:kern w:val="32"/>
                <w:sz w:val="18"/>
                <w:szCs w:val="18"/>
              </w:rPr>
              <w:t xml:space="preserve">Podpora z EFRR (orientačně) (v </w:t>
            </w:r>
            <w:proofErr w:type="gramStart"/>
            <w:r>
              <w:rPr>
                <w:rFonts w:cstheme="minorHAnsi"/>
                <w:b/>
                <w:bCs/>
                <w:color w:val="000000"/>
                <w:kern w:val="32"/>
                <w:sz w:val="18"/>
                <w:szCs w:val="18"/>
              </w:rPr>
              <w:t>EUR</w:t>
            </w:r>
            <w:proofErr w:type="gramEnd"/>
            <w:r>
              <w:rPr>
                <w:rFonts w:cstheme="minorHAnsi"/>
                <w:b/>
                <w:bCs/>
                <w:color w:val="000000"/>
                <w:kern w:val="32"/>
                <w:sz w:val="18"/>
                <w:szCs w:val="18"/>
              </w:rPr>
              <w:t>)</w:t>
            </w:r>
          </w:p>
        </w:tc>
        <w:tc>
          <w:tcPr>
            <w:tcW w:w="3402" w:type="dxa"/>
            <w:vMerge w:val="restart"/>
            <w:shd w:val="clear" w:color="auto" w:fill="BFBFBF" w:themeFill="background1" w:themeFillShade="BF"/>
          </w:tcPr>
          <w:p w:rsidR="00686896" w:rsidRPr="004314F4" w:rsidRDefault="00686896" w:rsidP="001F1BB9">
            <w:pPr>
              <w:rPr>
                <w:rFonts w:cstheme="minorHAnsi"/>
                <w:b/>
                <w:bCs/>
                <w:sz w:val="18"/>
                <w:szCs w:val="18"/>
              </w:rPr>
            </w:pPr>
            <w:r w:rsidRPr="004314F4">
              <w:rPr>
                <w:rFonts w:cstheme="minorHAnsi"/>
                <w:b/>
                <w:bCs/>
                <w:color w:val="000000"/>
                <w:kern w:val="32"/>
                <w:sz w:val="18"/>
                <w:szCs w:val="18"/>
              </w:rPr>
              <w:t>Podíl</w:t>
            </w:r>
            <w:r w:rsidR="001F1BB9">
              <w:rPr>
                <w:rFonts w:cstheme="minorHAnsi"/>
                <w:b/>
                <w:bCs/>
                <w:color w:val="000000"/>
                <w:kern w:val="32"/>
                <w:sz w:val="18"/>
                <w:szCs w:val="18"/>
              </w:rPr>
              <w:t xml:space="preserve"> celkového přídělu fondu na operační program</w:t>
            </w:r>
            <w:r w:rsidRPr="004314F4">
              <w:rPr>
                <w:rFonts w:cstheme="minorHAnsi"/>
                <w:b/>
                <w:bCs/>
                <w:color w:val="000000"/>
                <w:kern w:val="32"/>
                <w:sz w:val="18"/>
                <w:szCs w:val="18"/>
              </w:rPr>
              <w:t xml:space="preserve"> (</w:t>
            </w:r>
            <w:r w:rsidR="001F1BB9">
              <w:rPr>
                <w:rFonts w:cstheme="minorHAnsi"/>
                <w:b/>
                <w:bCs/>
                <w:color w:val="000000"/>
                <w:kern w:val="32"/>
                <w:sz w:val="18"/>
                <w:szCs w:val="18"/>
              </w:rPr>
              <w:t xml:space="preserve">v </w:t>
            </w:r>
            <w:r w:rsidRPr="004314F4">
              <w:rPr>
                <w:rFonts w:cstheme="minorHAnsi"/>
                <w:b/>
                <w:bCs/>
                <w:color w:val="000000"/>
                <w:kern w:val="32"/>
                <w:sz w:val="18"/>
                <w:szCs w:val="18"/>
              </w:rPr>
              <w:t>%)</w:t>
            </w:r>
          </w:p>
        </w:tc>
      </w:tr>
      <w:tr w:rsidR="00686896" w:rsidRPr="004314F4" w:rsidTr="00253FFB">
        <w:trPr>
          <w:trHeight w:val="396"/>
        </w:trPr>
        <w:tc>
          <w:tcPr>
            <w:tcW w:w="2658" w:type="dxa"/>
            <w:vMerge/>
            <w:tcBorders>
              <w:bottom w:val="single" w:sz="18" w:space="0" w:color="auto"/>
            </w:tcBorders>
            <w:shd w:val="clear" w:color="auto" w:fill="BFBFBF" w:themeFill="background1" w:themeFillShade="BF"/>
          </w:tcPr>
          <w:p w:rsidR="00686896" w:rsidRPr="004314F4" w:rsidRDefault="00686896" w:rsidP="00B66FDE">
            <w:pPr>
              <w:rPr>
                <w:rFonts w:cstheme="minorHAnsi"/>
                <w:bCs/>
                <w:sz w:val="18"/>
                <w:szCs w:val="18"/>
              </w:rPr>
            </w:pPr>
          </w:p>
        </w:tc>
        <w:tc>
          <w:tcPr>
            <w:tcW w:w="3118" w:type="dxa"/>
            <w:vMerge/>
            <w:tcBorders>
              <w:bottom w:val="single" w:sz="18" w:space="0" w:color="auto"/>
            </w:tcBorders>
            <w:shd w:val="clear" w:color="auto" w:fill="BFBFBF" w:themeFill="background1" w:themeFillShade="BF"/>
          </w:tcPr>
          <w:p w:rsidR="00686896" w:rsidRPr="004314F4" w:rsidRDefault="00686896" w:rsidP="00B66FDE">
            <w:pPr>
              <w:rPr>
                <w:rFonts w:cstheme="minorHAnsi"/>
                <w:bCs/>
                <w:color w:val="000000"/>
                <w:kern w:val="32"/>
                <w:sz w:val="18"/>
                <w:szCs w:val="18"/>
              </w:rPr>
            </w:pPr>
          </w:p>
        </w:tc>
        <w:tc>
          <w:tcPr>
            <w:tcW w:w="3402" w:type="dxa"/>
            <w:vMerge/>
            <w:tcBorders>
              <w:bottom w:val="single" w:sz="18" w:space="0" w:color="auto"/>
            </w:tcBorders>
            <w:shd w:val="clear" w:color="auto" w:fill="BFBFBF" w:themeFill="background1" w:themeFillShade="BF"/>
          </w:tcPr>
          <w:p w:rsidR="00686896" w:rsidRPr="004314F4" w:rsidRDefault="00686896" w:rsidP="00B66FDE">
            <w:pPr>
              <w:rPr>
                <w:rFonts w:cstheme="minorHAnsi"/>
                <w:bCs/>
                <w:color w:val="000000"/>
                <w:kern w:val="32"/>
                <w:sz w:val="18"/>
                <w:szCs w:val="18"/>
              </w:rPr>
            </w:pPr>
          </w:p>
        </w:tc>
      </w:tr>
      <w:tr w:rsidR="00686896" w:rsidRPr="004314F4" w:rsidTr="00253FFB">
        <w:tc>
          <w:tcPr>
            <w:tcW w:w="2658" w:type="dxa"/>
            <w:tcBorders>
              <w:top w:val="single" w:sz="18" w:space="0" w:color="auto"/>
            </w:tcBorders>
          </w:tcPr>
          <w:p w:rsidR="00686896" w:rsidRPr="004314F4" w:rsidRDefault="00686896" w:rsidP="00B66FDE">
            <w:pPr>
              <w:rPr>
                <w:rFonts w:cstheme="minorHAnsi"/>
                <w:sz w:val="18"/>
                <w:szCs w:val="18"/>
              </w:rPr>
            </w:pPr>
            <w:r w:rsidRPr="004314F4">
              <w:rPr>
                <w:rFonts w:cstheme="minorHAnsi"/>
                <w:sz w:val="18"/>
                <w:szCs w:val="18"/>
              </w:rPr>
              <w:t>EFRR</w:t>
            </w:r>
            <w:r w:rsidR="001F1BB9">
              <w:rPr>
                <w:rFonts w:cstheme="minorHAnsi"/>
                <w:sz w:val="18"/>
                <w:szCs w:val="18"/>
              </w:rPr>
              <w:t xml:space="preserve"> celkem</w:t>
            </w:r>
          </w:p>
        </w:tc>
        <w:tc>
          <w:tcPr>
            <w:tcW w:w="3118" w:type="dxa"/>
            <w:tcBorders>
              <w:top w:val="single" w:sz="18" w:space="0" w:color="auto"/>
            </w:tcBorders>
          </w:tcPr>
          <w:p w:rsidR="00686896" w:rsidRPr="004314F4" w:rsidRDefault="00E51541" w:rsidP="00B66FDE">
            <w:pPr>
              <w:rPr>
                <w:rFonts w:cstheme="minorHAnsi"/>
                <w:sz w:val="18"/>
                <w:szCs w:val="18"/>
              </w:rPr>
            </w:pPr>
            <w:r>
              <w:rPr>
                <w:rFonts w:cstheme="minorHAnsi"/>
                <w:sz w:val="18"/>
                <w:szCs w:val="18"/>
              </w:rPr>
              <w:t>0</w:t>
            </w:r>
          </w:p>
        </w:tc>
        <w:tc>
          <w:tcPr>
            <w:tcW w:w="3402" w:type="dxa"/>
            <w:tcBorders>
              <w:top w:val="single" w:sz="18" w:space="0" w:color="auto"/>
            </w:tcBorders>
          </w:tcPr>
          <w:p w:rsidR="00686896" w:rsidRPr="004314F4" w:rsidRDefault="00E51541" w:rsidP="00B66FDE">
            <w:pPr>
              <w:rPr>
                <w:rFonts w:cstheme="minorHAnsi"/>
                <w:sz w:val="18"/>
                <w:szCs w:val="18"/>
              </w:rPr>
            </w:pPr>
            <w:r>
              <w:rPr>
                <w:rFonts w:cstheme="minorHAnsi"/>
                <w:sz w:val="18"/>
                <w:szCs w:val="18"/>
              </w:rPr>
              <w:t>0</w:t>
            </w:r>
          </w:p>
        </w:tc>
      </w:tr>
    </w:tbl>
    <w:p w:rsidR="005E6716" w:rsidRPr="008A061F" w:rsidRDefault="00686896" w:rsidP="00B66FDE">
      <w:pPr>
        <w:rPr>
          <w:rFonts w:cstheme="minorHAnsi"/>
          <w:i/>
          <w:sz w:val="20"/>
          <w:szCs w:val="20"/>
        </w:rPr>
      </w:pPr>
      <w:r w:rsidRPr="008A061F">
        <w:rPr>
          <w:rFonts w:cstheme="minorHAnsi"/>
          <w:i/>
          <w:sz w:val="20"/>
          <w:szCs w:val="20"/>
        </w:rPr>
        <w:t>Zdroj: Evropská komise</w:t>
      </w:r>
    </w:p>
    <w:p w:rsidR="00B65141" w:rsidRDefault="001F1BB9" w:rsidP="00165854">
      <w:pPr>
        <w:pStyle w:val="Nadpis2"/>
      </w:pPr>
      <w:bookmarkStart w:id="3004" w:name="_Toc392151080"/>
      <w:r>
        <w:t>I</w:t>
      </w:r>
      <w:r w:rsidR="00C36B21" w:rsidRPr="004314F4">
        <w:t>ntegrované územní investice (ITI)</w:t>
      </w:r>
      <w:bookmarkEnd w:id="3004"/>
    </w:p>
    <w:p w:rsidR="006679B6" w:rsidRPr="006679B6" w:rsidRDefault="00C36B21" w:rsidP="00B66FDE">
      <w:r w:rsidRPr="004314F4">
        <w:t xml:space="preserve">Otázka integrovaných přístupů není na národní úrovni dosud </w:t>
      </w:r>
      <w:r>
        <w:t xml:space="preserve">finálně </w:t>
      </w:r>
      <w:r w:rsidRPr="004314F4">
        <w:t>vyřešena. Bude doplněno na základě jednání, která probíhají na národní úrovni</w:t>
      </w:r>
      <w:r>
        <w:t xml:space="preserve"> s regionálními partnery</w:t>
      </w:r>
      <w:r w:rsidRPr="004314F4">
        <w:t>.</w:t>
      </w:r>
    </w:p>
    <w:p w:rsidR="00C36B21" w:rsidRPr="004314F4" w:rsidRDefault="00C36B21" w:rsidP="00165854">
      <w:pPr>
        <w:pStyle w:val="Titulek"/>
      </w:pPr>
      <w:r w:rsidRPr="004314F4">
        <w:t xml:space="preserve">Orientační finanční </w:t>
      </w:r>
      <w:r w:rsidR="001F1BB9">
        <w:t>příděl pro integrované územní investice neuvedené</w:t>
      </w:r>
      <w:r w:rsidR="00A75963">
        <w:t xml:space="preserve"> v </w:t>
      </w:r>
      <w:r w:rsidR="001F1BB9">
        <w:t xml:space="preserve">bodě </w:t>
      </w:r>
      <w:r w:rsidR="00A75963">
        <w:t>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3"/>
        <w:gridCol w:w="3093"/>
        <w:gridCol w:w="2994"/>
      </w:tblGrid>
      <w:tr w:rsidR="00C36B21" w:rsidRPr="004314F4" w:rsidTr="00253FFB">
        <w:tc>
          <w:tcPr>
            <w:tcW w:w="3093" w:type="dxa"/>
            <w:tcBorders>
              <w:bottom w:val="single" w:sz="18" w:space="0" w:color="auto"/>
            </w:tcBorders>
            <w:shd w:val="clear" w:color="auto" w:fill="BFBFBF" w:themeFill="background1" w:themeFillShade="BF"/>
          </w:tcPr>
          <w:p w:rsidR="00C36B21" w:rsidRPr="004314F4" w:rsidRDefault="00C36B21" w:rsidP="00B66FDE">
            <w:pPr>
              <w:rPr>
                <w:rFonts w:cstheme="minorHAnsi"/>
                <w:b/>
                <w:sz w:val="20"/>
              </w:rPr>
            </w:pPr>
            <w:r w:rsidRPr="004314F4">
              <w:rPr>
                <w:rFonts w:cstheme="minorHAnsi"/>
                <w:b/>
                <w:sz w:val="20"/>
              </w:rPr>
              <w:t>Prioritní osa</w:t>
            </w:r>
          </w:p>
        </w:tc>
        <w:tc>
          <w:tcPr>
            <w:tcW w:w="3093" w:type="dxa"/>
            <w:tcBorders>
              <w:bottom w:val="single" w:sz="18" w:space="0" w:color="auto"/>
            </w:tcBorders>
            <w:shd w:val="clear" w:color="auto" w:fill="BFBFBF" w:themeFill="background1" w:themeFillShade="BF"/>
          </w:tcPr>
          <w:p w:rsidR="00C36B21" w:rsidRPr="004314F4" w:rsidRDefault="00C36B21" w:rsidP="00B66FDE">
            <w:pPr>
              <w:rPr>
                <w:rFonts w:cstheme="minorHAnsi"/>
                <w:b/>
                <w:sz w:val="20"/>
              </w:rPr>
            </w:pPr>
            <w:r w:rsidRPr="004314F4">
              <w:rPr>
                <w:rFonts w:cstheme="minorHAnsi"/>
                <w:b/>
                <w:sz w:val="20"/>
              </w:rPr>
              <w:t>Fond</w:t>
            </w:r>
          </w:p>
        </w:tc>
        <w:tc>
          <w:tcPr>
            <w:tcW w:w="2994" w:type="dxa"/>
            <w:tcBorders>
              <w:bottom w:val="single" w:sz="18" w:space="0" w:color="auto"/>
            </w:tcBorders>
            <w:shd w:val="clear" w:color="auto" w:fill="BFBFBF" w:themeFill="background1" w:themeFillShade="BF"/>
          </w:tcPr>
          <w:p w:rsidR="00C36B21" w:rsidRPr="004314F4" w:rsidRDefault="00C36B21" w:rsidP="001F1BB9">
            <w:pPr>
              <w:rPr>
                <w:rFonts w:cstheme="minorHAnsi"/>
                <w:b/>
                <w:sz w:val="20"/>
              </w:rPr>
            </w:pPr>
            <w:r w:rsidRPr="004314F4">
              <w:rPr>
                <w:rFonts w:cstheme="minorHAnsi"/>
                <w:b/>
                <w:sz w:val="20"/>
              </w:rPr>
              <w:t xml:space="preserve">Orientační finanční </w:t>
            </w:r>
            <w:r w:rsidR="001F1BB9">
              <w:rPr>
                <w:rFonts w:cstheme="minorHAnsi"/>
                <w:b/>
                <w:sz w:val="20"/>
              </w:rPr>
              <w:t>příděl</w:t>
            </w:r>
            <w:r w:rsidR="001F1BB9" w:rsidRPr="004314F4">
              <w:rPr>
                <w:rFonts w:cstheme="minorHAnsi"/>
                <w:b/>
                <w:sz w:val="20"/>
              </w:rPr>
              <w:t xml:space="preserve"> </w:t>
            </w:r>
            <w:r w:rsidRPr="004314F4">
              <w:rPr>
                <w:rFonts w:cstheme="minorHAnsi"/>
                <w:b/>
                <w:sz w:val="20"/>
              </w:rPr>
              <w:t xml:space="preserve">(podpora </w:t>
            </w:r>
            <w:r w:rsidR="001F1BB9">
              <w:rPr>
                <w:rFonts w:cstheme="minorHAnsi"/>
                <w:b/>
                <w:sz w:val="20"/>
              </w:rPr>
              <w:t>Unie</w:t>
            </w:r>
            <w:r w:rsidRPr="004314F4">
              <w:rPr>
                <w:rFonts w:cstheme="minorHAnsi"/>
                <w:b/>
                <w:sz w:val="20"/>
              </w:rPr>
              <w:t>) (</w:t>
            </w:r>
            <w:r w:rsidR="001F1BB9">
              <w:rPr>
                <w:rFonts w:cstheme="minorHAnsi"/>
                <w:b/>
                <w:sz w:val="20"/>
              </w:rPr>
              <w:t xml:space="preserve">v </w:t>
            </w:r>
            <w:proofErr w:type="gramStart"/>
            <w:r w:rsidRPr="004314F4">
              <w:rPr>
                <w:rFonts w:cstheme="minorHAnsi"/>
                <w:b/>
                <w:sz w:val="20"/>
              </w:rPr>
              <w:t>EUR</w:t>
            </w:r>
            <w:proofErr w:type="gramEnd"/>
            <w:r w:rsidRPr="004314F4">
              <w:rPr>
                <w:rFonts w:cstheme="minorHAnsi"/>
                <w:b/>
                <w:sz w:val="20"/>
              </w:rPr>
              <w:t>)</w:t>
            </w:r>
          </w:p>
        </w:tc>
      </w:tr>
      <w:tr w:rsidR="00C36B21" w:rsidRPr="004314F4" w:rsidTr="00253FFB">
        <w:tc>
          <w:tcPr>
            <w:tcW w:w="3093" w:type="dxa"/>
          </w:tcPr>
          <w:p w:rsidR="00C36B21" w:rsidRPr="004314F4" w:rsidRDefault="00C36B21" w:rsidP="00B66FDE">
            <w:pPr>
              <w:rPr>
                <w:rFonts w:cstheme="minorHAnsi"/>
                <w:sz w:val="20"/>
              </w:rPr>
            </w:pPr>
            <w:r w:rsidRPr="004314F4">
              <w:rPr>
                <w:rFonts w:cstheme="minorHAnsi"/>
                <w:sz w:val="20"/>
              </w:rPr>
              <w:t>Celkem</w:t>
            </w:r>
          </w:p>
        </w:tc>
        <w:tc>
          <w:tcPr>
            <w:tcW w:w="3093" w:type="dxa"/>
          </w:tcPr>
          <w:p w:rsidR="00C36B21" w:rsidRPr="004314F4" w:rsidRDefault="00E51541" w:rsidP="00B66FDE">
            <w:pPr>
              <w:rPr>
                <w:rFonts w:cstheme="minorHAnsi"/>
                <w:sz w:val="20"/>
              </w:rPr>
            </w:pPr>
            <w:r>
              <w:rPr>
                <w:rFonts w:cstheme="minorHAnsi"/>
                <w:sz w:val="20"/>
              </w:rPr>
              <w:t>0</w:t>
            </w:r>
          </w:p>
        </w:tc>
        <w:tc>
          <w:tcPr>
            <w:tcW w:w="2994" w:type="dxa"/>
          </w:tcPr>
          <w:p w:rsidR="00C36B21" w:rsidRPr="004314F4" w:rsidRDefault="00E51541" w:rsidP="00B66FDE">
            <w:pPr>
              <w:rPr>
                <w:rFonts w:cstheme="minorHAnsi"/>
                <w:sz w:val="20"/>
              </w:rPr>
            </w:pPr>
            <w:r>
              <w:rPr>
                <w:rFonts w:cstheme="minorHAnsi"/>
                <w:sz w:val="20"/>
              </w:rPr>
              <w:t>0</w:t>
            </w:r>
          </w:p>
        </w:tc>
      </w:tr>
    </w:tbl>
    <w:p w:rsidR="0031631F" w:rsidRPr="008A061F" w:rsidRDefault="00C36B21" w:rsidP="00B66FDE">
      <w:pPr>
        <w:rPr>
          <w:rFonts w:cstheme="minorHAnsi"/>
          <w:i/>
          <w:sz w:val="20"/>
          <w:szCs w:val="20"/>
        </w:rPr>
      </w:pPr>
      <w:r w:rsidRPr="008A061F">
        <w:rPr>
          <w:rFonts w:cstheme="minorHAnsi"/>
          <w:i/>
          <w:sz w:val="20"/>
          <w:szCs w:val="20"/>
        </w:rPr>
        <w:t>Zdroj: Evropská komise</w:t>
      </w:r>
    </w:p>
    <w:p w:rsidR="006A3C46" w:rsidRDefault="00AC470E" w:rsidP="006A3C46">
      <w:pPr>
        <w:pStyle w:val="Nadpis2"/>
      </w:pPr>
      <w:bookmarkStart w:id="3005" w:name="_Toc392151081"/>
      <w:r>
        <w:t>Ujednání pro meziregionální a nadnárodní opatření v rámci operačního programu s příjemci, kteří se nacházejí alespoň v jednom dalším členském státu</w:t>
      </w:r>
      <w:bookmarkEnd w:id="3005"/>
      <w:r>
        <w:t xml:space="preserve"> </w:t>
      </w:r>
    </w:p>
    <w:p w:rsidR="00674BC9" w:rsidRDefault="00CF760E">
      <w:pPr>
        <w:pStyle w:val="Nadpis2"/>
      </w:pPr>
      <w:bookmarkStart w:id="3006" w:name="_Toc392151082"/>
      <w:r>
        <w:t xml:space="preserve">Přínos plánovaných opatření programu k realizaci </w:t>
      </w:r>
      <w:proofErr w:type="spellStart"/>
      <w:r>
        <w:t>makroregionálních</w:t>
      </w:r>
      <w:proofErr w:type="spellEnd"/>
      <w:r>
        <w:t xml:space="preserve"> strategií a strategií pro přímořské oblasti v závislosti na potřebách programové oblasti určených příslušným členským státům</w:t>
      </w:r>
      <w:bookmarkEnd w:id="3006"/>
    </w:p>
    <w:p w:rsidR="00674BC9" w:rsidRDefault="00AC470E">
      <w:pPr>
        <w:pStyle w:val="Nadpis3"/>
      </w:pPr>
      <w:bookmarkStart w:id="3007" w:name="_Toc392151083"/>
      <w:r>
        <w:t>Koordinace s </w:t>
      </w:r>
      <w:proofErr w:type="spellStart"/>
      <w:r>
        <w:t>makroregionální</w:t>
      </w:r>
      <w:proofErr w:type="spellEnd"/>
      <w:r>
        <w:t xml:space="preserve"> strategií Podunajská strategie</w:t>
      </w:r>
      <w:bookmarkEnd w:id="3007"/>
    </w:p>
    <w:p w:rsidR="00344818" w:rsidRPr="00A51363" w:rsidRDefault="0033290F" w:rsidP="00344818">
      <w:pPr>
        <w:autoSpaceDE w:val="0"/>
        <w:autoSpaceDN w:val="0"/>
        <w:adjustRightInd w:val="0"/>
        <w:rPr>
          <w:rFonts w:eastAsia="Times New Roman" w:cs="Times New Roman"/>
        </w:rPr>
      </w:pPr>
      <w:bookmarkStart w:id="3008" w:name="_Toc389480186"/>
      <w:r w:rsidRPr="0033290F">
        <w:rPr>
          <w:b/>
          <w:color w:val="FF0000"/>
        </w:rPr>
        <w:t xml:space="preserve"> </w:t>
      </w:r>
      <w:bookmarkStart w:id="3009" w:name="_Toc351472153"/>
      <w:bookmarkEnd w:id="3008"/>
      <w:r w:rsidR="00344818" w:rsidRPr="001F34B8">
        <w:rPr>
          <w:rFonts w:eastAsia="Times New Roman" w:cs="TimesNewRoman"/>
        </w:rPr>
        <w:t>„</w:t>
      </w:r>
      <w:r w:rsidR="00344818" w:rsidRPr="001F34B8">
        <w:rPr>
          <w:rFonts w:eastAsia="Times New Roman" w:cs="Times New Roman"/>
        </w:rPr>
        <w:t>Strategie</w:t>
      </w:r>
      <w:r w:rsidR="00344818" w:rsidRPr="00A51363">
        <w:rPr>
          <w:rFonts w:eastAsia="Times New Roman" w:cs="Times New Roman"/>
        </w:rPr>
        <w:t xml:space="preserve"> EU pro Podunají“ je popsána ve 2 dokumentech:</w:t>
      </w:r>
      <w:r w:rsidR="00344818">
        <w:rPr>
          <w:rFonts w:eastAsia="Times New Roman" w:cs="Times New Roman"/>
        </w:rPr>
        <w:t xml:space="preserve"> Sdělení ostatním orgánům EU a </w:t>
      </w:r>
      <w:r w:rsidR="00344818" w:rsidRPr="00A51363">
        <w:rPr>
          <w:rFonts w:eastAsia="Times New Roman" w:cs="Times New Roman"/>
        </w:rPr>
        <w:t xml:space="preserve">Akčním plánu, který toto sdělení doplňuje. Akční plán je jedním z výstupů přístupu ke strategii. </w:t>
      </w:r>
    </w:p>
    <w:p w:rsidR="00344818" w:rsidRPr="00A51363" w:rsidRDefault="00344818" w:rsidP="00344818">
      <w:pPr>
        <w:autoSpaceDE w:val="0"/>
        <w:autoSpaceDN w:val="0"/>
        <w:adjustRightInd w:val="0"/>
        <w:rPr>
          <w:rFonts w:eastAsia="Times New Roman" w:cs="Times New Roman"/>
        </w:rPr>
      </w:pPr>
    </w:p>
    <w:p w:rsidR="00344818" w:rsidRPr="00A51363" w:rsidRDefault="00344818" w:rsidP="00344818">
      <w:pPr>
        <w:autoSpaceDE w:val="0"/>
        <w:autoSpaceDN w:val="0"/>
        <w:adjustRightInd w:val="0"/>
        <w:rPr>
          <w:rFonts w:eastAsia="Times New Roman" w:cs="Times New Roman"/>
        </w:rPr>
      </w:pPr>
      <w:r w:rsidRPr="00A51363">
        <w:rPr>
          <w:rFonts w:eastAsia="Times New Roman" w:cs="Times New Roman"/>
        </w:rPr>
        <w:t xml:space="preserve">Navrhovaná opatření Podunajské strategie přispějí k plnění Strategie Evropa 2020. Samostatný pilíř </w:t>
      </w:r>
      <w:r>
        <w:rPr>
          <w:rFonts w:eastAsia="Times New Roman" w:cs="Times New Roman"/>
        </w:rPr>
        <w:t xml:space="preserve">„Ochrana ŽP Podunají“ </w:t>
      </w:r>
      <w:r w:rsidRPr="00A51363">
        <w:rPr>
          <w:rFonts w:eastAsia="Times New Roman" w:cs="Times New Roman"/>
        </w:rPr>
        <w:t xml:space="preserve">se zaměřuje na </w:t>
      </w:r>
      <w:r>
        <w:rPr>
          <w:rFonts w:eastAsia="Times New Roman" w:cs="Times New Roman"/>
        </w:rPr>
        <w:t>3</w:t>
      </w:r>
      <w:r w:rsidRPr="00A51363">
        <w:rPr>
          <w:rFonts w:eastAsia="Times New Roman" w:cs="Times New Roman"/>
        </w:rPr>
        <w:t xml:space="preserve"> prioritní oblasti: 1. obnovení a udržení k</w:t>
      </w:r>
      <w:r>
        <w:rPr>
          <w:rFonts w:eastAsia="Times New Roman" w:cs="Times New Roman"/>
        </w:rPr>
        <w:t>vality vod, 2. řízení rizik pro </w:t>
      </w:r>
      <w:r w:rsidRPr="00A51363">
        <w:rPr>
          <w:rFonts w:eastAsia="Times New Roman" w:cs="Times New Roman"/>
        </w:rPr>
        <w:t>životní prostředí a 3. ochranu biologické rozmanitosti, kr</w:t>
      </w:r>
      <w:r>
        <w:t>ajiny a kvality ovzduší a půdy.</w:t>
      </w:r>
    </w:p>
    <w:p w:rsidR="00344818" w:rsidRPr="00A51363" w:rsidRDefault="00344818" w:rsidP="00344818">
      <w:pPr>
        <w:autoSpaceDE w:val="0"/>
        <w:autoSpaceDN w:val="0"/>
        <w:adjustRightInd w:val="0"/>
        <w:rPr>
          <w:rFonts w:eastAsia="Times New Roman" w:cs="Times New Roman"/>
        </w:rPr>
      </w:pPr>
      <w:r w:rsidRPr="00A51363">
        <w:rPr>
          <w:rFonts w:eastAsia="Times New Roman" w:cs="Times New Roman"/>
        </w:rPr>
        <w:t>K tomuto pilíři přispějí další programy EU, zejména: 7. rámcový program pro výzkum, LIFE, národní programy, programy přeshraniční spo</w:t>
      </w:r>
      <w:r>
        <w:rPr>
          <w:rFonts w:eastAsia="Times New Roman" w:cs="Times New Roman"/>
        </w:rPr>
        <w:t>lupráce, NPP, ENPI, EZFRV, EFRR</w:t>
      </w:r>
      <w:r w:rsidRPr="00A51363">
        <w:rPr>
          <w:rFonts w:eastAsia="Times New Roman" w:cs="Times New Roman"/>
        </w:rPr>
        <w:t xml:space="preserve"> a možnost spolufinancování prostřednictvím </w:t>
      </w:r>
      <w:r>
        <w:rPr>
          <w:rFonts w:eastAsia="Times New Roman" w:cs="Times New Roman"/>
        </w:rPr>
        <w:t>úvěrů ze strany EIB, EBRD, CEB.</w:t>
      </w:r>
    </w:p>
    <w:p w:rsidR="00344818" w:rsidRPr="00A51363" w:rsidRDefault="00344818" w:rsidP="00344818">
      <w:pPr>
        <w:rPr>
          <w:rFonts w:eastAsia="Times New Roman" w:cs="Times New Roman"/>
        </w:rPr>
      </w:pPr>
      <w:r w:rsidRPr="00A51363">
        <w:rPr>
          <w:rFonts w:eastAsia="Times New Roman" w:cs="Times New Roman"/>
        </w:rPr>
        <w:t xml:space="preserve">Tematický cíl 6 „Ochrana </w:t>
      </w:r>
      <w:r>
        <w:rPr>
          <w:rFonts w:eastAsia="Times New Roman" w:cs="Times New Roman"/>
        </w:rPr>
        <w:t>ŽP</w:t>
      </w:r>
      <w:r w:rsidRPr="00A51363">
        <w:rPr>
          <w:rFonts w:eastAsia="Times New Roman" w:cs="Times New Roman"/>
        </w:rPr>
        <w:t xml:space="preserve"> a podpora účinného využívání zdrojů“ je zahrnut v programovém dokumentu OP</w:t>
      </w:r>
      <w:r>
        <w:rPr>
          <w:rFonts w:eastAsia="Times New Roman" w:cs="Times New Roman"/>
        </w:rPr>
        <w:t xml:space="preserve"> </w:t>
      </w:r>
      <w:r w:rsidRPr="00A51363">
        <w:rPr>
          <w:rFonts w:eastAsia="Times New Roman" w:cs="Times New Roman"/>
        </w:rPr>
        <w:t>ŽP 2014-2020 v následujících prioritních osách 1, 2, 3 a 4.  Uvedené prioritní osy navazují na následující priority Podunajské strategie: obnovení a</w:t>
      </w:r>
      <w:r>
        <w:rPr>
          <w:rFonts w:eastAsia="Times New Roman" w:cs="Times New Roman"/>
        </w:rPr>
        <w:t> </w:t>
      </w:r>
      <w:r w:rsidRPr="00A51363">
        <w:rPr>
          <w:rFonts w:eastAsia="Times New Roman" w:cs="Times New Roman"/>
        </w:rPr>
        <w:t>zachování kvality vody, management environmentálních rizik, ochrana biodiverzity, krajiny, kvality ovzduší a půdy.</w:t>
      </w:r>
    </w:p>
    <w:p w:rsidR="00344818" w:rsidRPr="00A51363" w:rsidRDefault="00344818" w:rsidP="00344818">
      <w:pPr>
        <w:rPr>
          <w:rFonts w:eastAsia="Times New Roman" w:cs="Times New Roman"/>
        </w:rPr>
      </w:pPr>
      <w:r w:rsidRPr="00A51363">
        <w:rPr>
          <w:rFonts w:eastAsia="Times New Roman" w:cs="Times New Roman"/>
        </w:rPr>
        <w:t xml:space="preserve">Prioritní oblast Podunajské strategie „Obnovení a zachování kvality vody“ identifikuje 4 hlavní problémy související s kvalitou vody v povodí Dunaje. V této oblasti probíhají s vazbou na </w:t>
      </w:r>
      <w:proofErr w:type="gramStart"/>
      <w:r w:rsidRPr="00A51363">
        <w:rPr>
          <w:rFonts w:eastAsia="Times New Roman" w:cs="Times New Roman"/>
        </w:rPr>
        <w:t>OP</w:t>
      </w:r>
      <w:proofErr w:type="gramEnd"/>
      <w:r w:rsidRPr="00A51363">
        <w:rPr>
          <w:rFonts w:eastAsia="Times New Roman" w:cs="Times New Roman"/>
        </w:rPr>
        <w:t xml:space="preserve"> akce zaměřené na investice a podporu pro systémy sběru informací, které vyvinula ICPDR, podpora významných investic do budov a modernizace čistíren městských odpadních vod v celém povodí Dunaje, vytvoření ochranných pásem podél řek k zachycování živin a podpora alternativního jímání a čištění odpadních vod, </w:t>
      </w:r>
      <w:r>
        <w:rPr>
          <w:rFonts w:eastAsia="Times New Roman" w:cs="Times New Roman"/>
        </w:rPr>
        <w:t>zpracování nebezpečných látek a </w:t>
      </w:r>
      <w:r w:rsidRPr="00A51363">
        <w:rPr>
          <w:rFonts w:eastAsia="Times New Roman" w:cs="Times New Roman"/>
        </w:rPr>
        <w:t>kontaminovaného kalu, podpora sanačních opatření v nebezpečných nebo opuštěných průmyslových lokalitách a skládkách odpadu, podpora kontinuity migrace ryb a podpora opatření k </w:t>
      </w:r>
      <w:r>
        <w:t>zabezpečení dodávek pitné vody.</w:t>
      </w:r>
    </w:p>
    <w:p w:rsidR="00344818" w:rsidRPr="00A51363" w:rsidRDefault="00344818" w:rsidP="00F625C4">
      <w:pPr>
        <w:autoSpaceDE w:val="0"/>
        <w:autoSpaceDN w:val="0"/>
        <w:adjustRightInd w:val="0"/>
        <w:rPr>
          <w:rFonts w:eastAsia="Times New Roman" w:cs="Times New Roman"/>
        </w:rPr>
      </w:pPr>
      <w:r w:rsidRPr="00A51363">
        <w:rPr>
          <w:rFonts w:eastAsia="Times New Roman" w:cs="Times New Roman"/>
        </w:rPr>
        <w:t>V rámci prioritní oblasti Podunajské strategie „Environmentální rizika“ se akční plán zaměřuje na vypracování a přijetí jednoho komplexního plánu řízení povodňových rizik koordinovaného na úrovni mezinárodního povodí, rozšíření pokrytí evropského systému varování pře</w:t>
      </w:r>
      <w:r>
        <w:rPr>
          <w:rFonts w:eastAsia="Times New Roman" w:cs="Times New Roman"/>
        </w:rPr>
        <w:t>d </w:t>
      </w:r>
      <w:r w:rsidRPr="00A51363">
        <w:rPr>
          <w:rFonts w:eastAsia="Times New Roman" w:cs="Times New Roman"/>
        </w:rPr>
        <w:t xml:space="preserve">povodněmi (EFAS) na celém povodí Dunaje, podporu společných reakcí na přírodní pohromy a záplavy, včetně systémů včasného varování, obnovování mokřadů a záplavových oblastí, průběžnou aktualizaci databáze lokalit s rizikem havárie, kontaminovaných lokalit a míst ke skladování nebezpečných látek, vypracování postupů a plánů rychlé reakce v případě průmyslové havárie, předvídání regionálních a místních dopadů změny klimatu prostřednictvím výzkumu a rozvoj činností v oblasti územního plánování a výstavby v souvislosti se změnou klimatu a větší hrozbou záplav. </w:t>
      </w:r>
    </w:p>
    <w:p w:rsidR="00344818" w:rsidRPr="00A51363" w:rsidRDefault="00344818" w:rsidP="00344818">
      <w:pPr>
        <w:autoSpaceDE w:val="0"/>
        <w:autoSpaceDN w:val="0"/>
        <w:adjustRightInd w:val="0"/>
        <w:rPr>
          <w:rFonts w:eastAsia="Times New Roman" w:cs="Times New Roman"/>
        </w:rPr>
      </w:pPr>
      <w:r w:rsidRPr="00A51363">
        <w:rPr>
          <w:rFonts w:eastAsia="Times New Roman" w:cs="Times New Roman"/>
        </w:rPr>
        <w:t>Prioritní oblast Podunajské strategie „Ochrana biodiverzity, krajiny, kvality ovzduší a půdy“ se ve své akčním plánu věnuje ochraně a obnovení ekosystémů a ohrožených živočišných druhů, správě míst v soustavě Natura 2000 a jiných chráněných oblastí, rozvoji zelené infrastruktury, omezení šíření nepůvodních invazních druhů, odstranění starých pesticidů a chemických látek, přípravě a realizaci nadnárodního územního plánování. Tato prioritní oblast se rovněž zabývá zajištěním náležitého zpracování pevného odpadu a snížením množství látek znečišťujících ovzduší a přispívá k vizi EU do roku 2050 a cíli EU 2020 v ob</w:t>
      </w:r>
      <w:r>
        <w:t xml:space="preserve">lasti biologické rozmanitosti. </w:t>
      </w:r>
    </w:p>
    <w:p w:rsidR="00344818" w:rsidRPr="00A51363" w:rsidRDefault="00344818" w:rsidP="00344818">
      <w:pPr>
        <w:autoSpaceDE w:val="0"/>
        <w:autoSpaceDN w:val="0"/>
        <w:adjustRightInd w:val="0"/>
        <w:rPr>
          <w:rFonts w:eastAsia="Times New Roman" w:cs="Times New Roman"/>
        </w:rPr>
      </w:pPr>
      <w:r w:rsidRPr="00A51363">
        <w:rPr>
          <w:rFonts w:eastAsia="Times New Roman" w:cs="Times New Roman"/>
        </w:rPr>
        <w:lastRenderedPageBreak/>
        <w:t>Akční plán navazuje na projekty související s</w:t>
      </w:r>
      <w:r>
        <w:rPr>
          <w:rFonts w:eastAsia="Times New Roman" w:cs="Times New Roman"/>
        </w:rPr>
        <w:t> </w:t>
      </w:r>
      <w:r w:rsidRPr="00A51363">
        <w:rPr>
          <w:rFonts w:eastAsia="Times New Roman" w:cs="Times New Roman"/>
        </w:rPr>
        <w:t>dopravou</w:t>
      </w:r>
      <w:r>
        <w:rPr>
          <w:rFonts w:eastAsia="Times New Roman" w:cs="Times New Roman"/>
        </w:rPr>
        <w:t>, energetikou, OZE a energetickou účinností</w:t>
      </w:r>
      <w:r w:rsidRPr="00A51363">
        <w:rPr>
          <w:rFonts w:eastAsia="Times New Roman" w:cs="Times New Roman"/>
        </w:rPr>
        <w:t xml:space="preserve"> na Dunaji, přeshraniční infrastrukturu a projekty TEN-T</w:t>
      </w:r>
      <w:r>
        <w:rPr>
          <w:rFonts w:eastAsia="Times New Roman" w:cs="Times New Roman"/>
        </w:rPr>
        <w:t>, TEN-E</w:t>
      </w:r>
      <w:r w:rsidRPr="00A51363">
        <w:rPr>
          <w:rFonts w:eastAsia="Times New Roman" w:cs="Times New Roman"/>
        </w:rPr>
        <w:t xml:space="preserve"> procházející Podunajím. </w:t>
      </w:r>
    </w:p>
    <w:p w:rsidR="00CF760E" w:rsidRDefault="00CF760E" w:rsidP="006A3C46"/>
    <w:p w:rsidR="00F625C4" w:rsidRDefault="00F625C4" w:rsidP="006A3C46"/>
    <w:p w:rsidR="00F625C4" w:rsidRDefault="00F625C4" w:rsidP="006A3C46"/>
    <w:p w:rsidR="00F625C4" w:rsidRDefault="00F625C4" w:rsidP="006A3C46"/>
    <w:p w:rsidR="00F625C4" w:rsidRDefault="00F625C4" w:rsidP="006A3C46"/>
    <w:p w:rsidR="00F625C4" w:rsidRDefault="00F625C4" w:rsidP="006A3C46"/>
    <w:p w:rsidR="00F625C4" w:rsidRDefault="00F625C4" w:rsidP="006A3C46"/>
    <w:p w:rsidR="00F625C4" w:rsidRDefault="00F625C4" w:rsidP="006A3C46"/>
    <w:p w:rsidR="00F625C4" w:rsidRDefault="00F625C4" w:rsidP="006A3C46"/>
    <w:p w:rsidR="00F625C4" w:rsidRDefault="00F625C4" w:rsidP="006A3C46"/>
    <w:p w:rsidR="00F625C4" w:rsidRDefault="00F625C4" w:rsidP="006A3C46"/>
    <w:p w:rsidR="00F625C4" w:rsidRDefault="00F625C4" w:rsidP="006A3C46"/>
    <w:p w:rsidR="00F625C4" w:rsidRDefault="00F625C4" w:rsidP="006A3C46"/>
    <w:p w:rsidR="00F625C4" w:rsidRDefault="00F625C4" w:rsidP="006A3C46"/>
    <w:p w:rsidR="00F625C4" w:rsidRDefault="00F625C4" w:rsidP="006A3C46"/>
    <w:p w:rsidR="00F625C4" w:rsidRDefault="00F625C4" w:rsidP="006A3C46"/>
    <w:p w:rsidR="00F625C4" w:rsidRDefault="00F625C4" w:rsidP="006A3C46"/>
    <w:p w:rsidR="00F625C4" w:rsidRDefault="00F625C4" w:rsidP="006A3C46"/>
    <w:p w:rsidR="00F625C4" w:rsidRDefault="00F625C4" w:rsidP="006A3C46"/>
    <w:p w:rsidR="00F625C4" w:rsidRDefault="00F625C4" w:rsidP="006A3C46"/>
    <w:p w:rsidR="00F625C4" w:rsidRDefault="00F625C4" w:rsidP="006A3C46"/>
    <w:p w:rsidR="00F625C4" w:rsidRDefault="00F625C4" w:rsidP="006A3C46"/>
    <w:p w:rsidR="00CF760E" w:rsidRDefault="00CF760E" w:rsidP="00CF760E">
      <w:pPr>
        <w:pStyle w:val="Nadpis1"/>
      </w:pPr>
      <w:bookmarkStart w:id="3010" w:name="_Toc392151084"/>
      <w:r>
        <w:lastRenderedPageBreak/>
        <w:t>Specifické potřeby zeměpisných oblastí nejvíce postižených chudobou nebo cílových skupin, jimž nejvíce hrozí diskriminace nebo sociální vyloučení</w:t>
      </w:r>
      <w:bookmarkEnd w:id="3010"/>
    </w:p>
    <w:p w:rsidR="00674BC9" w:rsidRDefault="00CF760E">
      <w:r>
        <w:t>Není relevantní pro OP ŽP 2014-2020.</w:t>
      </w:r>
    </w:p>
    <w:p w:rsidR="00674BC9" w:rsidRDefault="005E12BA">
      <w:r>
        <w:br w:type="page"/>
      </w:r>
    </w:p>
    <w:p w:rsidR="00901C83" w:rsidRDefault="00CF760E" w:rsidP="00165854">
      <w:pPr>
        <w:pStyle w:val="Nadpis1"/>
      </w:pPr>
      <w:bookmarkStart w:id="3011" w:name="_Toc392151085"/>
      <w:r>
        <w:lastRenderedPageBreak/>
        <w:t>Specifické</w:t>
      </w:r>
      <w:r w:rsidR="00901C83" w:rsidRPr="004314F4">
        <w:t xml:space="preserve"> potřeby zeměpisných oblastí, které jsou </w:t>
      </w:r>
      <w:r>
        <w:t>závažně a trvale znevýhodněny přírodními nebo demografickými podmínkami</w:t>
      </w:r>
      <w:bookmarkEnd w:id="3009"/>
      <w:bookmarkEnd w:id="3011"/>
    </w:p>
    <w:p w:rsidR="00CC550C" w:rsidRPr="00CC550C" w:rsidRDefault="0033290F" w:rsidP="00CC550C">
      <w:pPr>
        <w:spacing w:before="120"/>
        <w:rPr>
          <w:rFonts w:cs="Arial"/>
          <w:color w:val="000000"/>
        </w:rPr>
      </w:pPr>
      <w:r w:rsidRPr="0033290F">
        <w:rPr>
          <w:rFonts w:cs="Arial"/>
          <w:color w:val="000000"/>
        </w:rPr>
        <w:t>Pro ČR není využití této kapitoly operačního progr</w:t>
      </w:r>
      <w:r w:rsidR="00F5102A">
        <w:rPr>
          <w:rFonts w:cs="Arial"/>
          <w:color w:val="000000"/>
        </w:rPr>
        <w:t>amu relevantní vzhledem k tomu, </w:t>
      </w:r>
      <w:r w:rsidR="00B85DEF">
        <w:rPr>
          <w:rFonts w:cs="Arial"/>
          <w:color w:val="000000"/>
        </w:rPr>
        <w:t>že se na </w:t>
      </w:r>
      <w:r w:rsidRPr="0033290F">
        <w:rPr>
          <w:rFonts w:cs="Arial"/>
          <w:color w:val="000000"/>
        </w:rPr>
        <w:t>jejím území nenacházejí regiony, na které se vztahují parametry čl. 174 Smlouvy.</w:t>
      </w:r>
    </w:p>
    <w:p w:rsidR="00674BC9" w:rsidRDefault="00674BC9"/>
    <w:p w:rsidR="008B5313" w:rsidRDefault="008B5313" w:rsidP="00B66FDE">
      <w:pPr>
        <w:rPr>
          <w:rFonts w:asciiTheme="majorHAnsi" w:eastAsiaTheme="majorEastAsia" w:hAnsiTheme="majorHAnsi"/>
          <w:b/>
          <w:bCs/>
          <w:color w:val="76923C" w:themeColor="accent3" w:themeShade="BF"/>
          <w:sz w:val="32"/>
          <w:szCs w:val="28"/>
        </w:rPr>
      </w:pPr>
      <w:bookmarkStart w:id="3012" w:name="_Toc351472155"/>
      <w:bookmarkStart w:id="3013" w:name="_Toc350962114"/>
      <w:r>
        <w:br w:type="page"/>
      </w:r>
    </w:p>
    <w:p w:rsidR="00674BC9" w:rsidRDefault="0033290F">
      <w:pPr>
        <w:pStyle w:val="Nadpis1"/>
      </w:pPr>
      <w:bookmarkStart w:id="3014" w:name="_Toc389822529"/>
      <w:bookmarkStart w:id="3015" w:name="_Toc390414341"/>
      <w:bookmarkStart w:id="3016" w:name="_Toc390414588"/>
      <w:bookmarkStart w:id="3017" w:name="_Toc390414832"/>
      <w:bookmarkStart w:id="3018" w:name="_Toc391015018"/>
      <w:bookmarkStart w:id="3019" w:name="_Toc391016169"/>
      <w:bookmarkStart w:id="3020" w:name="_Toc391017108"/>
      <w:bookmarkStart w:id="3021" w:name="_Toc391018221"/>
      <w:bookmarkStart w:id="3022" w:name="_Toc391019333"/>
      <w:bookmarkStart w:id="3023" w:name="_Toc350902372"/>
      <w:bookmarkStart w:id="3024" w:name="_Toc350902434"/>
      <w:bookmarkStart w:id="3025" w:name="_Toc351472156"/>
      <w:bookmarkStart w:id="3026" w:name="_Toc392151086"/>
      <w:bookmarkEnd w:id="3012"/>
      <w:bookmarkEnd w:id="3014"/>
      <w:bookmarkEnd w:id="3015"/>
      <w:bookmarkEnd w:id="3016"/>
      <w:bookmarkEnd w:id="3017"/>
      <w:bookmarkEnd w:id="3018"/>
      <w:bookmarkEnd w:id="3019"/>
      <w:bookmarkEnd w:id="3020"/>
      <w:bookmarkEnd w:id="3021"/>
      <w:bookmarkEnd w:id="3022"/>
      <w:bookmarkEnd w:id="3023"/>
      <w:bookmarkEnd w:id="3024"/>
      <w:r w:rsidRPr="0033290F">
        <w:lastRenderedPageBreak/>
        <w:t>Orgány a subjekty odpovědné za řízení, kontrolu a audit</w:t>
      </w:r>
      <w:bookmarkEnd w:id="3025"/>
      <w:r w:rsidRPr="0033290F">
        <w:t xml:space="preserve"> a úloha příslušných partnerů</w:t>
      </w:r>
      <w:bookmarkEnd w:id="3026"/>
    </w:p>
    <w:p w:rsidR="00674BC9" w:rsidRDefault="00F73042">
      <w:pPr>
        <w:pStyle w:val="Nadpis2"/>
      </w:pPr>
      <w:bookmarkStart w:id="3027" w:name="_Toc392151087"/>
      <w:r>
        <w:t>Příslušné orgány a subjekty</w:t>
      </w:r>
      <w:bookmarkEnd w:id="3027"/>
    </w:p>
    <w:p w:rsidR="00901C83" w:rsidRPr="004314F4" w:rsidRDefault="00F73042" w:rsidP="00F73042">
      <w:pPr>
        <w:pStyle w:val="Titulek"/>
      </w:pPr>
      <w:r>
        <w:t>Příslušné orgány a subjekty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543"/>
        <w:gridCol w:w="3402"/>
      </w:tblGrid>
      <w:tr w:rsidR="009D1445" w:rsidRPr="004314F4" w:rsidTr="001D6265">
        <w:tc>
          <w:tcPr>
            <w:tcW w:w="2235" w:type="dxa"/>
            <w:shd w:val="clear" w:color="auto" w:fill="BFBFBF" w:themeFill="background1" w:themeFillShade="BF"/>
          </w:tcPr>
          <w:p w:rsidR="009D1445" w:rsidRPr="001D6265" w:rsidRDefault="00F73042" w:rsidP="00B66FDE">
            <w:pPr>
              <w:rPr>
                <w:b/>
                <w:sz w:val="20"/>
              </w:rPr>
            </w:pPr>
            <w:r>
              <w:rPr>
                <w:b/>
                <w:sz w:val="20"/>
              </w:rPr>
              <w:t>Orgán/Subjekt</w:t>
            </w:r>
          </w:p>
        </w:tc>
        <w:tc>
          <w:tcPr>
            <w:tcW w:w="3543" w:type="dxa"/>
            <w:shd w:val="clear" w:color="auto" w:fill="BFBFBF" w:themeFill="background1" w:themeFillShade="BF"/>
          </w:tcPr>
          <w:p w:rsidR="009D1445" w:rsidRPr="001D6265" w:rsidRDefault="001D6265" w:rsidP="00F73042">
            <w:pPr>
              <w:rPr>
                <w:b/>
                <w:sz w:val="20"/>
              </w:rPr>
            </w:pPr>
            <w:r>
              <w:rPr>
                <w:b/>
                <w:sz w:val="20"/>
              </w:rPr>
              <w:t>Název orgánu</w:t>
            </w:r>
            <w:r w:rsidR="00F73042">
              <w:rPr>
                <w:b/>
                <w:sz w:val="20"/>
              </w:rPr>
              <w:t>/subjektu a</w:t>
            </w:r>
            <w:r>
              <w:rPr>
                <w:b/>
                <w:sz w:val="20"/>
              </w:rPr>
              <w:t xml:space="preserve"> odbor</w:t>
            </w:r>
            <w:r w:rsidR="00F73042">
              <w:rPr>
                <w:b/>
                <w:sz w:val="20"/>
              </w:rPr>
              <w:t>u</w:t>
            </w:r>
            <w:r>
              <w:rPr>
                <w:b/>
                <w:sz w:val="20"/>
              </w:rPr>
              <w:t xml:space="preserve"> či oddělení</w:t>
            </w:r>
          </w:p>
        </w:tc>
        <w:tc>
          <w:tcPr>
            <w:tcW w:w="3402" w:type="dxa"/>
            <w:shd w:val="clear" w:color="auto" w:fill="BFBFBF" w:themeFill="background1" w:themeFillShade="BF"/>
          </w:tcPr>
          <w:p w:rsidR="009D1445" w:rsidRPr="001D6265" w:rsidRDefault="00F73042" w:rsidP="00B66FDE">
            <w:pPr>
              <w:rPr>
                <w:b/>
                <w:sz w:val="20"/>
              </w:rPr>
            </w:pPr>
            <w:r>
              <w:rPr>
                <w:b/>
                <w:sz w:val="20"/>
              </w:rPr>
              <w:t>Vedoucí orgánu/subjektu (pozice nebo funkce)</w:t>
            </w:r>
          </w:p>
        </w:tc>
      </w:tr>
      <w:tr w:rsidR="009D1445" w:rsidRPr="004314F4" w:rsidTr="00143CDD">
        <w:tc>
          <w:tcPr>
            <w:tcW w:w="2235" w:type="dxa"/>
          </w:tcPr>
          <w:p w:rsidR="009D1445" w:rsidRPr="004314F4" w:rsidRDefault="009D1445" w:rsidP="00B66FDE">
            <w:pPr>
              <w:rPr>
                <w:sz w:val="20"/>
              </w:rPr>
            </w:pPr>
            <w:r w:rsidRPr="004314F4">
              <w:rPr>
                <w:sz w:val="20"/>
              </w:rPr>
              <w:t>Řídící orgán</w:t>
            </w:r>
          </w:p>
        </w:tc>
        <w:tc>
          <w:tcPr>
            <w:tcW w:w="3543" w:type="dxa"/>
          </w:tcPr>
          <w:p w:rsidR="009D1445" w:rsidRPr="004314F4" w:rsidRDefault="009D1445" w:rsidP="00B66FDE">
            <w:pPr>
              <w:rPr>
                <w:sz w:val="20"/>
              </w:rPr>
            </w:pPr>
            <w:r w:rsidRPr="004314F4">
              <w:rPr>
                <w:sz w:val="20"/>
              </w:rPr>
              <w:t>Ministerstvo životního prostředí</w:t>
            </w:r>
          </w:p>
          <w:p w:rsidR="009D1445" w:rsidRPr="004314F4" w:rsidRDefault="009D1445" w:rsidP="00B66FDE">
            <w:pPr>
              <w:rPr>
                <w:sz w:val="20"/>
                <w:szCs w:val="20"/>
              </w:rPr>
            </w:pPr>
            <w:r w:rsidRPr="004314F4">
              <w:rPr>
                <w:sz w:val="20"/>
                <w:szCs w:val="20"/>
              </w:rPr>
              <w:t>(usnesení vlády č. 867 ze dne</w:t>
            </w:r>
            <w:r w:rsidR="00F8405D">
              <w:rPr>
                <w:sz w:val="20"/>
                <w:szCs w:val="20"/>
              </w:rPr>
              <w:t xml:space="preserve"> </w:t>
            </w:r>
            <w:r w:rsidRPr="004314F4">
              <w:rPr>
                <w:sz w:val="20"/>
                <w:szCs w:val="20"/>
              </w:rPr>
              <w:t>28.</w:t>
            </w:r>
            <w:r w:rsidR="00F63D67">
              <w:rPr>
                <w:sz w:val="20"/>
                <w:szCs w:val="20"/>
              </w:rPr>
              <w:t xml:space="preserve"> </w:t>
            </w:r>
            <w:r w:rsidRPr="004314F4">
              <w:rPr>
                <w:sz w:val="20"/>
                <w:szCs w:val="20"/>
              </w:rPr>
              <w:t>11.</w:t>
            </w:r>
            <w:r w:rsidR="00F63D67">
              <w:rPr>
                <w:sz w:val="20"/>
                <w:szCs w:val="20"/>
              </w:rPr>
              <w:t xml:space="preserve"> </w:t>
            </w:r>
            <w:r w:rsidRPr="004314F4">
              <w:rPr>
                <w:sz w:val="20"/>
                <w:szCs w:val="20"/>
              </w:rPr>
              <w:t>2013)</w:t>
            </w:r>
          </w:p>
        </w:tc>
        <w:tc>
          <w:tcPr>
            <w:tcW w:w="3402" w:type="dxa"/>
          </w:tcPr>
          <w:p w:rsidR="009D1445" w:rsidRPr="004314F4" w:rsidRDefault="00F10FA7" w:rsidP="00B66FDE">
            <w:pPr>
              <w:rPr>
                <w:sz w:val="20"/>
              </w:rPr>
            </w:pPr>
            <w:r>
              <w:rPr>
                <w:sz w:val="20"/>
              </w:rPr>
              <w:t>Ministr životního prostředí/náměstek ministra-ředitel sekce fondů EU, ekonomických a dobrovolných nástrojů</w:t>
            </w:r>
          </w:p>
        </w:tc>
      </w:tr>
      <w:tr w:rsidR="001D6265" w:rsidRPr="004314F4" w:rsidTr="00143CDD">
        <w:tc>
          <w:tcPr>
            <w:tcW w:w="2235" w:type="dxa"/>
          </w:tcPr>
          <w:p w:rsidR="001D6265" w:rsidRPr="004314F4" w:rsidRDefault="001D6265" w:rsidP="00B66FDE">
            <w:pPr>
              <w:rPr>
                <w:sz w:val="20"/>
              </w:rPr>
            </w:pPr>
            <w:r w:rsidRPr="004314F4">
              <w:rPr>
                <w:sz w:val="20"/>
              </w:rPr>
              <w:t>Certifikační orgán</w:t>
            </w:r>
          </w:p>
        </w:tc>
        <w:tc>
          <w:tcPr>
            <w:tcW w:w="3543" w:type="dxa"/>
          </w:tcPr>
          <w:p w:rsidR="001D6265" w:rsidRPr="004314F4" w:rsidRDefault="001D6265" w:rsidP="00B66FDE">
            <w:pPr>
              <w:rPr>
                <w:sz w:val="20"/>
              </w:rPr>
            </w:pPr>
            <w:r w:rsidRPr="004314F4">
              <w:rPr>
                <w:sz w:val="20"/>
              </w:rPr>
              <w:t>Ministerstvo financí</w:t>
            </w:r>
          </w:p>
        </w:tc>
        <w:tc>
          <w:tcPr>
            <w:tcW w:w="3402" w:type="dxa"/>
          </w:tcPr>
          <w:p w:rsidR="001D6265" w:rsidRPr="004314F4" w:rsidRDefault="00F10FA7" w:rsidP="00B66FDE">
            <w:pPr>
              <w:rPr>
                <w:sz w:val="20"/>
              </w:rPr>
            </w:pPr>
            <w:r>
              <w:rPr>
                <w:sz w:val="20"/>
              </w:rPr>
              <w:t>Ministr/náměstek</w:t>
            </w:r>
          </w:p>
        </w:tc>
      </w:tr>
      <w:tr w:rsidR="001D6265" w:rsidRPr="004314F4" w:rsidTr="00143CDD">
        <w:tc>
          <w:tcPr>
            <w:tcW w:w="2235" w:type="dxa"/>
          </w:tcPr>
          <w:p w:rsidR="001D6265" w:rsidRPr="004314F4" w:rsidRDefault="001D6265" w:rsidP="00B66FDE">
            <w:pPr>
              <w:rPr>
                <w:sz w:val="20"/>
              </w:rPr>
            </w:pPr>
            <w:r w:rsidRPr="004314F4">
              <w:rPr>
                <w:sz w:val="20"/>
              </w:rPr>
              <w:t>Auditní orgán</w:t>
            </w:r>
          </w:p>
        </w:tc>
        <w:tc>
          <w:tcPr>
            <w:tcW w:w="3543" w:type="dxa"/>
          </w:tcPr>
          <w:p w:rsidR="001D6265" w:rsidRPr="004314F4" w:rsidRDefault="001D6265" w:rsidP="00B66FDE">
            <w:pPr>
              <w:rPr>
                <w:sz w:val="20"/>
              </w:rPr>
            </w:pPr>
            <w:r w:rsidRPr="004314F4">
              <w:rPr>
                <w:sz w:val="20"/>
              </w:rPr>
              <w:t>Ministerstvo financí</w:t>
            </w:r>
          </w:p>
        </w:tc>
        <w:tc>
          <w:tcPr>
            <w:tcW w:w="3402" w:type="dxa"/>
          </w:tcPr>
          <w:p w:rsidR="001D6265" w:rsidRPr="004314F4" w:rsidRDefault="00F10FA7" w:rsidP="00B66FDE">
            <w:pPr>
              <w:rPr>
                <w:sz w:val="20"/>
              </w:rPr>
            </w:pPr>
            <w:r>
              <w:rPr>
                <w:sz w:val="20"/>
              </w:rPr>
              <w:t>Ministr/náměstek</w:t>
            </w:r>
          </w:p>
        </w:tc>
      </w:tr>
      <w:tr w:rsidR="001D6265" w:rsidRPr="004314F4" w:rsidTr="001D6265">
        <w:trPr>
          <w:trHeight w:val="569"/>
        </w:trPr>
        <w:tc>
          <w:tcPr>
            <w:tcW w:w="2235" w:type="dxa"/>
          </w:tcPr>
          <w:p w:rsidR="001D6265" w:rsidRPr="004314F4" w:rsidRDefault="00CC550C" w:rsidP="00B66FDE">
            <w:pPr>
              <w:rPr>
                <w:sz w:val="20"/>
              </w:rPr>
            </w:pPr>
            <w:r>
              <w:rPr>
                <w:sz w:val="20"/>
              </w:rPr>
              <w:t>Subjekt, kterému má Komise poukazovat platby</w:t>
            </w:r>
          </w:p>
        </w:tc>
        <w:tc>
          <w:tcPr>
            <w:tcW w:w="3543" w:type="dxa"/>
          </w:tcPr>
          <w:p w:rsidR="001D6265" w:rsidRPr="004314F4" w:rsidRDefault="001D6265" w:rsidP="00B66FDE">
            <w:pPr>
              <w:rPr>
                <w:sz w:val="20"/>
              </w:rPr>
            </w:pPr>
            <w:r w:rsidRPr="004314F4">
              <w:rPr>
                <w:sz w:val="20"/>
              </w:rPr>
              <w:t>Ministerstvo financí</w:t>
            </w:r>
          </w:p>
        </w:tc>
        <w:tc>
          <w:tcPr>
            <w:tcW w:w="3402" w:type="dxa"/>
          </w:tcPr>
          <w:p w:rsidR="001D6265" w:rsidRPr="004314F4" w:rsidRDefault="00F10FA7" w:rsidP="00B66FDE">
            <w:pPr>
              <w:rPr>
                <w:sz w:val="20"/>
              </w:rPr>
            </w:pPr>
            <w:r>
              <w:rPr>
                <w:sz w:val="20"/>
              </w:rPr>
              <w:t>Ministr/náměstek</w:t>
            </w:r>
          </w:p>
        </w:tc>
      </w:tr>
    </w:tbl>
    <w:p w:rsidR="004642BE" w:rsidRPr="008A061F" w:rsidRDefault="00EB2821" w:rsidP="00B66FDE">
      <w:pPr>
        <w:rPr>
          <w:i/>
          <w:sz w:val="20"/>
        </w:rPr>
      </w:pPr>
      <w:r w:rsidRPr="008A061F">
        <w:rPr>
          <w:i/>
          <w:sz w:val="20"/>
        </w:rPr>
        <w:t xml:space="preserve">Zdroj: Evropská komise, </w:t>
      </w:r>
      <w:proofErr w:type="spellStart"/>
      <w:r w:rsidRPr="008A061F">
        <w:rPr>
          <w:i/>
          <w:sz w:val="20"/>
        </w:rPr>
        <w:t>fiche</w:t>
      </w:r>
      <w:proofErr w:type="spellEnd"/>
      <w:r w:rsidRPr="008A061F">
        <w:rPr>
          <w:i/>
          <w:sz w:val="20"/>
        </w:rPr>
        <w:t xml:space="preserve"> 5A a doplněno MMR-NOK</w:t>
      </w:r>
    </w:p>
    <w:p w:rsidR="004642BE" w:rsidRDefault="00CC550C" w:rsidP="00165854">
      <w:pPr>
        <w:pStyle w:val="Nadpis2"/>
      </w:pPr>
      <w:bookmarkStart w:id="3028" w:name="_Toc390414344"/>
      <w:bookmarkStart w:id="3029" w:name="_Toc390414591"/>
      <w:bookmarkStart w:id="3030" w:name="_Toc390414835"/>
      <w:bookmarkStart w:id="3031" w:name="_Toc391015021"/>
      <w:bookmarkStart w:id="3032" w:name="_Toc391016172"/>
      <w:bookmarkStart w:id="3033" w:name="_Toc391017111"/>
      <w:bookmarkStart w:id="3034" w:name="_Toc391018224"/>
      <w:bookmarkStart w:id="3035" w:name="_Toc391019336"/>
      <w:bookmarkStart w:id="3036" w:name="_Toc390414345"/>
      <w:bookmarkStart w:id="3037" w:name="_Toc390414592"/>
      <w:bookmarkStart w:id="3038" w:name="_Toc390414836"/>
      <w:bookmarkStart w:id="3039" w:name="_Toc391015022"/>
      <w:bookmarkStart w:id="3040" w:name="_Toc391016173"/>
      <w:bookmarkStart w:id="3041" w:name="_Toc391017112"/>
      <w:bookmarkStart w:id="3042" w:name="_Toc391018225"/>
      <w:bookmarkStart w:id="3043" w:name="_Toc391019337"/>
      <w:bookmarkStart w:id="3044" w:name="_Toc390414346"/>
      <w:bookmarkStart w:id="3045" w:name="_Toc390414593"/>
      <w:bookmarkStart w:id="3046" w:name="_Toc390414837"/>
      <w:bookmarkStart w:id="3047" w:name="_Toc391015023"/>
      <w:bookmarkStart w:id="3048" w:name="_Toc391016174"/>
      <w:bookmarkStart w:id="3049" w:name="_Toc391017113"/>
      <w:bookmarkStart w:id="3050" w:name="_Toc391018226"/>
      <w:bookmarkStart w:id="3051" w:name="_Toc391019338"/>
      <w:bookmarkStart w:id="3052" w:name="_Toc390414348"/>
      <w:bookmarkStart w:id="3053" w:name="_Toc390414595"/>
      <w:bookmarkStart w:id="3054" w:name="_Toc390414839"/>
      <w:bookmarkStart w:id="3055" w:name="_Toc391015025"/>
      <w:bookmarkStart w:id="3056" w:name="_Toc391016176"/>
      <w:bookmarkStart w:id="3057" w:name="_Toc391017115"/>
      <w:bookmarkStart w:id="3058" w:name="_Toc391018228"/>
      <w:bookmarkStart w:id="3059" w:name="_Toc391019340"/>
      <w:bookmarkStart w:id="3060" w:name="_Toc390414349"/>
      <w:bookmarkStart w:id="3061" w:name="_Toc390414596"/>
      <w:bookmarkStart w:id="3062" w:name="_Toc390414840"/>
      <w:bookmarkStart w:id="3063" w:name="_Toc391015026"/>
      <w:bookmarkStart w:id="3064" w:name="_Toc391016177"/>
      <w:bookmarkStart w:id="3065" w:name="_Toc391017116"/>
      <w:bookmarkStart w:id="3066" w:name="_Toc391018229"/>
      <w:bookmarkStart w:id="3067" w:name="_Toc391019341"/>
      <w:bookmarkStart w:id="3068" w:name="_Toc390414350"/>
      <w:bookmarkStart w:id="3069" w:name="_Toc390414597"/>
      <w:bookmarkStart w:id="3070" w:name="_Toc390414841"/>
      <w:bookmarkStart w:id="3071" w:name="_Toc391015027"/>
      <w:bookmarkStart w:id="3072" w:name="_Toc391016178"/>
      <w:bookmarkStart w:id="3073" w:name="_Toc391017117"/>
      <w:bookmarkStart w:id="3074" w:name="_Toc391018230"/>
      <w:bookmarkStart w:id="3075" w:name="_Toc391019342"/>
      <w:bookmarkStart w:id="3076" w:name="_Toc390414351"/>
      <w:bookmarkStart w:id="3077" w:name="_Toc390414598"/>
      <w:bookmarkStart w:id="3078" w:name="_Toc390414842"/>
      <w:bookmarkStart w:id="3079" w:name="_Toc391015028"/>
      <w:bookmarkStart w:id="3080" w:name="_Toc391016179"/>
      <w:bookmarkStart w:id="3081" w:name="_Toc391017118"/>
      <w:bookmarkStart w:id="3082" w:name="_Toc391018231"/>
      <w:bookmarkStart w:id="3083" w:name="_Toc391019343"/>
      <w:bookmarkStart w:id="3084" w:name="_Toc390414352"/>
      <w:bookmarkStart w:id="3085" w:name="_Toc390414599"/>
      <w:bookmarkStart w:id="3086" w:name="_Toc390414843"/>
      <w:bookmarkStart w:id="3087" w:name="_Toc391015029"/>
      <w:bookmarkStart w:id="3088" w:name="_Toc391016180"/>
      <w:bookmarkStart w:id="3089" w:name="_Toc391017119"/>
      <w:bookmarkStart w:id="3090" w:name="_Toc391018232"/>
      <w:bookmarkStart w:id="3091" w:name="_Toc391019344"/>
      <w:bookmarkStart w:id="3092" w:name="_Toc390414353"/>
      <w:bookmarkStart w:id="3093" w:name="_Toc390414600"/>
      <w:bookmarkStart w:id="3094" w:name="_Toc390414844"/>
      <w:bookmarkStart w:id="3095" w:name="_Toc391015030"/>
      <w:bookmarkStart w:id="3096" w:name="_Toc391016181"/>
      <w:bookmarkStart w:id="3097" w:name="_Toc391017120"/>
      <w:bookmarkStart w:id="3098" w:name="_Toc391018233"/>
      <w:bookmarkStart w:id="3099" w:name="_Toc391019345"/>
      <w:bookmarkStart w:id="3100" w:name="_Toc390414354"/>
      <w:bookmarkStart w:id="3101" w:name="_Toc390414601"/>
      <w:bookmarkStart w:id="3102" w:name="_Toc390414845"/>
      <w:bookmarkStart w:id="3103" w:name="_Toc391015031"/>
      <w:bookmarkStart w:id="3104" w:name="_Toc391016182"/>
      <w:bookmarkStart w:id="3105" w:name="_Toc391017121"/>
      <w:bookmarkStart w:id="3106" w:name="_Toc391018234"/>
      <w:bookmarkStart w:id="3107" w:name="_Toc391019346"/>
      <w:bookmarkStart w:id="3108" w:name="_Toc390414355"/>
      <w:bookmarkStart w:id="3109" w:name="_Toc390414602"/>
      <w:bookmarkStart w:id="3110" w:name="_Toc390414846"/>
      <w:bookmarkStart w:id="3111" w:name="_Toc391015032"/>
      <w:bookmarkStart w:id="3112" w:name="_Toc391016183"/>
      <w:bookmarkStart w:id="3113" w:name="_Toc391017122"/>
      <w:bookmarkStart w:id="3114" w:name="_Toc391018235"/>
      <w:bookmarkStart w:id="3115" w:name="_Toc391019347"/>
      <w:bookmarkStart w:id="3116" w:name="_Toc390414356"/>
      <w:bookmarkStart w:id="3117" w:name="_Toc390414603"/>
      <w:bookmarkStart w:id="3118" w:name="_Toc390414847"/>
      <w:bookmarkStart w:id="3119" w:name="_Toc391015033"/>
      <w:bookmarkStart w:id="3120" w:name="_Toc391016184"/>
      <w:bookmarkStart w:id="3121" w:name="_Toc391017123"/>
      <w:bookmarkStart w:id="3122" w:name="_Toc391018236"/>
      <w:bookmarkStart w:id="3123" w:name="_Toc391019348"/>
      <w:bookmarkStart w:id="3124" w:name="_Toc390414357"/>
      <w:bookmarkStart w:id="3125" w:name="_Toc390414604"/>
      <w:bookmarkStart w:id="3126" w:name="_Toc390414848"/>
      <w:bookmarkStart w:id="3127" w:name="_Toc391015034"/>
      <w:bookmarkStart w:id="3128" w:name="_Toc391016185"/>
      <w:bookmarkStart w:id="3129" w:name="_Toc391017124"/>
      <w:bookmarkStart w:id="3130" w:name="_Toc391018237"/>
      <w:bookmarkStart w:id="3131" w:name="_Toc391019349"/>
      <w:bookmarkStart w:id="3132" w:name="_Toc390414358"/>
      <w:bookmarkStart w:id="3133" w:name="_Toc390414605"/>
      <w:bookmarkStart w:id="3134" w:name="_Toc390414849"/>
      <w:bookmarkStart w:id="3135" w:name="_Toc391015035"/>
      <w:bookmarkStart w:id="3136" w:name="_Toc391016186"/>
      <w:bookmarkStart w:id="3137" w:name="_Toc391017125"/>
      <w:bookmarkStart w:id="3138" w:name="_Toc391018238"/>
      <w:bookmarkStart w:id="3139" w:name="_Toc391019350"/>
      <w:bookmarkStart w:id="3140" w:name="_Toc390414359"/>
      <w:bookmarkStart w:id="3141" w:name="_Toc390414606"/>
      <w:bookmarkStart w:id="3142" w:name="_Toc390414850"/>
      <w:bookmarkStart w:id="3143" w:name="_Toc391015036"/>
      <w:bookmarkStart w:id="3144" w:name="_Toc391016187"/>
      <w:bookmarkStart w:id="3145" w:name="_Toc391017126"/>
      <w:bookmarkStart w:id="3146" w:name="_Toc391018239"/>
      <w:bookmarkStart w:id="3147" w:name="_Toc391019351"/>
      <w:bookmarkStart w:id="3148" w:name="_Toc390414360"/>
      <w:bookmarkStart w:id="3149" w:name="_Toc390414607"/>
      <w:bookmarkStart w:id="3150" w:name="_Toc390414851"/>
      <w:bookmarkStart w:id="3151" w:name="_Toc391015037"/>
      <w:bookmarkStart w:id="3152" w:name="_Toc391016188"/>
      <w:bookmarkStart w:id="3153" w:name="_Toc391017127"/>
      <w:bookmarkStart w:id="3154" w:name="_Toc391018240"/>
      <w:bookmarkStart w:id="3155" w:name="_Toc391019352"/>
      <w:bookmarkStart w:id="3156" w:name="_Toc390414361"/>
      <w:bookmarkStart w:id="3157" w:name="_Toc390414608"/>
      <w:bookmarkStart w:id="3158" w:name="_Toc390414852"/>
      <w:bookmarkStart w:id="3159" w:name="_Toc391015038"/>
      <w:bookmarkStart w:id="3160" w:name="_Toc391016189"/>
      <w:bookmarkStart w:id="3161" w:name="_Toc391017128"/>
      <w:bookmarkStart w:id="3162" w:name="_Toc391018241"/>
      <w:bookmarkStart w:id="3163" w:name="_Toc391019353"/>
      <w:bookmarkStart w:id="3164" w:name="_Toc390414362"/>
      <w:bookmarkStart w:id="3165" w:name="_Toc390414609"/>
      <w:bookmarkStart w:id="3166" w:name="_Toc390414853"/>
      <w:bookmarkStart w:id="3167" w:name="_Toc391015039"/>
      <w:bookmarkStart w:id="3168" w:name="_Toc391016190"/>
      <w:bookmarkStart w:id="3169" w:name="_Toc391017129"/>
      <w:bookmarkStart w:id="3170" w:name="_Toc391018242"/>
      <w:bookmarkStart w:id="3171" w:name="_Toc391019354"/>
      <w:bookmarkStart w:id="3172" w:name="_Toc390414363"/>
      <w:bookmarkStart w:id="3173" w:name="_Toc390414610"/>
      <w:bookmarkStart w:id="3174" w:name="_Toc390414854"/>
      <w:bookmarkStart w:id="3175" w:name="_Toc391015040"/>
      <w:bookmarkStart w:id="3176" w:name="_Toc391016191"/>
      <w:bookmarkStart w:id="3177" w:name="_Toc391017130"/>
      <w:bookmarkStart w:id="3178" w:name="_Toc391018243"/>
      <w:bookmarkStart w:id="3179" w:name="_Toc391019355"/>
      <w:bookmarkStart w:id="3180" w:name="_Toc390414364"/>
      <w:bookmarkStart w:id="3181" w:name="_Toc390414611"/>
      <w:bookmarkStart w:id="3182" w:name="_Toc390414855"/>
      <w:bookmarkStart w:id="3183" w:name="_Toc391015041"/>
      <w:bookmarkStart w:id="3184" w:name="_Toc391016192"/>
      <w:bookmarkStart w:id="3185" w:name="_Toc391017131"/>
      <w:bookmarkStart w:id="3186" w:name="_Toc391018244"/>
      <w:bookmarkStart w:id="3187" w:name="_Toc391019356"/>
      <w:bookmarkStart w:id="3188" w:name="_Toc390414365"/>
      <w:bookmarkStart w:id="3189" w:name="_Toc390414612"/>
      <w:bookmarkStart w:id="3190" w:name="_Toc390414856"/>
      <w:bookmarkStart w:id="3191" w:name="_Toc391015042"/>
      <w:bookmarkStart w:id="3192" w:name="_Toc391016193"/>
      <w:bookmarkStart w:id="3193" w:name="_Toc391017132"/>
      <w:bookmarkStart w:id="3194" w:name="_Toc391018245"/>
      <w:bookmarkStart w:id="3195" w:name="_Toc391019357"/>
      <w:bookmarkStart w:id="3196" w:name="_Toc390414366"/>
      <w:bookmarkStart w:id="3197" w:name="_Toc390414613"/>
      <w:bookmarkStart w:id="3198" w:name="_Toc390414857"/>
      <w:bookmarkStart w:id="3199" w:name="_Toc391015043"/>
      <w:bookmarkStart w:id="3200" w:name="_Toc391016194"/>
      <w:bookmarkStart w:id="3201" w:name="_Toc391017133"/>
      <w:bookmarkStart w:id="3202" w:name="_Toc391018246"/>
      <w:bookmarkStart w:id="3203" w:name="_Toc391019358"/>
      <w:bookmarkStart w:id="3204" w:name="_Toc390414367"/>
      <w:bookmarkStart w:id="3205" w:name="_Toc390414614"/>
      <w:bookmarkStart w:id="3206" w:name="_Toc390414858"/>
      <w:bookmarkStart w:id="3207" w:name="_Toc391015044"/>
      <w:bookmarkStart w:id="3208" w:name="_Toc391016195"/>
      <w:bookmarkStart w:id="3209" w:name="_Toc391017134"/>
      <w:bookmarkStart w:id="3210" w:name="_Toc391018247"/>
      <w:bookmarkStart w:id="3211" w:name="_Toc391019359"/>
      <w:bookmarkStart w:id="3212" w:name="_Toc390414368"/>
      <w:bookmarkStart w:id="3213" w:name="_Toc390414615"/>
      <w:bookmarkStart w:id="3214" w:name="_Toc390414859"/>
      <w:bookmarkStart w:id="3215" w:name="_Toc391015045"/>
      <w:bookmarkStart w:id="3216" w:name="_Toc391016196"/>
      <w:bookmarkStart w:id="3217" w:name="_Toc391017135"/>
      <w:bookmarkStart w:id="3218" w:name="_Toc391018248"/>
      <w:bookmarkStart w:id="3219" w:name="_Toc391019360"/>
      <w:bookmarkStart w:id="3220" w:name="_Toc390414369"/>
      <w:bookmarkStart w:id="3221" w:name="_Toc390414616"/>
      <w:bookmarkStart w:id="3222" w:name="_Toc390414860"/>
      <w:bookmarkStart w:id="3223" w:name="_Toc391015046"/>
      <w:bookmarkStart w:id="3224" w:name="_Toc391016197"/>
      <w:bookmarkStart w:id="3225" w:name="_Toc391017136"/>
      <w:bookmarkStart w:id="3226" w:name="_Toc391018249"/>
      <w:bookmarkStart w:id="3227" w:name="_Toc391019361"/>
      <w:bookmarkStart w:id="3228" w:name="_Toc390414370"/>
      <w:bookmarkStart w:id="3229" w:name="_Toc390414617"/>
      <w:bookmarkStart w:id="3230" w:name="_Toc390414861"/>
      <w:bookmarkStart w:id="3231" w:name="_Toc391015047"/>
      <w:bookmarkStart w:id="3232" w:name="_Toc391016198"/>
      <w:bookmarkStart w:id="3233" w:name="_Toc391017137"/>
      <w:bookmarkStart w:id="3234" w:name="_Toc391018250"/>
      <w:bookmarkStart w:id="3235" w:name="_Toc391019362"/>
      <w:bookmarkStart w:id="3236" w:name="_Toc390414372"/>
      <w:bookmarkStart w:id="3237" w:name="_Toc390414619"/>
      <w:bookmarkStart w:id="3238" w:name="_Toc390414863"/>
      <w:bookmarkStart w:id="3239" w:name="_Toc391015049"/>
      <w:bookmarkStart w:id="3240" w:name="_Toc391016200"/>
      <w:bookmarkStart w:id="3241" w:name="_Toc391017139"/>
      <w:bookmarkStart w:id="3242" w:name="_Toc391018252"/>
      <w:bookmarkStart w:id="3243" w:name="_Toc391019364"/>
      <w:bookmarkStart w:id="3244" w:name="_Toc390414373"/>
      <w:bookmarkStart w:id="3245" w:name="_Toc390414620"/>
      <w:bookmarkStart w:id="3246" w:name="_Toc390414864"/>
      <w:bookmarkStart w:id="3247" w:name="_Toc391015050"/>
      <w:bookmarkStart w:id="3248" w:name="_Toc391016201"/>
      <w:bookmarkStart w:id="3249" w:name="_Toc391017140"/>
      <w:bookmarkStart w:id="3250" w:name="_Toc391018253"/>
      <w:bookmarkStart w:id="3251" w:name="_Toc391019365"/>
      <w:bookmarkStart w:id="3252" w:name="_Toc390414374"/>
      <w:bookmarkStart w:id="3253" w:name="_Toc390414621"/>
      <w:bookmarkStart w:id="3254" w:name="_Toc390414865"/>
      <w:bookmarkStart w:id="3255" w:name="_Toc391015051"/>
      <w:bookmarkStart w:id="3256" w:name="_Toc391016202"/>
      <w:bookmarkStart w:id="3257" w:name="_Toc391017141"/>
      <w:bookmarkStart w:id="3258" w:name="_Toc391018254"/>
      <w:bookmarkStart w:id="3259" w:name="_Toc391019366"/>
      <w:bookmarkStart w:id="3260" w:name="_Toc390414375"/>
      <w:bookmarkStart w:id="3261" w:name="_Toc390414622"/>
      <w:bookmarkStart w:id="3262" w:name="_Toc390414866"/>
      <w:bookmarkStart w:id="3263" w:name="_Toc391015052"/>
      <w:bookmarkStart w:id="3264" w:name="_Toc391016203"/>
      <w:bookmarkStart w:id="3265" w:name="_Toc391017142"/>
      <w:bookmarkStart w:id="3266" w:name="_Toc391018255"/>
      <w:bookmarkStart w:id="3267" w:name="_Toc391019367"/>
      <w:bookmarkStart w:id="3268" w:name="_Toc390414377"/>
      <w:bookmarkStart w:id="3269" w:name="_Toc390414624"/>
      <w:bookmarkStart w:id="3270" w:name="_Toc390414868"/>
      <w:bookmarkStart w:id="3271" w:name="_Toc391015054"/>
      <w:bookmarkStart w:id="3272" w:name="_Toc391016205"/>
      <w:bookmarkStart w:id="3273" w:name="_Toc391017144"/>
      <w:bookmarkStart w:id="3274" w:name="_Toc391018257"/>
      <w:bookmarkStart w:id="3275" w:name="_Toc391019369"/>
      <w:bookmarkStart w:id="3276" w:name="_Toc390414379"/>
      <w:bookmarkStart w:id="3277" w:name="_Toc390414626"/>
      <w:bookmarkStart w:id="3278" w:name="_Toc390414870"/>
      <w:bookmarkStart w:id="3279" w:name="_Toc391015056"/>
      <w:bookmarkStart w:id="3280" w:name="_Toc391016207"/>
      <w:bookmarkStart w:id="3281" w:name="_Toc391017146"/>
      <w:bookmarkStart w:id="3282" w:name="_Toc391018259"/>
      <w:bookmarkStart w:id="3283" w:name="_Toc391019371"/>
      <w:bookmarkStart w:id="3284" w:name="_Toc390414381"/>
      <w:bookmarkStart w:id="3285" w:name="_Toc390414628"/>
      <w:bookmarkStart w:id="3286" w:name="_Toc390414872"/>
      <w:bookmarkStart w:id="3287" w:name="_Toc391015058"/>
      <w:bookmarkStart w:id="3288" w:name="_Toc391016209"/>
      <w:bookmarkStart w:id="3289" w:name="_Toc391017148"/>
      <w:bookmarkStart w:id="3290" w:name="_Toc391018261"/>
      <w:bookmarkStart w:id="3291" w:name="_Toc391019373"/>
      <w:bookmarkStart w:id="3292" w:name="_Toc390414382"/>
      <w:bookmarkStart w:id="3293" w:name="_Toc390414629"/>
      <w:bookmarkStart w:id="3294" w:name="_Toc390414873"/>
      <w:bookmarkStart w:id="3295" w:name="_Toc391015059"/>
      <w:bookmarkStart w:id="3296" w:name="_Toc391016210"/>
      <w:bookmarkStart w:id="3297" w:name="_Toc391017149"/>
      <w:bookmarkStart w:id="3298" w:name="_Toc391018262"/>
      <w:bookmarkStart w:id="3299" w:name="_Toc391019374"/>
      <w:bookmarkStart w:id="3300" w:name="_Toc390414383"/>
      <w:bookmarkStart w:id="3301" w:name="_Toc390414630"/>
      <w:bookmarkStart w:id="3302" w:name="_Toc390414874"/>
      <w:bookmarkStart w:id="3303" w:name="_Toc391015060"/>
      <w:bookmarkStart w:id="3304" w:name="_Toc391016211"/>
      <w:bookmarkStart w:id="3305" w:name="_Toc391017150"/>
      <w:bookmarkStart w:id="3306" w:name="_Toc391018263"/>
      <w:bookmarkStart w:id="3307" w:name="_Toc391019375"/>
      <w:bookmarkStart w:id="3308" w:name="_Toc390414384"/>
      <w:bookmarkStart w:id="3309" w:name="_Toc390414631"/>
      <w:bookmarkStart w:id="3310" w:name="_Toc390414875"/>
      <w:bookmarkStart w:id="3311" w:name="_Toc391015061"/>
      <w:bookmarkStart w:id="3312" w:name="_Toc391016212"/>
      <w:bookmarkStart w:id="3313" w:name="_Toc391017151"/>
      <w:bookmarkStart w:id="3314" w:name="_Toc391018264"/>
      <w:bookmarkStart w:id="3315" w:name="_Toc391019376"/>
      <w:bookmarkStart w:id="3316" w:name="_Toc390414385"/>
      <w:bookmarkStart w:id="3317" w:name="_Toc390414632"/>
      <w:bookmarkStart w:id="3318" w:name="_Toc390414876"/>
      <w:bookmarkStart w:id="3319" w:name="_Toc391015062"/>
      <w:bookmarkStart w:id="3320" w:name="_Toc391016213"/>
      <w:bookmarkStart w:id="3321" w:name="_Toc391017152"/>
      <w:bookmarkStart w:id="3322" w:name="_Toc391018265"/>
      <w:bookmarkStart w:id="3323" w:name="_Toc391019377"/>
      <w:bookmarkStart w:id="3324" w:name="_Toc390414386"/>
      <w:bookmarkStart w:id="3325" w:name="_Toc390414633"/>
      <w:bookmarkStart w:id="3326" w:name="_Toc390414877"/>
      <w:bookmarkStart w:id="3327" w:name="_Toc391015063"/>
      <w:bookmarkStart w:id="3328" w:name="_Toc391016214"/>
      <w:bookmarkStart w:id="3329" w:name="_Toc391017153"/>
      <w:bookmarkStart w:id="3330" w:name="_Toc391018266"/>
      <w:bookmarkStart w:id="3331" w:name="_Toc391019378"/>
      <w:bookmarkStart w:id="3332" w:name="_Toc390414387"/>
      <w:bookmarkStart w:id="3333" w:name="_Toc390414634"/>
      <w:bookmarkStart w:id="3334" w:name="_Toc390414878"/>
      <w:bookmarkStart w:id="3335" w:name="_Toc391015064"/>
      <w:bookmarkStart w:id="3336" w:name="_Toc391016215"/>
      <w:bookmarkStart w:id="3337" w:name="_Toc391017154"/>
      <w:bookmarkStart w:id="3338" w:name="_Toc391018267"/>
      <w:bookmarkStart w:id="3339" w:name="_Toc391019379"/>
      <w:bookmarkStart w:id="3340" w:name="_Toc390414388"/>
      <w:bookmarkStart w:id="3341" w:name="_Toc390414635"/>
      <w:bookmarkStart w:id="3342" w:name="_Toc390414879"/>
      <w:bookmarkStart w:id="3343" w:name="_Toc391015065"/>
      <w:bookmarkStart w:id="3344" w:name="_Toc391016216"/>
      <w:bookmarkStart w:id="3345" w:name="_Toc391017155"/>
      <w:bookmarkStart w:id="3346" w:name="_Toc391018268"/>
      <w:bookmarkStart w:id="3347" w:name="_Toc391019380"/>
      <w:bookmarkStart w:id="3348" w:name="_Toc390414389"/>
      <w:bookmarkStart w:id="3349" w:name="_Toc390414636"/>
      <w:bookmarkStart w:id="3350" w:name="_Toc390414880"/>
      <w:bookmarkStart w:id="3351" w:name="_Toc391015066"/>
      <w:bookmarkStart w:id="3352" w:name="_Toc391016217"/>
      <w:bookmarkStart w:id="3353" w:name="_Toc391017156"/>
      <w:bookmarkStart w:id="3354" w:name="_Toc391018269"/>
      <w:bookmarkStart w:id="3355" w:name="_Toc391019381"/>
      <w:bookmarkStart w:id="3356" w:name="_Toc390414390"/>
      <w:bookmarkStart w:id="3357" w:name="_Toc390414637"/>
      <w:bookmarkStart w:id="3358" w:name="_Toc390414881"/>
      <w:bookmarkStart w:id="3359" w:name="_Toc391015067"/>
      <w:bookmarkStart w:id="3360" w:name="_Toc391016218"/>
      <w:bookmarkStart w:id="3361" w:name="_Toc391017157"/>
      <w:bookmarkStart w:id="3362" w:name="_Toc391018270"/>
      <w:bookmarkStart w:id="3363" w:name="_Toc391019382"/>
      <w:bookmarkStart w:id="3364" w:name="_Toc390414391"/>
      <w:bookmarkStart w:id="3365" w:name="_Toc390414638"/>
      <w:bookmarkStart w:id="3366" w:name="_Toc390414882"/>
      <w:bookmarkStart w:id="3367" w:name="_Toc391015068"/>
      <w:bookmarkStart w:id="3368" w:name="_Toc391016219"/>
      <w:bookmarkStart w:id="3369" w:name="_Toc391017158"/>
      <w:bookmarkStart w:id="3370" w:name="_Toc391018271"/>
      <w:bookmarkStart w:id="3371" w:name="_Toc391019383"/>
      <w:bookmarkStart w:id="3372" w:name="_Toc390414392"/>
      <w:bookmarkStart w:id="3373" w:name="_Toc390414639"/>
      <w:bookmarkStart w:id="3374" w:name="_Toc390414883"/>
      <w:bookmarkStart w:id="3375" w:name="_Toc391015069"/>
      <w:bookmarkStart w:id="3376" w:name="_Toc391016220"/>
      <w:bookmarkStart w:id="3377" w:name="_Toc391017159"/>
      <w:bookmarkStart w:id="3378" w:name="_Toc391018272"/>
      <w:bookmarkStart w:id="3379" w:name="_Toc391019384"/>
      <w:bookmarkStart w:id="3380" w:name="_Toc390414393"/>
      <w:bookmarkStart w:id="3381" w:name="_Toc390414640"/>
      <w:bookmarkStart w:id="3382" w:name="_Toc390414884"/>
      <w:bookmarkStart w:id="3383" w:name="_Toc391015070"/>
      <w:bookmarkStart w:id="3384" w:name="_Toc391016221"/>
      <w:bookmarkStart w:id="3385" w:name="_Toc391017160"/>
      <w:bookmarkStart w:id="3386" w:name="_Toc391018273"/>
      <w:bookmarkStart w:id="3387" w:name="_Toc391019385"/>
      <w:bookmarkStart w:id="3388" w:name="_Toc390414394"/>
      <w:bookmarkStart w:id="3389" w:name="_Toc390414641"/>
      <w:bookmarkStart w:id="3390" w:name="_Toc390414885"/>
      <w:bookmarkStart w:id="3391" w:name="_Toc391015071"/>
      <w:bookmarkStart w:id="3392" w:name="_Toc391016222"/>
      <w:bookmarkStart w:id="3393" w:name="_Toc391017161"/>
      <w:bookmarkStart w:id="3394" w:name="_Toc391018274"/>
      <w:bookmarkStart w:id="3395" w:name="_Toc391019386"/>
      <w:bookmarkStart w:id="3396" w:name="_Toc390414395"/>
      <w:bookmarkStart w:id="3397" w:name="_Toc390414642"/>
      <w:bookmarkStart w:id="3398" w:name="_Toc390414886"/>
      <w:bookmarkStart w:id="3399" w:name="_Toc391015072"/>
      <w:bookmarkStart w:id="3400" w:name="_Toc391016223"/>
      <w:bookmarkStart w:id="3401" w:name="_Toc391017162"/>
      <w:bookmarkStart w:id="3402" w:name="_Toc391018275"/>
      <w:bookmarkStart w:id="3403" w:name="_Toc391019387"/>
      <w:bookmarkStart w:id="3404" w:name="_Toc390414396"/>
      <w:bookmarkStart w:id="3405" w:name="_Toc390414643"/>
      <w:bookmarkStart w:id="3406" w:name="_Toc390414887"/>
      <w:bookmarkStart w:id="3407" w:name="_Toc391015073"/>
      <w:bookmarkStart w:id="3408" w:name="_Toc391016224"/>
      <w:bookmarkStart w:id="3409" w:name="_Toc391017163"/>
      <w:bookmarkStart w:id="3410" w:name="_Toc391018276"/>
      <w:bookmarkStart w:id="3411" w:name="_Toc391019388"/>
      <w:bookmarkStart w:id="3412" w:name="_Toc390414397"/>
      <w:bookmarkStart w:id="3413" w:name="_Toc390414644"/>
      <w:bookmarkStart w:id="3414" w:name="_Toc390414888"/>
      <w:bookmarkStart w:id="3415" w:name="_Toc391015074"/>
      <w:bookmarkStart w:id="3416" w:name="_Toc391016225"/>
      <w:bookmarkStart w:id="3417" w:name="_Toc391017164"/>
      <w:bookmarkStart w:id="3418" w:name="_Toc391018277"/>
      <w:bookmarkStart w:id="3419" w:name="_Toc391019389"/>
      <w:bookmarkStart w:id="3420" w:name="_Toc390414398"/>
      <w:bookmarkStart w:id="3421" w:name="_Toc390414645"/>
      <w:bookmarkStart w:id="3422" w:name="_Toc390414889"/>
      <w:bookmarkStart w:id="3423" w:name="_Toc391015075"/>
      <w:bookmarkStart w:id="3424" w:name="_Toc391016226"/>
      <w:bookmarkStart w:id="3425" w:name="_Toc391017165"/>
      <w:bookmarkStart w:id="3426" w:name="_Toc391018278"/>
      <w:bookmarkStart w:id="3427" w:name="_Toc391019390"/>
      <w:bookmarkStart w:id="3428" w:name="_Toc390414400"/>
      <w:bookmarkStart w:id="3429" w:name="_Toc390414647"/>
      <w:bookmarkStart w:id="3430" w:name="_Toc390414891"/>
      <w:bookmarkStart w:id="3431" w:name="_Toc391015077"/>
      <w:bookmarkStart w:id="3432" w:name="_Toc391016228"/>
      <w:bookmarkStart w:id="3433" w:name="_Toc391017167"/>
      <w:bookmarkStart w:id="3434" w:name="_Toc391018280"/>
      <w:bookmarkStart w:id="3435" w:name="_Toc391019392"/>
      <w:bookmarkStart w:id="3436" w:name="_Toc390414401"/>
      <w:bookmarkStart w:id="3437" w:name="_Toc390414648"/>
      <w:bookmarkStart w:id="3438" w:name="_Toc390414892"/>
      <w:bookmarkStart w:id="3439" w:name="_Toc391015078"/>
      <w:bookmarkStart w:id="3440" w:name="_Toc391016229"/>
      <w:bookmarkStart w:id="3441" w:name="_Toc391017168"/>
      <w:bookmarkStart w:id="3442" w:name="_Toc391018281"/>
      <w:bookmarkStart w:id="3443" w:name="_Toc391019393"/>
      <w:bookmarkStart w:id="3444" w:name="_Toc392151088"/>
      <w:bookmarkStart w:id="3445" w:name="_Toc351472162"/>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r>
        <w:t>Zapojení příslušných partnerů</w:t>
      </w:r>
      <w:bookmarkEnd w:id="3444"/>
      <w:r>
        <w:t xml:space="preserve"> </w:t>
      </w:r>
      <w:bookmarkEnd w:id="3445"/>
    </w:p>
    <w:p w:rsidR="00674BC9" w:rsidRDefault="00CC550C">
      <w:pPr>
        <w:pStyle w:val="Nadpis3"/>
      </w:pPr>
      <w:bookmarkStart w:id="3446" w:name="_Toc392151089"/>
      <w:r>
        <w:t>Opatření přijatá k zapojení příslušných partnerů do přípravy operačního programu a úlohy partnerů při provádění, monitorování a hodnocení operačního programu</w:t>
      </w:r>
      <w:bookmarkEnd w:id="3446"/>
    </w:p>
    <w:p w:rsidR="00901C83" w:rsidRPr="004314F4" w:rsidRDefault="00901C83" w:rsidP="00B66FDE">
      <w:r w:rsidRPr="004314F4">
        <w:t xml:space="preserve">Řídící orgán je na programové úrovni povinen aplikovat princip partnerství. Konzultace s partnery </w:t>
      </w:r>
      <w:r w:rsidR="00CB0E21" w:rsidRPr="004314F4">
        <w:t>jsou</w:t>
      </w:r>
      <w:r w:rsidRPr="004314F4">
        <w:t xml:space="preserve"> prováděny kontinuálně včetně konzultace procesu a harmonogramu přípravy programu a partneři </w:t>
      </w:r>
      <w:r w:rsidR="00CB0E21" w:rsidRPr="004314F4">
        <w:t xml:space="preserve">dostávají </w:t>
      </w:r>
      <w:r w:rsidRPr="004314F4">
        <w:t>veškeré informace o jeho přípravě a všech</w:t>
      </w:r>
      <w:r w:rsidR="00CB0E21" w:rsidRPr="004314F4">
        <w:t xml:space="preserve"> krocích.</w:t>
      </w:r>
    </w:p>
    <w:p w:rsidR="00A01C2F" w:rsidRDefault="00901C83" w:rsidP="00B66FDE">
      <w:r w:rsidRPr="004314F4">
        <w:t>Během přípravy se rovněž předpokládá realizace bilaterálních jednání s příslušnými partnery, realizace veřejných slyšení a prezentací (mimo jiné v rámci procesu SEA a hodnocení ex-ante).</w:t>
      </w:r>
    </w:p>
    <w:p w:rsidR="00495716" w:rsidRPr="004314F4" w:rsidRDefault="00901C83" w:rsidP="00B66FDE">
      <w:r w:rsidRPr="004314F4">
        <w:t>Během přípravy jsou konzultovány a připomínkovány pracovní verze OP</w:t>
      </w:r>
      <w:r w:rsidR="00E16955">
        <w:t xml:space="preserve"> </w:t>
      </w:r>
      <w:r w:rsidRPr="004314F4">
        <w:t>ŽP nejprve s jednotlivými věcně příslušnými útvary MŽP a následně i dalšími partnery</w:t>
      </w:r>
      <w:r w:rsidR="00A01C2F">
        <w:t>, kteří jsou specifikováni v příloze</w:t>
      </w:r>
      <w:r w:rsidRPr="004314F4">
        <w:t>. OP</w:t>
      </w:r>
      <w:r w:rsidR="00E16955">
        <w:t xml:space="preserve"> </w:t>
      </w:r>
      <w:r w:rsidRPr="004314F4">
        <w:t>ŽP proběhne standardně i meziresortním připomínkovým řízením.</w:t>
      </w:r>
    </w:p>
    <w:p w:rsidR="00495716" w:rsidRPr="00FE4D74" w:rsidRDefault="00495716" w:rsidP="00FE4D74">
      <w:pPr>
        <w:rPr>
          <w:b/>
          <w:i/>
          <w:color w:val="76923C" w:themeColor="accent3" w:themeShade="BF"/>
          <w:sz w:val="24"/>
          <w:szCs w:val="24"/>
        </w:rPr>
      </w:pPr>
      <w:r w:rsidRPr="00FE4D74">
        <w:rPr>
          <w:b/>
          <w:i/>
          <w:color w:val="76923C" w:themeColor="accent3" w:themeShade="BF"/>
          <w:sz w:val="24"/>
          <w:szCs w:val="24"/>
        </w:rPr>
        <w:t>Zřízené pracovní skupiny:</w:t>
      </w:r>
    </w:p>
    <w:p w:rsidR="00C15BD4" w:rsidRDefault="00495716" w:rsidP="00495FC1">
      <w:pPr>
        <w:pStyle w:val="Odstavecseseznamem"/>
        <w:numPr>
          <w:ilvl w:val="0"/>
          <w:numId w:val="44"/>
        </w:numPr>
      </w:pPr>
      <w:r w:rsidRPr="004314F4">
        <w:t>externí pracovní skupina – Platforma MŽP 2014-2020</w:t>
      </w:r>
    </w:p>
    <w:p w:rsidR="00D00735" w:rsidRDefault="00495716" w:rsidP="00495FC1">
      <w:pPr>
        <w:pStyle w:val="Odstavecseseznamem"/>
        <w:numPr>
          <w:ilvl w:val="0"/>
          <w:numId w:val="44"/>
        </w:numPr>
      </w:pPr>
      <w:r w:rsidRPr="004314F4">
        <w:t xml:space="preserve">interní pracovní skupina MŽP </w:t>
      </w:r>
      <w:r w:rsidR="00D00735">
        <w:t>tematická</w:t>
      </w:r>
    </w:p>
    <w:p w:rsidR="006F7D80" w:rsidRDefault="00764568" w:rsidP="00495FC1">
      <w:pPr>
        <w:pStyle w:val="Odstavecseseznamem"/>
        <w:numPr>
          <w:ilvl w:val="0"/>
          <w:numId w:val="44"/>
        </w:numPr>
      </w:pPr>
      <w:r>
        <w:t xml:space="preserve"> </w:t>
      </w:r>
      <w:r w:rsidR="00495716" w:rsidRPr="004314F4">
        <w:t>interní pracovní skupina MŽP pro</w:t>
      </w:r>
      <w:r w:rsidR="00B1391A">
        <w:t> </w:t>
      </w:r>
      <w:r w:rsidR="00495716" w:rsidRPr="004314F4">
        <w:t>implementační strukturu</w:t>
      </w:r>
    </w:p>
    <w:p w:rsidR="00F625C4" w:rsidRDefault="00F625C4" w:rsidP="00F625C4"/>
    <w:p w:rsidR="00F625C4" w:rsidRDefault="00F625C4" w:rsidP="00F625C4"/>
    <w:p w:rsidR="00495716" w:rsidRPr="00FE4D74" w:rsidRDefault="00495716" w:rsidP="00FE4D74">
      <w:pPr>
        <w:rPr>
          <w:b/>
          <w:i/>
          <w:color w:val="76923C" w:themeColor="accent3" w:themeShade="BF"/>
          <w:sz w:val="24"/>
          <w:szCs w:val="24"/>
        </w:rPr>
      </w:pPr>
      <w:r w:rsidRPr="00FE4D74">
        <w:rPr>
          <w:b/>
          <w:i/>
          <w:color w:val="76923C" w:themeColor="accent3" w:themeShade="BF"/>
          <w:sz w:val="24"/>
          <w:szCs w:val="24"/>
        </w:rPr>
        <w:lastRenderedPageBreak/>
        <w:t>Členové pracovních skupiny:</w:t>
      </w:r>
    </w:p>
    <w:p w:rsidR="006F7D80" w:rsidRDefault="00495716" w:rsidP="00495FC1">
      <w:pPr>
        <w:pStyle w:val="Odstavecseseznamem"/>
        <w:numPr>
          <w:ilvl w:val="0"/>
          <w:numId w:val="45"/>
        </w:numPr>
      </w:pPr>
      <w:r w:rsidRPr="004314F4">
        <w:t xml:space="preserve">Platforma MŽP 2014-2020 – zástupci oborových svazů, Svazu měst a obcí, Asociace krajů, </w:t>
      </w:r>
      <w:r w:rsidR="0060729D" w:rsidRPr="004314F4">
        <w:t>ne</w:t>
      </w:r>
      <w:r w:rsidR="0060729D">
        <w:t>státních</w:t>
      </w:r>
      <w:r w:rsidR="0060729D" w:rsidRPr="004314F4">
        <w:t xml:space="preserve"> </w:t>
      </w:r>
      <w:r w:rsidRPr="004314F4">
        <w:t>neziskových organizací, akademické sféry, orgánů státní správy, podnikatelské sféry – úplný seznam je uveden v</w:t>
      </w:r>
      <w:r w:rsidR="00FD74B4">
        <w:t> P</w:t>
      </w:r>
      <w:r w:rsidRPr="004314F4">
        <w:t>říloze</w:t>
      </w:r>
      <w:r w:rsidR="00FD74B4">
        <w:t xml:space="preserve"> </w:t>
      </w:r>
      <w:r w:rsidRPr="004314F4">
        <w:t>3.</w:t>
      </w:r>
    </w:p>
    <w:p w:rsidR="006F7D80" w:rsidRDefault="00495716" w:rsidP="00495FC1">
      <w:pPr>
        <w:pStyle w:val="Odstavecseseznamem"/>
        <w:numPr>
          <w:ilvl w:val="0"/>
          <w:numId w:val="45"/>
        </w:numPr>
      </w:pPr>
      <w:r w:rsidRPr="004314F4">
        <w:t>Interní pracovní skupina MŽP</w:t>
      </w:r>
      <w:r w:rsidR="00764568">
        <w:t xml:space="preserve"> t</w:t>
      </w:r>
      <w:r w:rsidR="008A061F">
        <w:t>e</w:t>
      </w:r>
      <w:r w:rsidR="00764568">
        <w:t xml:space="preserve">matická </w:t>
      </w:r>
      <w:r w:rsidRPr="004314F4">
        <w:t>– zástupci odborných útvarů MŽP, zástupci Státního fondu životního prostředí</w:t>
      </w:r>
      <w:r w:rsidR="00764568">
        <w:t>.</w:t>
      </w:r>
    </w:p>
    <w:p w:rsidR="006F7D80" w:rsidRDefault="00B9258D" w:rsidP="00495FC1">
      <w:pPr>
        <w:pStyle w:val="Odstavecseseznamem"/>
        <w:numPr>
          <w:ilvl w:val="0"/>
          <w:numId w:val="45"/>
        </w:numPr>
      </w:pPr>
      <w:r>
        <w:t>I</w:t>
      </w:r>
      <w:r w:rsidR="00495716" w:rsidRPr="004314F4">
        <w:t>nterní pracovní skupina MŽP pro implementační strukturu – zástupci útvarů MŽP</w:t>
      </w:r>
      <w:r w:rsidR="001403FD">
        <w:t>,</w:t>
      </w:r>
      <w:r w:rsidR="00495716" w:rsidRPr="004314F4">
        <w:t xml:space="preserve"> SFŽP</w:t>
      </w:r>
      <w:r w:rsidR="001403FD">
        <w:t xml:space="preserve"> a AOPK ČR</w:t>
      </w:r>
      <w:r w:rsidR="00495716" w:rsidRPr="004314F4">
        <w:t xml:space="preserve"> podílejících se na implementaci OP</w:t>
      </w:r>
      <w:r w:rsidR="00E16955">
        <w:t xml:space="preserve"> </w:t>
      </w:r>
      <w:r w:rsidR="00495716" w:rsidRPr="004314F4">
        <w:t>ŽP</w:t>
      </w:r>
      <w:r w:rsidR="00764568">
        <w:t>.</w:t>
      </w:r>
    </w:p>
    <w:p w:rsidR="00495716" w:rsidRPr="00FE4D74" w:rsidRDefault="00495716" w:rsidP="00FE4D74">
      <w:pPr>
        <w:rPr>
          <w:b/>
          <w:i/>
          <w:color w:val="76923C" w:themeColor="accent3" w:themeShade="BF"/>
          <w:sz w:val="24"/>
          <w:szCs w:val="24"/>
        </w:rPr>
      </w:pPr>
      <w:r w:rsidRPr="00FE4D74">
        <w:rPr>
          <w:b/>
          <w:i/>
          <w:color w:val="76923C" w:themeColor="accent3" w:themeShade="BF"/>
          <w:sz w:val="24"/>
          <w:szCs w:val="24"/>
        </w:rPr>
        <w:t>Platforma MŽP 2014-2020:</w:t>
      </w:r>
    </w:p>
    <w:p w:rsidR="00217AAF" w:rsidRPr="00F625C4" w:rsidRDefault="00495716" w:rsidP="00495FC1">
      <w:pPr>
        <w:pStyle w:val="Odstavecseseznamem"/>
        <w:numPr>
          <w:ilvl w:val="0"/>
          <w:numId w:val="46"/>
        </w:numPr>
      </w:pPr>
      <w:r w:rsidRPr="004314F4">
        <w:t xml:space="preserve">složení členů dle typu organizace v ustavené externí pracovní skupině je názorně uvedeno </w:t>
      </w:r>
      <w:r w:rsidR="00B1391A">
        <w:t>na</w:t>
      </w:r>
      <w:r w:rsidRPr="004314F4">
        <w:t>  grafu</w:t>
      </w:r>
      <w:r w:rsidR="00B1391A">
        <w:t xml:space="preserve"> č. 1</w:t>
      </w:r>
      <w:r w:rsidRPr="004314F4">
        <w:t xml:space="preserve"> </w:t>
      </w:r>
      <w:r w:rsidR="00894F9F">
        <w:t>v </w:t>
      </w:r>
      <w:r w:rsidR="00FD74B4">
        <w:t>P</w:t>
      </w:r>
      <w:r w:rsidR="00894F9F">
        <w:t xml:space="preserve">říloze 2. </w:t>
      </w:r>
    </w:p>
    <w:p w:rsidR="00C15BD4" w:rsidRPr="004314F4" w:rsidRDefault="00901C83" w:rsidP="00B66FDE">
      <w:r w:rsidRPr="004314F4">
        <w:t>Partneři budou dále v budoucnu podle nařízení asistovat i u přípravy, provádění, monitorování a hodnocení programu prostřednictvím zapojení do práce Monitorovacího výboru OP</w:t>
      </w:r>
      <w:r w:rsidR="00E16955">
        <w:t xml:space="preserve"> </w:t>
      </w:r>
      <w:r w:rsidRPr="004314F4">
        <w:t xml:space="preserve">ŽP </w:t>
      </w:r>
      <w:r w:rsidR="00F13D8A">
        <w:t>2014</w:t>
      </w:r>
      <w:r w:rsidR="00F13D8A">
        <w:noBreakHyphen/>
      </w:r>
      <w:r w:rsidR="001E17C1" w:rsidRPr="004314F4">
        <w:t>2020</w:t>
      </w:r>
      <w:r w:rsidRPr="004314F4">
        <w:t xml:space="preserve">.  </w:t>
      </w:r>
    </w:p>
    <w:p w:rsidR="002700A0" w:rsidRPr="00FE4D74" w:rsidRDefault="007C4110" w:rsidP="00FE4D74">
      <w:pPr>
        <w:rPr>
          <w:b/>
          <w:i/>
          <w:color w:val="76923C" w:themeColor="accent3" w:themeShade="BF"/>
        </w:rPr>
      </w:pPr>
      <w:r w:rsidRPr="00FE4D74">
        <w:rPr>
          <w:b/>
          <w:i/>
          <w:color w:val="76923C" w:themeColor="accent3" w:themeShade="BF"/>
        </w:rPr>
        <w:t xml:space="preserve">Monitorovací výbor </w:t>
      </w:r>
    </w:p>
    <w:p w:rsidR="00D26FCE" w:rsidRDefault="007C4110" w:rsidP="00B66FDE">
      <w:pPr>
        <w:rPr>
          <w:bCs/>
          <w:szCs w:val="24"/>
        </w:rPr>
      </w:pPr>
      <w:r w:rsidRPr="007C4110">
        <w:rPr>
          <w:bCs/>
          <w:szCs w:val="24"/>
        </w:rPr>
        <w:t>Monitorovací výbor je zřizován v souladu s čl. 4</w:t>
      </w:r>
      <w:r w:rsidR="00D00735">
        <w:rPr>
          <w:bCs/>
          <w:szCs w:val="24"/>
        </w:rPr>
        <w:t>7</w:t>
      </w:r>
      <w:r w:rsidRPr="007C4110">
        <w:rPr>
          <w:bCs/>
          <w:szCs w:val="24"/>
        </w:rPr>
        <w:t xml:space="preserve"> obecného nařízení. Úkolem monitorovacího výboru bude monitorování programu s cílem přezkoumání je</w:t>
      </w:r>
      <w:r w:rsidR="00424F9E">
        <w:rPr>
          <w:bCs/>
          <w:szCs w:val="24"/>
        </w:rPr>
        <w:t xml:space="preserve">ho provádění a pokroku směrem </w:t>
      </w:r>
      <w:r w:rsidR="00424F9E" w:rsidRPr="00424F9E">
        <w:t>k</w:t>
      </w:r>
      <w:r w:rsidR="00424F9E">
        <w:t> </w:t>
      </w:r>
      <w:r w:rsidRPr="00424F9E">
        <w:t>dosažení</w:t>
      </w:r>
      <w:r w:rsidRPr="007C4110">
        <w:rPr>
          <w:bCs/>
          <w:szCs w:val="24"/>
        </w:rPr>
        <w:t xml:space="preserve"> cílů programu. Monitorovací výbor bude zřízen formou příkazu ministra životního prostředí.</w:t>
      </w:r>
    </w:p>
    <w:p w:rsidR="007C4110" w:rsidRPr="007C4110" w:rsidRDefault="007C4110" w:rsidP="00B66FDE">
      <w:pPr>
        <w:rPr>
          <w:bCs/>
          <w:szCs w:val="24"/>
        </w:rPr>
      </w:pPr>
      <w:r w:rsidRPr="007C4110">
        <w:rPr>
          <w:bCs/>
          <w:szCs w:val="24"/>
        </w:rPr>
        <w:t>Monitorovací výbor se skládá ze zástupců Řídícího orgánu a Zprostředkujícíh</w:t>
      </w:r>
      <w:r w:rsidR="00424F9E">
        <w:rPr>
          <w:bCs/>
          <w:szCs w:val="24"/>
        </w:rPr>
        <w:t>o subjektu a </w:t>
      </w:r>
      <w:r w:rsidRPr="007C4110">
        <w:rPr>
          <w:bCs/>
          <w:szCs w:val="24"/>
        </w:rPr>
        <w:t>zástupců partnerů (ministerstva, kraje, obce, nestátní neziskové organizace, profesní organizace apod.). Každý člen monitorovacího výboru má hlasovací právo. Evropská komise se účastní činnosti monitorovacího výboru jako poradce. Výběr řádných členů monitorovacího výboru musí být prováděn transparentně a na základě principu partnerství.</w:t>
      </w:r>
    </w:p>
    <w:p w:rsidR="00E8703C" w:rsidRPr="00F625C4" w:rsidRDefault="007C4110" w:rsidP="00F625C4">
      <w:pPr>
        <w:rPr>
          <w:bCs/>
          <w:szCs w:val="24"/>
        </w:rPr>
      </w:pPr>
      <w:r w:rsidRPr="007C4110">
        <w:rPr>
          <w:bCs/>
          <w:szCs w:val="24"/>
        </w:rPr>
        <w:t>Funkce monitorovacího výboru jsou popsány v čl. 4</w:t>
      </w:r>
      <w:r w:rsidR="00D00735">
        <w:rPr>
          <w:bCs/>
          <w:szCs w:val="24"/>
        </w:rPr>
        <w:t>9</w:t>
      </w:r>
      <w:r w:rsidRPr="007C4110">
        <w:rPr>
          <w:bCs/>
          <w:szCs w:val="24"/>
        </w:rPr>
        <w:t xml:space="preserve"> a čl. </w:t>
      </w:r>
      <w:r w:rsidR="00D00735" w:rsidRPr="007C4110">
        <w:rPr>
          <w:bCs/>
          <w:szCs w:val="24"/>
        </w:rPr>
        <w:t>1</w:t>
      </w:r>
      <w:r w:rsidR="00D00735">
        <w:rPr>
          <w:bCs/>
          <w:szCs w:val="24"/>
        </w:rPr>
        <w:t>10</w:t>
      </w:r>
      <w:r w:rsidR="00D00735" w:rsidRPr="007C4110">
        <w:rPr>
          <w:bCs/>
          <w:szCs w:val="24"/>
        </w:rPr>
        <w:t xml:space="preserve"> </w:t>
      </w:r>
      <w:r w:rsidRPr="007C4110">
        <w:rPr>
          <w:bCs/>
          <w:szCs w:val="24"/>
        </w:rPr>
        <w:t>obecného nařízení</w:t>
      </w:r>
      <w:r w:rsidR="008858C5">
        <w:rPr>
          <w:bCs/>
          <w:szCs w:val="24"/>
        </w:rPr>
        <w:t>.</w:t>
      </w:r>
    </w:p>
    <w:p w:rsidR="00EF189B" w:rsidRPr="009D156A" w:rsidRDefault="000E46E5" w:rsidP="00725054">
      <w:pPr>
        <w:pStyle w:val="Nadpis2"/>
      </w:pPr>
      <w:bookmarkStart w:id="3447" w:name="_Toc392151090"/>
      <w:r w:rsidRPr="009D156A">
        <w:t>Zkušenosti z</w:t>
      </w:r>
      <w:r w:rsidR="007037D7" w:rsidRPr="009D156A">
        <w:t xml:space="preserve"> programového období </w:t>
      </w:r>
      <w:r w:rsidR="00BF11D1" w:rsidRPr="009D156A">
        <w:t>2007-2013</w:t>
      </w:r>
      <w:bookmarkEnd w:id="3447"/>
    </w:p>
    <w:p w:rsidR="00EF189B" w:rsidRPr="00FE4D74" w:rsidRDefault="00EF189B" w:rsidP="00FE4D74">
      <w:pPr>
        <w:rPr>
          <w:b/>
          <w:i/>
          <w:color w:val="76923C" w:themeColor="accent3" w:themeShade="BF"/>
        </w:rPr>
      </w:pPr>
      <w:r w:rsidRPr="00FE4D74">
        <w:rPr>
          <w:b/>
          <w:i/>
          <w:color w:val="76923C" w:themeColor="accent3" w:themeShade="BF"/>
        </w:rPr>
        <w:t>Implementační struktura</w:t>
      </w:r>
    </w:p>
    <w:p w:rsidR="00EF189B" w:rsidRPr="00D25F0F" w:rsidRDefault="00EF189B" w:rsidP="00B66FDE">
      <w:r w:rsidRPr="00D25F0F">
        <w:t>Řídicím orgánem bylo ustaveno Ministerstvo životního prostředí (MŽP), které na základě delegační dohody přeneslo některé kompetence na Státní fond životního prostředí ČR (SFŽP</w:t>
      </w:r>
      <w:r>
        <w:t xml:space="preserve"> ČR</w:t>
      </w:r>
      <w:r w:rsidRPr="00D25F0F">
        <w:t xml:space="preserve">) jako Zprostředkující subjekt. </w:t>
      </w:r>
    </w:p>
    <w:p w:rsidR="00EF189B" w:rsidRPr="00D25F0F" w:rsidRDefault="00EF189B" w:rsidP="00B66FDE">
      <w:r w:rsidRPr="00D25F0F">
        <w:t xml:space="preserve">Bude provedena analýza delegační dohody se SFŽP </w:t>
      </w:r>
      <w:r>
        <w:t xml:space="preserve">ČR </w:t>
      </w:r>
      <w:r w:rsidRPr="00D25F0F">
        <w:t>(a nově vytvořena </w:t>
      </w:r>
      <w:r>
        <w:t>delegační dohoda s </w:t>
      </w:r>
      <w:r w:rsidRPr="00D25F0F">
        <w:t>AOPK</w:t>
      </w:r>
      <w:r>
        <w:t xml:space="preserve"> ČR</w:t>
      </w:r>
      <w:r w:rsidRPr="00D25F0F">
        <w:t>) s cílem jasného vymezení kom</w:t>
      </w:r>
      <w:r w:rsidR="00AF07EA">
        <w:t>petencí a odpovědností na úrovni</w:t>
      </w:r>
      <w:r w:rsidRPr="00D25F0F">
        <w:t xml:space="preserve"> ŘO a ZS, přičemž v rámci delegovaných pravomocí bude snaha, aby ZS pracovaly na bázi určitého výkonnostního rámce.</w:t>
      </w:r>
    </w:p>
    <w:p w:rsidR="00EF189B" w:rsidRPr="00D25F0F" w:rsidRDefault="00EF189B" w:rsidP="00B66FDE">
      <w:r w:rsidRPr="00D25F0F">
        <w:lastRenderedPageBreak/>
        <w:t xml:space="preserve">Zapojení AOPK </w:t>
      </w:r>
      <w:r w:rsidR="00AF07EA">
        <w:t xml:space="preserve">ČR </w:t>
      </w:r>
      <w:r w:rsidRPr="00D25F0F">
        <w:t>do procesu hodnocení projektů v</w:t>
      </w:r>
      <w:r w:rsidR="00AF07EA">
        <w:t xml:space="preserve"> rámci Prioritní osy </w:t>
      </w:r>
      <w:r w:rsidRPr="00D25F0F">
        <w:t xml:space="preserve">6 </w:t>
      </w:r>
      <w:r w:rsidR="00AF07EA">
        <w:t xml:space="preserve">OP ŽP 2007-2013 </w:t>
      </w:r>
      <w:r w:rsidRPr="00D25F0F">
        <w:t xml:space="preserve">lze zpětně hodnotit jako pozitivní krok z pohledu kvality implementovaných projektů, ale změna nastavení systému v průběhu implementace programu představovala značnou administrativní komplikaci, která vyžadovala kromě schválení změny Programového dokumentu také náročnou obhajobu této změny vůči řadě auditů z hlediska oddělitelnosti rolí (žadatel </w:t>
      </w:r>
      <w:r w:rsidRPr="00D25F0F">
        <w:sym w:font="Symbol" w:char="F0B4"/>
      </w:r>
      <w:r w:rsidRPr="00D25F0F">
        <w:t xml:space="preserve"> hodnotitel).</w:t>
      </w:r>
    </w:p>
    <w:p w:rsidR="00EF189B" w:rsidRPr="00D25F0F" w:rsidRDefault="00EF189B" w:rsidP="00B66FDE">
      <w:r w:rsidRPr="00D25F0F">
        <w:t>Proto je v novém OP ŽP</w:t>
      </w:r>
      <w:r w:rsidR="00AF07EA">
        <w:t xml:space="preserve"> 2014-2020</w:t>
      </w:r>
      <w:r w:rsidRPr="00D25F0F">
        <w:t xml:space="preserve">, AOPK </w:t>
      </w:r>
      <w:r w:rsidR="00AF07EA">
        <w:t xml:space="preserve">ČR </w:t>
      </w:r>
      <w:r w:rsidRPr="00D25F0F">
        <w:t xml:space="preserve">v jasném postavení Zprostředkujícího subjektu, přičemž je kladen důraz na jasné oddělení rolí příjemce dotace a </w:t>
      </w:r>
      <w:r w:rsidR="00D46480">
        <w:t>z</w:t>
      </w:r>
      <w:r w:rsidR="00EB6DBD" w:rsidRPr="00EB6DBD">
        <w:t>prostředkujícího subjektu</w:t>
      </w:r>
      <w:r w:rsidRPr="00D25F0F">
        <w:t xml:space="preserve"> v rámci implementační struktury.</w:t>
      </w:r>
    </w:p>
    <w:p w:rsidR="00EF189B" w:rsidRPr="00B1394B" w:rsidRDefault="00EF189B" w:rsidP="00B1394B">
      <w:pPr>
        <w:rPr>
          <w:b/>
          <w:i/>
          <w:color w:val="76923C" w:themeColor="accent3" w:themeShade="BF"/>
          <w:sz w:val="24"/>
          <w:szCs w:val="24"/>
        </w:rPr>
      </w:pPr>
      <w:r w:rsidRPr="00B1394B">
        <w:rPr>
          <w:b/>
          <w:i/>
          <w:color w:val="76923C" w:themeColor="accent3" w:themeShade="BF"/>
          <w:sz w:val="24"/>
          <w:szCs w:val="24"/>
        </w:rPr>
        <w:t>Vyhlašování výzev</w:t>
      </w:r>
    </w:p>
    <w:p w:rsidR="00EF189B" w:rsidRPr="00D25F0F" w:rsidRDefault="00EF189B" w:rsidP="00B66FDE">
      <w:r w:rsidRPr="00D25F0F">
        <w:t>Jako zásadní dlouhodobý problém z pohledu implementace a neuspokojivého čerpání OP</w:t>
      </w:r>
      <w:r w:rsidR="009A045B">
        <w:t xml:space="preserve"> </w:t>
      </w:r>
      <w:r w:rsidRPr="00D25F0F">
        <w:t>ŽP</w:t>
      </w:r>
      <w:r w:rsidR="009A045B">
        <w:t xml:space="preserve"> 2007-2013</w:t>
      </w:r>
      <w:r w:rsidRPr="00D25F0F">
        <w:t xml:space="preserve"> je možné označit také značné nedostatky ve schopnosti avizovat potenciálním žadatelům v dostatečném předstihu a v potřebné míře podrobností zacílení připravovaných výzev. Uvedený problém souvisí také s dlouhodobou nestabilitou personálních kapacit, viz dále.</w:t>
      </w:r>
    </w:p>
    <w:p w:rsidR="00EF189B" w:rsidRPr="00D25F0F" w:rsidRDefault="00EF189B" w:rsidP="00B66FDE">
      <w:r w:rsidRPr="00D25F0F">
        <w:t>Vyhlašování výzev s velmi malým časovým předstihem před samotným příjmem žádostí způsobuje značné problémy, které souvisejí s urychlenou přípravou žádostí na straně žadatelů potažmo společností, které se žadateli spolupracují na tvorbě žádostí. Toto se následně projevuje ve vysoké chybovosti žádostí.</w:t>
      </w:r>
    </w:p>
    <w:p w:rsidR="00EF189B" w:rsidRPr="00D25F0F" w:rsidRDefault="00EF189B" w:rsidP="00B66FDE">
      <w:r w:rsidRPr="00D25F0F">
        <w:t>Řídicí orgán bude usilovat o eliminaci uvedených problémů transparentním vyhlašováním výzev s časovým předstihem v řádu měsíců před samotným podáváním žádostí ze strany žadatelů. Časový předstih může být diferencován dle typu projektů a náročnosti zpracování projektové žádosti.</w:t>
      </w:r>
    </w:p>
    <w:p w:rsidR="00EF189B" w:rsidRPr="00B1394B" w:rsidRDefault="00EF189B" w:rsidP="00B1394B">
      <w:pPr>
        <w:rPr>
          <w:b/>
          <w:i/>
          <w:color w:val="76923C" w:themeColor="accent3" w:themeShade="BF"/>
          <w:sz w:val="24"/>
          <w:szCs w:val="24"/>
        </w:rPr>
      </w:pPr>
      <w:r w:rsidRPr="00B1394B">
        <w:rPr>
          <w:b/>
          <w:i/>
          <w:color w:val="76923C" w:themeColor="accent3" w:themeShade="BF"/>
          <w:sz w:val="24"/>
          <w:szCs w:val="24"/>
        </w:rPr>
        <w:t>Spolupráce s příjemci dotace</w:t>
      </w:r>
    </w:p>
    <w:p w:rsidR="00EF189B" w:rsidRPr="00D25F0F" w:rsidRDefault="00EF189B" w:rsidP="00B66FDE">
      <w:r w:rsidRPr="00D25F0F">
        <w:t>Na základě dlouhodobých zkušeností je možné identifikovat zásadní nedostatky v oblasti adekvátního postupu některých příjemců dotace při implementaci projektů. V konkrétních případech lze indikovat objektivní příčiny, jako např. posuzování</w:t>
      </w:r>
      <w:r w:rsidR="00F13D8A">
        <w:t xml:space="preserve"> zadávacího řízení na Úřadu pro </w:t>
      </w:r>
      <w:r w:rsidRPr="00D25F0F">
        <w:t>ochranu hospodářské soutěže – viz dále, ale výjimečné nejsou ani případy, kdy lze skutečně identifikovat zásadní nedostatky na straně příjemců dotace.</w:t>
      </w:r>
    </w:p>
    <w:p w:rsidR="00EF189B" w:rsidRPr="00D25F0F" w:rsidRDefault="00EF189B" w:rsidP="00B66FDE">
      <w:r w:rsidRPr="00D25F0F">
        <w:t>Řídicí orgán předpokládá stanovit předem transparentní pravidla pro příjemce dotace z pohledu nutnosti plnění milníků implementace projektů, které žadatel definuje v rámci předloženého harmonogramu realizace.</w:t>
      </w:r>
    </w:p>
    <w:p w:rsidR="00EF189B" w:rsidRPr="00B1394B" w:rsidRDefault="00EF189B" w:rsidP="00B1394B">
      <w:pPr>
        <w:rPr>
          <w:b/>
          <w:i/>
          <w:color w:val="76923C" w:themeColor="accent3" w:themeShade="BF"/>
          <w:sz w:val="24"/>
          <w:szCs w:val="24"/>
        </w:rPr>
      </w:pPr>
      <w:r w:rsidRPr="00B1394B">
        <w:rPr>
          <w:b/>
          <w:i/>
          <w:color w:val="76923C" w:themeColor="accent3" w:themeShade="BF"/>
          <w:sz w:val="24"/>
          <w:szCs w:val="24"/>
        </w:rPr>
        <w:t>Personální kapacity</w:t>
      </w:r>
    </w:p>
    <w:p w:rsidR="00EF189B" w:rsidRPr="00D25F0F" w:rsidRDefault="00EF189B" w:rsidP="00B66FDE">
      <w:r w:rsidRPr="00D25F0F">
        <w:t>Jedním ze zásadních problémů v implementaci OP</w:t>
      </w:r>
      <w:r w:rsidR="009A045B">
        <w:t xml:space="preserve"> </w:t>
      </w:r>
      <w:r w:rsidRPr="00D25F0F">
        <w:t xml:space="preserve">ŽP </w:t>
      </w:r>
      <w:r w:rsidR="009A045B">
        <w:t xml:space="preserve">2007-2013 </w:t>
      </w:r>
      <w:r w:rsidRPr="00D25F0F">
        <w:t xml:space="preserve">lze bezesporu označit také značnou personální nestabilitu na všech úrovních řízení programu. Pravidla implementace projektů spolufinancovaných z fondů EU jsou specifická a v kombinaci s nastavením systému vyžadujícím spolupráci mnoha subjektů na národní úrovni klade zvýšený důraz na „historické </w:t>
      </w:r>
      <w:r w:rsidRPr="00D25F0F">
        <w:lastRenderedPageBreak/>
        <w:t>zkušenosti“, které by měly sloužit jako příklady dobré a špatné praxe pro případné budoucí změny nastavení systému.</w:t>
      </w:r>
    </w:p>
    <w:p w:rsidR="00EF189B" w:rsidRPr="00D25F0F" w:rsidRDefault="00EF189B" w:rsidP="00B66FDE">
      <w:r w:rsidRPr="00D25F0F">
        <w:t>Dlouhodobě identifikovaná vysoká fluktuace zaměstnanců implementujících OP</w:t>
      </w:r>
      <w:r w:rsidR="009A045B">
        <w:t xml:space="preserve"> </w:t>
      </w:r>
      <w:r w:rsidRPr="00D25F0F">
        <w:t>ŽP</w:t>
      </w:r>
      <w:r w:rsidR="009A045B">
        <w:t xml:space="preserve"> 2007-2013</w:t>
      </w:r>
      <w:r w:rsidRPr="00D25F0F">
        <w:t>, mj. i ve srovnání s jinými operačními programy, do značné míry limituje možnost využití zkušeností a představuje značnou administrativní zátěž s nezanedbatelným dopadem na</w:t>
      </w:r>
      <w:r w:rsidR="000F2740">
        <w:t> </w:t>
      </w:r>
      <w:r w:rsidRPr="00D25F0F">
        <w:t>neuspokojivý stav čerpání.</w:t>
      </w:r>
    </w:p>
    <w:p w:rsidR="00EF189B" w:rsidRPr="00D25F0F" w:rsidRDefault="00EF189B" w:rsidP="00B66FDE">
      <w:r w:rsidRPr="00D25F0F">
        <w:t>Řídicí orgán bude usilovat o eliminaci uvedených problémů snahou o maximální posílení jistoty dlouhodobé perspektivy u stávajících i nových pracovníků implementujících OP</w:t>
      </w:r>
      <w:r w:rsidR="009A045B">
        <w:t xml:space="preserve"> </w:t>
      </w:r>
      <w:r w:rsidRPr="00D25F0F">
        <w:t xml:space="preserve">ŽP v rámci stanovených pravidel. Lze předpokládat, že významný přínos v tomto ohledu může přinést služební zákon, který je jednou z ex-ante </w:t>
      </w:r>
      <w:proofErr w:type="spellStart"/>
      <w:r w:rsidRPr="00D25F0F">
        <w:t>kondicionalit</w:t>
      </w:r>
      <w:proofErr w:type="spellEnd"/>
      <w:r w:rsidRPr="00D25F0F">
        <w:t xml:space="preserve"> pro budoucí programové období.</w:t>
      </w:r>
    </w:p>
    <w:p w:rsidR="00EF189B" w:rsidRPr="00B1394B" w:rsidRDefault="00EF189B" w:rsidP="00B1394B">
      <w:pPr>
        <w:rPr>
          <w:b/>
          <w:i/>
          <w:color w:val="76923C" w:themeColor="accent3" w:themeShade="BF"/>
          <w:sz w:val="24"/>
          <w:szCs w:val="24"/>
        </w:rPr>
      </w:pPr>
      <w:r w:rsidRPr="00B1394B">
        <w:rPr>
          <w:b/>
          <w:i/>
          <w:color w:val="76923C" w:themeColor="accent3" w:themeShade="BF"/>
          <w:sz w:val="24"/>
          <w:szCs w:val="24"/>
        </w:rPr>
        <w:t>Administrativní náročnost a elektronizace dokumentů</w:t>
      </w:r>
    </w:p>
    <w:p w:rsidR="00EF189B" w:rsidRPr="00D25F0F" w:rsidRDefault="00EF189B" w:rsidP="00B66FDE">
      <w:r w:rsidRPr="00D25F0F">
        <w:t>Důležitým aspektem z pohledu optimalizace systému je také revize podkladů, které musí být předkládány v souvislosti s procesem implementace projektů. Tato oblast je opakovaně předmětem kritiky, a přestože již nelze v obecné rovině považovat vždy za opodstatněnou, je nutné usilovat o zjednodušení v relevantních případech a také zaměřit snahu na maximální využití moderních technologií pro zjednodušení a zpřehlednění procesů na všech úrovních.</w:t>
      </w:r>
    </w:p>
    <w:p w:rsidR="00EF189B" w:rsidRPr="00D25F0F" w:rsidRDefault="00EF189B" w:rsidP="00B66FDE">
      <w:r w:rsidRPr="00D25F0F">
        <w:t>Důležitým faktorem v této oblasti bude nastavení centrálního monitorovacího systému pro</w:t>
      </w:r>
      <w:r w:rsidR="000F2740">
        <w:t> </w:t>
      </w:r>
      <w:r w:rsidRPr="00D25F0F">
        <w:t>budoucího programové období a tím i možnosti navazujících subsystémů.</w:t>
      </w:r>
    </w:p>
    <w:p w:rsidR="00EF189B" w:rsidRPr="00D25F0F" w:rsidRDefault="00EF189B" w:rsidP="00B66FDE">
      <w:r w:rsidRPr="00D25F0F">
        <w:t>V každém případě bude provedena revize množství dokumentů, prostřednictvím kterých budou předávány informace potenciálním žadatelům a příjemcům dotace. Zde je vnímám prostor pro</w:t>
      </w:r>
      <w:r w:rsidR="000F2740">
        <w:t> </w:t>
      </w:r>
      <w:r w:rsidRPr="00D25F0F">
        <w:t>zjednodušení nejen na straně žadatelů, ale i v rámci implementační struktury. Jako vhodný krok se jeví například sloučení Směrnice pro žadatele a Závazných pokynů pro žadatele.</w:t>
      </w:r>
    </w:p>
    <w:p w:rsidR="00EF189B" w:rsidRPr="00B1394B" w:rsidRDefault="00EF189B" w:rsidP="00B1394B">
      <w:pPr>
        <w:rPr>
          <w:b/>
          <w:i/>
          <w:color w:val="76923C" w:themeColor="accent3" w:themeShade="BF"/>
          <w:sz w:val="24"/>
          <w:szCs w:val="24"/>
        </w:rPr>
      </w:pPr>
      <w:r w:rsidRPr="00B1394B">
        <w:rPr>
          <w:b/>
          <w:i/>
          <w:color w:val="76923C" w:themeColor="accent3" w:themeShade="BF"/>
          <w:sz w:val="24"/>
          <w:szCs w:val="24"/>
        </w:rPr>
        <w:t>Veřejné zakázky</w:t>
      </w:r>
    </w:p>
    <w:p w:rsidR="00EF189B" w:rsidRPr="00D25F0F" w:rsidRDefault="00EF189B" w:rsidP="00B66FDE">
      <w:r w:rsidRPr="00D25F0F">
        <w:t>Velmi častým problémem, který má zásadní dopad na neuspokojivý stav čerpání OP</w:t>
      </w:r>
      <w:r w:rsidR="009A045B">
        <w:t xml:space="preserve"> </w:t>
      </w:r>
      <w:r w:rsidRPr="00D25F0F">
        <w:t xml:space="preserve">ŽP </w:t>
      </w:r>
      <w:r w:rsidR="009A045B">
        <w:t xml:space="preserve">         </w:t>
      </w:r>
      <w:r w:rsidRPr="00D25F0F">
        <w:t>2007-2013, je velmi dlouhá doba mezi schválením projektu a uskutečněním výběrového řízení na zhotovitele. Oproti původním harmonogramům trvá doba přípravy a úspěšné realizace zadávacího řízení i mnohonásobně déle a zároveň je indikována významná chybovost.</w:t>
      </w:r>
    </w:p>
    <w:p w:rsidR="003D3A8F" w:rsidRDefault="00EF189B" w:rsidP="00B66FDE">
      <w:r w:rsidRPr="00D25F0F">
        <w:t>V konkrétních případech lze indikovat objektivní příčiny, jako např. posuzování zadávacího řízení na Úřadu pro ochranu hospodářské soutěže, ale bohužel z</w:t>
      </w:r>
      <w:r w:rsidR="007B123A">
        <w:t>ásadní nedostatky lze shledat i </w:t>
      </w:r>
      <w:r w:rsidRPr="00D25F0F">
        <w:t xml:space="preserve">na straně příjemců dotace. Nelze ovšem opomíjet, že jednou z příčin je velmi komplikovaná legislativa v této oblasti a její častá novelizace. Předpokládáme </w:t>
      </w:r>
      <w:r w:rsidR="007B123A">
        <w:t>vytvořit „vzorové postupy“, pro </w:t>
      </w:r>
      <w:r w:rsidRPr="00D25F0F">
        <w:t>zadavatele v případě investičně méně náročných zakázek. Zároveň je ale velmi důležité zvažovat konkrétní věcné zaměření a případnou míru podrobností a to právě z důvodu možné potřebné pravidelné aktualizace z důvodu legislativních změn a také nenarušení principu, že realizace zadávacího řízení je v plné odpovědnosti zada</w:t>
      </w:r>
      <w:r w:rsidR="005E2BB3">
        <w:t>vatele.</w:t>
      </w:r>
    </w:p>
    <w:p w:rsidR="00F625C4" w:rsidRPr="00D25F0F" w:rsidRDefault="00F625C4" w:rsidP="00B66FDE"/>
    <w:p w:rsidR="00EF189B" w:rsidRPr="00B1394B" w:rsidRDefault="00EF189B" w:rsidP="00B1394B">
      <w:pPr>
        <w:rPr>
          <w:b/>
          <w:i/>
          <w:color w:val="76923C" w:themeColor="accent3" w:themeShade="BF"/>
          <w:sz w:val="24"/>
          <w:szCs w:val="24"/>
        </w:rPr>
      </w:pPr>
      <w:proofErr w:type="spellStart"/>
      <w:r w:rsidRPr="00B1394B">
        <w:rPr>
          <w:b/>
          <w:i/>
          <w:color w:val="76923C" w:themeColor="accent3" w:themeShade="BF"/>
          <w:sz w:val="24"/>
          <w:szCs w:val="24"/>
        </w:rPr>
        <w:lastRenderedPageBreak/>
        <w:t>Prioritizace</w:t>
      </w:r>
      <w:proofErr w:type="spellEnd"/>
      <w:r w:rsidRPr="00B1394B">
        <w:rPr>
          <w:b/>
          <w:i/>
          <w:color w:val="76923C" w:themeColor="accent3" w:themeShade="BF"/>
          <w:sz w:val="24"/>
          <w:szCs w:val="24"/>
        </w:rPr>
        <w:t xml:space="preserve"> opatření – národní strategie</w:t>
      </w:r>
    </w:p>
    <w:p w:rsidR="00EF189B" w:rsidRPr="00D25F0F" w:rsidRDefault="00EF189B" w:rsidP="00B66FDE">
      <w:r w:rsidRPr="00D25F0F">
        <w:t>Jako podstatný problém v procesu implementace programu se v případě některých prioritních os ukazuje též neexistence jasných národních strategií z pohledu definování opatření, která by měla být prioritně podporována za účelem dosažení maximálního zlepšení při vynaložení dostupných finančních prostředků.</w:t>
      </w:r>
    </w:p>
    <w:p w:rsidR="00EF189B" w:rsidRPr="00D25F0F" w:rsidRDefault="00EF189B" w:rsidP="00B66FDE">
      <w:r w:rsidRPr="00D25F0F">
        <w:t>Tato problematika byla v průběhu programového období opakovaně akcentována také ze strany EK, přičemž dopad tohoto problému se projevil především v oblastech zaměřených na ochranu ovzduší a nakládání s odpady, což mělo za následek zvýšenou administrativní zátěž a zpomalení implementace projektů.</w:t>
      </w:r>
    </w:p>
    <w:p w:rsidR="00EF189B" w:rsidRPr="00D25F0F" w:rsidRDefault="00EF189B" w:rsidP="00B66FDE">
      <w:r w:rsidRPr="00D25F0F">
        <w:t>Řídicí orgán již v průběhu stávajícího programového období usiluje o eliminaci nedostatků v této oblasti ve spolupráci s odpovědnými gestory za jednotlivé složky životního prostředí. Na základě aktuálně činěných kroků lze předpokládat, že potřebné dokumenty by měly být k dispozici v potřebném čase pro řádnou implementaci OP</w:t>
      </w:r>
      <w:r w:rsidR="009A045B">
        <w:t xml:space="preserve"> </w:t>
      </w:r>
      <w:r w:rsidRPr="00D25F0F">
        <w:t xml:space="preserve">ŽP 2014-2020, což je mj. vyžadováno také prostřednictvím ex-ante </w:t>
      </w:r>
      <w:proofErr w:type="spellStart"/>
      <w:r w:rsidRPr="00D25F0F">
        <w:t>kondicionalit</w:t>
      </w:r>
      <w:proofErr w:type="spellEnd"/>
      <w:r w:rsidRPr="00D25F0F">
        <w:t xml:space="preserve"> pro budoucí programové období.</w:t>
      </w:r>
    </w:p>
    <w:p w:rsidR="00EF189B" w:rsidRPr="00B1394B" w:rsidRDefault="00EF189B" w:rsidP="00B1394B">
      <w:pPr>
        <w:rPr>
          <w:b/>
          <w:i/>
          <w:color w:val="76923C" w:themeColor="accent3" w:themeShade="BF"/>
          <w:sz w:val="24"/>
          <w:szCs w:val="24"/>
        </w:rPr>
      </w:pPr>
      <w:r w:rsidRPr="00B1394B">
        <w:rPr>
          <w:b/>
          <w:i/>
          <w:color w:val="76923C" w:themeColor="accent3" w:themeShade="BF"/>
          <w:sz w:val="24"/>
          <w:szCs w:val="24"/>
        </w:rPr>
        <w:t>Financování programu</w:t>
      </w:r>
    </w:p>
    <w:p w:rsidR="00EF189B" w:rsidRPr="00D25F0F" w:rsidRDefault="00EF189B" w:rsidP="00B66FDE">
      <w:r w:rsidRPr="00D25F0F">
        <w:t>OP</w:t>
      </w:r>
      <w:r w:rsidR="009A045B">
        <w:t xml:space="preserve"> </w:t>
      </w:r>
      <w:r w:rsidRPr="00D25F0F">
        <w:t>ŽP 2007-2013 byl nastaven z pohledu spolufinancování projektů ze strany poskytovatele dotace jako dvousložkový. Projekty byly a jsou financovány vedle zdrojů z fondů EU také ze</w:t>
      </w:r>
      <w:r w:rsidR="000F2740">
        <w:t> </w:t>
      </w:r>
      <w:r w:rsidRPr="00D25F0F">
        <w:t>zdrojů státního rozpočtu (SR) prostřednictvím kapitoly MŽP, nebo z prostředků SFŽP</w:t>
      </w:r>
      <w:r w:rsidR="00AC028E">
        <w:t xml:space="preserve"> ČR</w:t>
      </w:r>
      <w:r w:rsidRPr="00D25F0F">
        <w:t>. Vlastní implementace programu prokázala značné nedostatky tohoto nastavení.</w:t>
      </w:r>
    </w:p>
    <w:p w:rsidR="00EF189B" w:rsidRPr="00D25F0F" w:rsidRDefault="00EF189B" w:rsidP="00B66FDE">
      <w:r w:rsidRPr="00D25F0F">
        <w:t>V případě spolufinancování projektů ze SR se ukázalo jako velmi obtížné predikovat reálné potřeby finančních prostředků. Důvodem jsou mj. podstatné rozdíly ve výši podpory u projektů realizovaných veřejnými a soukromými subjekty nebo vývoj kurzu CZK/EUR. Jak bylo uvedeno výše, prostředky na spolufinancování jsou součástí kapitoly MŽP a s ohledem na velikost programu tvoří její velmi podstatnou část. Koncepce rozpočtu kapitoly MŽP je dlouhodobý proces, který nezohledňuje častěji aktualizované potřeby čerpání prostředků fondů EU, a proto vznikají situace dočasného deficitu prostředků s dopadem na zpoždění implementace projektů, které je nutné řešit komplikovanými administrativními opatřeními ve spolupráci s Ministerstvem financí ČR.</w:t>
      </w:r>
    </w:p>
    <w:p w:rsidR="00EF189B" w:rsidRPr="00D25F0F" w:rsidRDefault="00EF189B" w:rsidP="00B66FDE">
      <w:r w:rsidRPr="00D25F0F">
        <w:t xml:space="preserve">V případě spolufinancování z prostředků SFŽP </w:t>
      </w:r>
      <w:r w:rsidR="00AC028E">
        <w:t xml:space="preserve">ČR </w:t>
      </w:r>
      <w:r w:rsidRPr="00D25F0F">
        <w:t xml:space="preserve">byl identifikován také problém značně zvýšené administrativní náročnosti. Poskytování prostředků ze SFŽP </w:t>
      </w:r>
      <w:r w:rsidR="00AC028E">
        <w:t xml:space="preserve">ČR </w:t>
      </w:r>
      <w:r w:rsidRPr="00D25F0F">
        <w:t>se řídí vlastními pravidly, proto je nutné v případě projektů spolufinancovaných ze zdrojů fondů EU a SFŽP</w:t>
      </w:r>
      <w:r w:rsidR="00AC028E">
        <w:t xml:space="preserve"> ČR</w:t>
      </w:r>
      <w:r w:rsidRPr="00D25F0F">
        <w:t xml:space="preserve"> vydávat dvojí řídicí dokumentaci. Daný systém je možné označit za nepříliš efektivní a z pohledu přípravy budoucího programového období vyžadující zásadní úpravy.</w:t>
      </w:r>
    </w:p>
    <w:p w:rsidR="00387A6D" w:rsidRPr="00821031" w:rsidRDefault="00EF189B" w:rsidP="00B66FDE">
      <w:pPr>
        <w:rPr>
          <w:rStyle w:val="Zdraznnintenzivn"/>
          <w:b w:val="0"/>
          <w:bCs w:val="0"/>
          <w:i w:val="0"/>
          <w:iCs w:val="0"/>
          <w:color w:val="auto"/>
        </w:rPr>
      </w:pPr>
      <w:r w:rsidRPr="00D25F0F">
        <w:t>Řídicí orgán bude usilovat o úpravy, které eliminují v budoucím programovém období spolufinancování projektů ze zdrojů státního rozpočtu nebo SFŽP</w:t>
      </w:r>
      <w:r w:rsidR="00AC028E">
        <w:t xml:space="preserve"> ČR</w:t>
      </w:r>
      <w:r w:rsidRPr="00D25F0F">
        <w:t>. Dále bude usilováno o</w:t>
      </w:r>
      <w:r w:rsidR="000F2740">
        <w:t> </w:t>
      </w:r>
      <w:r w:rsidRPr="00D25F0F">
        <w:t>změnu nastavení administrace finančních prostředků poskytovaných příjemci dotace prostřednictvím systému EDS/SMVS na národní úrovni z důvodu větší flexibility a snížení časové náročnosti systému poskytování dotací.</w:t>
      </w:r>
      <w:bookmarkStart w:id="3448" w:name="_Toc351472163"/>
      <w:bookmarkEnd w:id="3013"/>
    </w:p>
    <w:p w:rsidR="00955139" w:rsidRDefault="00A87797" w:rsidP="00165854">
      <w:pPr>
        <w:pStyle w:val="Nadpis1"/>
        <w:rPr>
          <w:rStyle w:val="Zdraznnintenzivn"/>
          <w:b/>
          <w:bCs/>
          <w:i w:val="0"/>
          <w:iCs w:val="0"/>
          <w:color w:val="76923C" w:themeColor="accent3" w:themeShade="BF"/>
        </w:rPr>
      </w:pPr>
      <w:bookmarkStart w:id="3449" w:name="_Toc392151091"/>
      <w:r w:rsidRPr="007B123A">
        <w:rPr>
          <w:rStyle w:val="Zdraznnintenzivn"/>
          <w:b/>
          <w:bCs/>
          <w:i w:val="0"/>
          <w:iCs w:val="0"/>
          <w:color w:val="76923C" w:themeColor="accent3" w:themeShade="BF"/>
        </w:rPr>
        <w:lastRenderedPageBreak/>
        <w:t>Koordinace mezi fondy</w:t>
      </w:r>
      <w:r w:rsidR="00BF13B8">
        <w:rPr>
          <w:rStyle w:val="Zdraznnintenzivn"/>
          <w:b/>
          <w:bCs/>
          <w:i w:val="0"/>
          <w:iCs w:val="0"/>
          <w:color w:val="76923C" w:themeColor="accent3" w:themeShade="BF"/>
        </w:rPr>
        <w:t>, EZFRV, ENRF</w:t>
      </w:r>
      <w:r w:rsidRPr="007B123A">
        <w:rPr>
          <w:rStyle w:val="Zdraznnintenzivn"/>
          <w:b/>
          <w:bCs/>
          <w:i w:val="0"/>
          <w:iCs w:val="0"/>
          <w:color w:val="76923C" w:themeColor="accent3" w:themeShade="BF"/>
        </w:rPr>
        <w:t xml:space="preserve"> a dalšími unijními a</w:t>
      </w:r>
      <w:r w:rsidR="000F2740">
        <w:rPr>
          <w:rStyle w:val="Zdraznnintenzivn"/>
          <w:b/>
          <w:bCs/>
          <w:i w:val="0"/>
          <w:iCs w:val="0"/>
          <w:color w:val="76923C" w:themeColor="accent3" w:themeShade="BF"/>
        </w:rPr>
        <w:t> </w:t>
      </w:r>
      <w:r w:rsidR="00BF13B8">
        <w:rPr>
          <w:rStyle w:val="Zdraznnintenzivn"/>
          <w:b/>
          <w:bCs/>
          <w:i w:val="0"/>
          <w:iCs w:val="0"/>
          <w:color w:val="76923C" w:themeColor="accent3" w:themeShade="BF"/>
        </w:rPr>
        <w:t xml:space="preserve">vnitrostátními finančními </w:t>
      </w:r>
      <w:r w:rsidR="00595DD1" w:rsidRPr="007B123A">
        <w:rPr>
          <w:rStyle w:val="Zdraznnintenzivn"/>
          <w:b/>
          <w:bCs/>
          <w:i w:val="0"/>
          <w:iCs w:val="0"/>
          <w:color w:val="76923C" w:themeColor="accent3" w:themeShade="BF"/>
        </w:rPr>
        <w:t>nástroji a s</w:t>
      </w:r>
      <w:r w:rsidR="00725054">
        <w:rPr>
          <w:rStyle w:val="Zdraznnintenzivn"/>
          <w:b/>
          <w:bCs/>
          <w:i w:val="0"/>
          <w:iCs w:val="0"/>
          <w:color w:val="76923C" w:themeColor="accent3" w:themeShade="BF"/>
        </w:rPr>
        <w:t> </w:t>
      </w:r>
      <w:r w:rsidR="00595DD1" w:rsidRPr="007B123A">
        <w:rPr>
          <w:rStyle w:val="Zdraznnintenzivn"/>
          <w:b/>
          <w:bCs/>
          <w:i w:val="0"/>
          <w:iCs w:val="0"/>
          <w:color w:val="76923C" w:themeColor="accent3" w:themeShade="BF"/>
        </w:rPr>
        <w:t>EIB</w:t>
      </w:r>
      <w:bookmarkEnd w:id="3449"/>
    </w:p>
    <w:p w:rsidR="00AA4FC7" w:rsidRPr="00B1394B" w:rsidRDefault="00857511" w:rsidP="00B1394B">
      <w:pPr>
        <w:rPr>
          <w:b/>
          <w:i/>
          <w:color w:val="76923C" w:themeColor="accent3" w:themeShade="BF"/>
          <w:sz w:val="24"/>
          <w:szCs w:val="24"/>
        </w:rPr>
      </w:pPr>
      <w:r w:rsidRPr="00B1394B">
        <w:rPr>
          <w:b/>
          <w:i/>
          <w:color w:val="76923C" w:themeColor="accent3" w:themeShade="BF"/>
          <w:sz w:val="24"/>
          <w:szCs w:val="24"/>
        </w:rPr>
        <w:t>Obecná koordinace</w:t>
      </w:r>
    </w:p>
    <w:p w:rsidR="00D850D7" w:rsidRPr="00B1394B" w:rsidRDefault="00D850D7" w:rsidP="00B1394B">
      <w:pPr>
        <w:rPr>
          <w:b/>
        </w:rPr>
      </w:pPr>
      <w:bookmarkStart w:id="3450" w:name="_Toc384907538"/>
      <w:r w:rsidRPr="00B1394B">
        <w:rPr>
          <w:b/>
        </w:rPr>
        <w:t xml:space="preserve">Dohoda o partnerství -  koordinace mezi </w:t>
      </w:r>
      <w:r w:rsidR="00FF005A" w:rsidRPr="00B1394B">
        <w:rPr>
          <w:b/>
        </w:rPr>
        <w:t xml:space="preserve">ESI </w:t>
      </w:r>
      <w:r w:rsidRPr="00B1394B">
        <w:rPr>
          <w:b/>
        </w:rPr>
        <w:t>fondy</w:t>
      </w:r>
      <w:bookmarkEnd w:id="3450"/>
      <w:r w:rsidRPr="00B1394B">
        <w:rPr>
          <w:b/>
        </w:rPr>
        <w:t xml:space="preserve"> </w:t>
      </w:r>
    </w:p>
    <w:p w:rsidR="005F44D1" w:rsidRPr="00720C49" w:rsidRDefault="00D850D7" w:rsidP="00B66FDE">
      <w:r w:rsidRPr="00720C49">
        <w:t>Koordinační mechanismy OP</w:t>
      </w:r>
      <w:r w:rsidR="00E16955">
        <w:t xml:space="preserve"> </w:t>
      </w:r>
      <w:r w:rsidRPr="00720C49">
        <w:t xml:space="preserve">ŽP 2014–2020 s ostatními </w:t>
      </w:r>
      <w:r w:rsidR="00EF4049">
        <w:t>operačními programy vycházejí z </w:t>
      </w:r>
      <w:r w:rsidRPr="00720C49">
        <w:t xml:space="preserve"> </w:t>
      </w:r>
      <w:r w:rsidR="00F62BF0" w:rsidRPr="00720C49">
        <w:t>Dohod</w:t>
      </w:r>
      <w:r w:rsidR="00F62BF0">
        <w:t>y</w:t>
      </w:r>
      <w:r w:rsidR="00F62BF0" w:rsidRPr="00720C49">
        <w:t xml:space="preserve"> </w:t>
      </w:r>
      <w:r w:rsidRPr="00720C49">
        <w:t>o partnerství. Na úrovni Dohody o partnerství je koordinace mezi fondy, program</w:t>
      </w:r>
      <w:r w:rsidR="00F13D8A">
        <w:t>y a </w:t>
      </w:r>
      <w:r w:rsidRPr="00720C49">
        <w:t>dalšími nástroji vnímána ja</w:t>
      </w:r>
      <w:r w:rsidR="00EF4049">
        <w:t>ko klíčový prvek programování a </w:t>
      </w:r>
      <w:r w:rsidRPr="00720C49">
        <w:t>ná</w:t>
      </w:r>
      <w:r w:rsidR="00F13D8A">
        <w:t>sledné realizace. Jde zejména o </w:t>
      </w:r>
      <w:r w:rsidRPr="00720C49">
        <w:t>zajištění vzájemnéh</w:t>
      </w:r>
      <w:r w:rsidR="00EF4049">
        <w:t>o spolupůsobení, doplňkovosti a </w:t>
      </w:r>
      <w:r w:rsidRPr="00720C49">
        <w:t xml:space="preserve">odstranění překryvů mezi intervencemi podporovanými z jednotlivých programů. </w:t>
      </w:r>
    </w:p>
    <w:p w:rsidR="00D850D7" w:rsidRPr="00B1394B" w:rsidRDefault="00D850D7" w:rsidP="00B1394B">
      <w:pPr>
        <w:rPr>
          <w:b/>
        </w:rPr>
      </w:pPr>
      <w:bookmarkStart w:id="3451" w:name="_Toc384907539"/>
      <w:r w:rsidRPr="00B1394B">
        <w:rPr>
          <w:b/>
        </w:rPr>
        <w:t xml:space="preserve">Rada pro </w:t>
      </w:r>
      <w:r w:rsidR="00EA2FB8">
        <w:rPr>
          <w:b/>
        </w:rPr>
        <w:t xml:space="preserve">ESI </w:t>
      </w:r>
      <w:r w:rsidRPr="00B1394B">
        <w:rPr>
          <w:b/>
        </w:rPr>
        <w:t xml:space="preserve">fondy </w:t>
      </w:r>
      <w:bookmarkEnd w:id="3451"/>
    </w:p>
    <w:p w:rsidR="00D850D7" w:rsidRPr="00720C49" w:rsidRDefault="00D850D7" w:rsidP="00B66FDE">
      <w:r w:rsidRPr="00720C49">
        <w:t xml:space="preserve">Rada pro </w:t>
      </w:r>
      <w:r w:rsidR="00A4178A">
        <w:t>ESI</w:t>
      </w:r>
      <w:r w:rsidR="00FA654C">
        <w:t xml:space="preserve"> fondy</w:t>
      </w:r>
      <w:r w:rsidR="00FA654C" w:rsidRPr="00720C49">
        <w:t xml:space="preserve"> </w:t>
      </w:r>
      <w:r w:rsidRPr="00720C49">
        <w:t>je stálým nadresortním odborným a</w:t>
      </w:r>
      <w:r w:rsidR="00FC6093">
        <w:t> </w:t>
      </w:r>
      <w:r w:rsidRPr="00720C49">
        <w:t>poradním orgánem vlády v oblasti věcné koordinace pomoci poskytované ČR z</w:t>
      </w:r>
      <w:r w:rsidR="00857511">
        <w:t> </w:t>
      </w:r>
      <w:r w:rsidR="00FF005A">
        <w:t>ESI</w:t>
      </w:r>
      <w:r w:rsidR="00857511">
        <w:t xml:space="preserve"> </w:t>
      </w:r>
      <w:r w:rsidRPr="00720C49">
        <w:t>fondů.</w:t>
      </w:r>
    </w:p>
    <w:p w:rsidR="00D850D7" w:rsidRPr="00B1394B" w:rsidRDefault="00D850D7" w:rsidP="00B1394B">
      <w:pPr>
        <w:rPr>
          <w:b/>
        </w:rPr>
      </w:pPr>
      <w:bookmarkStart w:id="3452" w:name="_Toc384907540"/>
      <w:r w:rsidRPr="00B1394B">
        <w:rPr>
          <w:b/>
        </w:rPr>
        <w:t>Monitorovací výbory operačních programů</w:t>
      </w:r>
      <w:bookmarkEnd w:id="3452"/>
    </w:p>
    <w:p w:rsidR="00D850D7" w:rsidRPr="00720C49" w:rsidRDefault="00D850D7" w:rsidP="00B66FDE">
      <w:r w:rsidRPr="00720C49">
        <w:t xml:space="preserve">V návaznosti na zkušenosti z programového období 2007–2013 bude hlavní koordinace mezi </w:t>
      </w:r>
      <w:proofErr w:type="gramStart"/>
      <w:r w:rsidRPr="00720C49">
        <w:t>OP</w:t>
      </w:r>
      <w:proofErr w:type="gramEnd"/>
      <w:r w:rsidR="000F2740">
        <w:t> </w:t>
      </w:r>
      <w:r w:rsidRPr="00720C49">
        <w:t xml:space="preserve">ŽP 2014–2020 a operačními programy se synergickými </w:t>
      </w:r>
      <w:r w:rsidR="00FA654C">
        <w:t xml:space="preserve">či komplementárními </w:t>
      </w:r>
      <w:r w:rsidRPr="00720C49">
        <w:t>vazbami zajišťována prostřednictvím vzájemného členství dotčených řídicích orgánů v monitorovacích výborech.</w:t>
      </w:r>
    </w:p>
    <w:p w:rsidR="00D850D7" w:rsidRPr="00B1394B" w:rsidRDefault="00D850D7" w:rsidP="00B1394B">
      <w:pPr>
        <w:rPr>
          <w:b/>
        </w:rPr>
      </w:pPr>
      <w:bookmarkStart w:id="3453" w:name="_Toc384907541"/>
      <w:r w:rsidRPr="00B1394B">
        <w:rPr>
          <w:b/>
        </w:rPr>
        <w:t>Koordinace v oblasti výzev</w:t>
      </w:r>
      <w:bookmarkEnd w:id="3453"/>
    </w:p>
    <w:p w:rsidR="00D850D7" w:rsidRPr="00720C49" w:rsidRDefault="00D850D7" w:rsidP="00B66FDE">
      <w:r w:rsidRPr="00720C49">
        <w:t>Z důvodu zajištění maximální efektivnosti jednotlivýc</w:t>
      </w:r>
      <w:r w:rsidR="00EF4049">
        <w:t>h intervencí OP</w:t>
      </w:r>
      <w:r w:rsidR="00E16955">
        <w:t xml:space="preserve"> </w:t>
      </w:r>
      <w:r w:rsidR="00EF4049">
        <w:t>ŽP 2014–2020 a </w:t>
      </w:r>
      <w:r w:rsidRPr="00720C49">
        <w:t>zabezpečení synergických vazeb s ostatními dotčenými operačními programy bude v rámci odpovídajících platforem probíhat koordinace procesu přípravy jednotlivých výzev (časové hledisko, věcný obsah, technické parametry apod.) a jejich následného vyhodnocování. Koordinovaný proces nastavování výzev a jejich hodnocení by měl přispět k realizaci takových projektů, které v maximální možné míře zajistí provázanost jednotlivých intervencí napříč relevantními operačními programy a bude dosaženo plnění specifických cílů podporov</w:t>
      </w:r>
      <w:r w:rsidR="00FF005A">
        <w:t>a</w:t>
      </w:r>
      <w:r w:rsidRPr="00720C49">
        <w:t>n</w:t>
      </w:r>
      <w:r w:rsidR="00FF005A">
        <w:t>ých</w:t>
      </w:r>
      <w:r w:rsidR="00EF4049">
        <w:t xml:space="preserve"> z </w:t>
      </w:r>
      <w:r w:rsidRPr="00720C49">
        <w:t>různých operačních programů.</w:t>
      </w:r>
    </w:p>
    <w:p w:rsidR="000732E2" w:rsidRPr="00B1394B" w:rsidRDefault="00980649" w:rsidP="00B1394B">
      <w:pPr>
        <w:rPr>
          <w:b/>
          <w:i/>
          <w:color w:val="76923C" w:themeColor="accent3" w:themeShade="BF"/>
          <w:sz w:val="24"/>
          <w:szCs w:val="24"/>
        </w:rPr>
      </w:pPr>
      <w:r w:rsidRPr="00B1394B">
        <w:rPr>
          <w:b/>
          <w:i/>
          <w:color w:val="76923C" w:themeColor="accent3" w:themeShade="BF"/>
          <w:sz w:val="24"/>
          <w:szCs w:val="24"/>
        </w:rPr>
        <w:t xml:space="preserve">Synergie a komplementarity mezi programy </w:t>
      </w:r>
      <w:r w:rsidR="00331BE6" w:rsidRPr="00B1394B">
        <w:rPr>
          <w:b/>
          <w:i/>
          <w:color w:val="76923C" w:themeColor="accent3" w:themeShade="BF"/>
          <w:sz w:val="24"/>
          <w:szCs w:val="24"/>
        </w:rPr>
        <w:t xml:space="preserve">ESI </w:t>
      </w:r>
      <w:r w:rsidRPr="00B1394B">
        <w:rPr>
          <w:b/>
          <w:i/>
          <w:color w:val="76923C" w:themeColor="accent3" w:themeShade="BF"/>
          <w:sz w:val="24"/>
          <w:szCs w:val="24"/>
        </w:rPr>
        <w:t xml:space="preserve">fondů </w:t>
      </w:r>
    </w:p>
    <w:p w:rsidR="000732E2" w:rsidRPr="000732E2" w:rsidRDefault="00FA1849" w:rsidP="00B66FDE">
      <w:r>
        <w:t>K</w:t>
      </w:r>
      <w:r w:rsidR="000732E2" w:rsidRPr="000732E2">
        <w:t xml:space="preserve">omplementární </w:t>
      </w:r>
      <w:r w:rsidR="00DD152A">
        <w:t>nebo</w:t>
      </w:r>
      <w:r w:rsidR="000732E2" w:rsidRPr="000732E2">
        <w:t xml:space="preserve"> </w:t>
      </w:r>
      <w:r>
        <w:t>synergická vazba ve vztahu k</w:t>
      </w:r>
      <w:r w:rsidR="00E16955">
        <w:t> </w:t>
      </w:r>
      <w:proofErr w:type="gramStart"/>
      <w:r>
        <w:t>OP</w:t>
      </w:r>
      <w:proofErr w:type="gramEnd"/>
      <w:r w:rsidR="00E16955">
        <w:t xml:space="preserve"> </w:t>
      </w:r>
      <w:r>
        <w:t xml:space="preserve">ŽP </w:t>
      </w:r>
      <w:r w:rsidR="00EF4049">
        <w:t>2014-2020 byla identifikována u </w:t>
      </w:r>
      <w:r>
        <w:t>následujících operačních programů ESI fondů</w:t>
      </w:r>
      <w:r w:rsidR="000732E2" w:rsidRPr="000732E2">
        <w:t>:</w:t>
      </w:r>
    </w:p>
    <w:p w:rsidR="006F7D80" w:rsidRDefault="000732E2" w:rsidP="00495FC1">
      <w:pPr>
        <w:pStyle w:val="Odstavecseseznamem"/>
        <w:numPr>
          <w:ilvl w:val="0"/>
          <w:numId w:val="47"/>
        </w:numPr>
      </w:pPr>
      <w:r w:rsidRPr="000732E2">
        <w:t>Integrovaný regionální operační program (IROP),</w:t>
      </w:r>
    </w:p>
    <w:p w:rsidR="006F7D80" w:rsidRDefault="00FA1849" w:rsidP="00495FC1">
      <w:pPr>
        <w:pStyle w:val="Odstavecseseznamem"/>
        <w:numPr>
          <w:ilvl w:val="0"/>
          <w:numId w:val="47"/>
        </w:numPr>
      </w:pPr>
      <w:r>
        <w:t>Operační program Podnikání a inovace pro konkurenceschopnost (OP PIK),</w:t>
      </w:r>
    </w:p>
    <w:p w:rsidR="006F7D80" w:rsidRDefault="000732E2" w:rsidP="00495FC1">
      <w:pPr>
        <w:pStyle w:val="Odstavecseseznamem"/>
        <w:numPr>
          <w:ilvl w:val="0"/>
          <w:numId w:val="47"/>
        </w:numPr>
      </w:pPr>
      <w:r w:rsidRPr="000732E2">
        <w:t>Operační program Praha - pól růstu ČR (OP PPR),</w:t>
      </w:r>
    </w:p>
    <w:p w:rsidR="00C80781" w:rsidRDefault="00C80781" w:rsidP="00495FC1">
      <w:pPr>
        <w:pStyle w:val="Odstavecseseznamem"/>
        <w:numPr>
          <w:ilvl w:val="0"/>
          <w:numId w:val="47"/>
        </w:numPr>
      </w:pPr>
      <w:r w:rsidRPr="000732E2">
        <w:t>Operační program Doprava (OP D),</w:t>
      </w:r>
    </w:p>
    <w:p w:rsidR="006F7D80" w:rsidRDefault="00DD152A" w:rsidP="00495FC1">
      <w:pPr>
        <w:pStyle w:val="Odstavecseseznamem"/>
        <w:numPr>
          <w:ilvl w:val="0"/>
          <w:numId w:val="47"/>
        </w:numPr>
      </w:pPr>
      <w:r>
        <w:lastRenderedPageBreak/>
        <w:t>Program rozvoje venkova (PRV),</w:t>
      </w:r>
    </w:p>
    <w:p w:rsidR="006F7D80" w:rsidRDefault="00DD152A" w:rsidP="00495FC1">
      <w:pPr>
        <w:pStyle w:val="Odstavecseseznamem"/>
        <w:numPr>
          <w:ilvl w:val="0"/>
          <w:numId w:val="47"/>
        </w:numPr>
      </w:pPr>
      <w:r>
        <w:t>Operační program Rybářství</w:t>
      </w:r>
      <w:r w:rsidR="00EF4049">
        <w:t xml:space="preserve"> (OP R)</w:t>
      </w:r>
      <w:r w:rsidR="008C10E1">
        <w:t>,</w:t>
      </w:r>
    </w:p>
    <w:p w:rsidR="00821031" w:rsidRDefault="008C10E1" w:rsidP="00B91C67">
      <w:pPr>
        <w:pStyle w:val="Odstavecseseznamem"/>
        <w:numPr>
          <w:ilvl w:val="0"/>
          <w:numId w:val="47"/>
        </w:numPr>
      </w:pPr>
      <w:r>
        <w:t>Operační program Technická pomoc</w:t>
      </w:r>
      <w:r w:rsidR="00EF4049">
        <w:t xml:space="preserve"> (OP TP)</w:t>
      </w:r>
      <w:r w:rsidR="00DD152A">
        <w:t>.</w:t>
      </w:r>
    </w:p>
    <w:p w:rsidR="00FD2817" w:rsidRDefault="00FD2817" w:rsidP="00FD2817">
      <w:pPr>
        <w:pStyle w:val="Odstavecseseznamem"/>
      </w:pPr>
    </w:p>
    <w:p w:rsidR="00F62BF0" w:rsidRDefault="00F62BF0" w:rsidP="00B91C67">
      <w:pPr>
        <w:pStyle w:val="Odstavecseseznamem"/>
        <w:ind w:left="0"/>
      </w:pPr>
      <w:r w:rsidRPr="0002799F">
        <w:t xml:space="preserve">Konkrétní specifikace identifikovaných komplementárních a synergických vazeb mezi </w:t>
      </w:r>
      <w:proofErr w:type="gramStart"/>
      <w:r w:rsidRPr="0002799F">
        <w:t>OP</w:t>
      </w:r>
      <w:proofErr w:type="gramEnd"/>
      <w:r>
        <w:t xml:space="preserve"> </w:t>
      </w:r>
      <w:r w:rsidRPr="0002799F">
        <w:t xml:space="preserve">ŽP 2014-2020 a </w:t>
      </w:r>
      <w:r>
        <w:t xml:space="preserve">jednotlivými </w:t>
      </w:r>
      <w:r w:rsidRPr="0002799F">
        <w:t xml:space="preserve">programy </w:t>
      </w:r>
      <w:r>
        <w:t>včetně mechanismů koordinace je</w:t>
      </w:r>
      <w:r w:rsidRPr="0002799F">
        <w:t xml:space="preserve"> uvedena </w:t>
      </w:r>
      <w:r>
        <w:t>v nepovinné Příloze  5</w:t>
      </w:r>
      <w:r w:rsidRPr="0002799F">
        <w:t xml:space="preserve">. </w:t>
      </w:r>
    </w:p>
    <w:p w:rsidR="00FD2817" w:rsidRPr="00D42CBC" w:rsidRDefault="00FD2817" w:rsidP="00B91C67">
      <w:pPr>
        <w:pStyle w:val="Odstavecseseznamem"/>
        <w:ind w:left="0"/>
      </w:pPr>
    </w:p>
    <w:p w:rsidR="006F7D80" w:rsidRPr="007B123A" w:rsidRDefault="00D42CBC" w:rsidP="00495FC1">
      <w:pPr>
        <w:pStyle w:val="Odstavecseseznamem"/>
        <w:numPr>
          <w:ilvl w:val="0"/>
          <w:numId w:val="48"/>
        </w:numPr>
        <w:rPr>
          <w:b/>
        </w:rPr>
      </w:pPr>
      <w:r w:rsidRPr="007B123A">
        <w:rPr>
          <w:b/>
        </w:rPr>
        <w:t>Úspory energie</w:t>
      </w:r>
    </w:p>
    <w:p w:rsidR="00D7329B" w:rsidRPr="00D42CBC" w:rsidRDefault="00582D3B" w:rsidP="00B66FDE">
      <w:r w:rsidRPr="0031631F">
        <w:t>Podpora o</w:t>
      </w:r>
      <w:r w:rsidR="00D42CBC" w:rsidRPr="0031631F">
        <w:t>blast</w:t>
      </w:r>
      <w:r w:rsidRPr="0031631F">
        <w:t>i</w:t>
      </w:r>
      <w:r w:rsidR="00D42CBC" w:rsidRPr="0031631F">
        <w:t xml:space="preserve"> energetických úspor je </w:t>
      </w:r>
      <w:r w:rsidRPr="0031631F">
        <w:t>mimo OP</w:t>
      </w:r>
      <w:r w:rsidR="00E16955">
        <w:t xml:space="preserve"> </w:t>
      </w:r>
      <w:r w:rsidRPr="0031631F">
        <w:t>ŽP 2014-2020 řešena také v</w:t>
      </w:r>
      <w:r w:rsidR="00D42CBC" w:rsidRPr="0031631F">
        <w:t xml:space="preserve"> </w:t>
      </w:r>
      <w:r w:rsidR="00D42CBC" w:rsidRPr="0031631F">
        <w:rPr>
          <w:b/>
        </w:rPr>
        <w:t xml:space="preserve">IROP, </w:t>
      </w:r>
      <w:r w:rsidRPr="0031631F">
        <w:rPr>
          <w:b/>
        </w:rPr>
        <w:t xml:space="preserve">OP PIK, </w:t>
      </w:r>
      <w:r w:rsidR="00D42CBC" w:rsidRPr="0031631F">
        <w:rPr>
          <w:b/>
        </w:rPr>
        <w:t>OP</w:t>
      </w:r>
      <w:r w:rsidR="00E16955">
        <w:rPr>
          <w:b/>
        </w:rPr>
        <w:t> </w:t>
      </w:r>
      <w:r w:rsidR="00217703" w:rsidRPr="0031631F">
        <w:rPr>
          <w:b/>
        </w:rPr>
        <w:t>PPR</w:t>
      </w:r>
      <w:r w:rsidR="006C49B1">
        <w:rPr>
          <w:b/>
        </w:rPr>
        <w:t xml:space="preserve"> a PRV</w:t>
      </w:r>
      <w:r w:rsidR="00D42CBC" w:rsidRPr="0031631F">
        <w:t xml:space="preserve">. Komplementární vazbu lze sledovat spíše z úrovně tematického cíle v tom smyslu, že všechny jmenované programy přispějí ke zvýšení energetické efektivnosti ČR, ovšem každý program se orientuje na jinou oblast. </w:t>
      </w:r>
      <w:r w:rsidR="00030567" w:rsidRPr="0031631F">
        <w:t>OP</w:t>
      </w:r>
      <w:r w:rsidR="00E16955">
        <w:t xml:space="preserve"> </w:t>
      </w:r>
      <w:r w:rsidR="00030567" w:rsidRPr="0031631F">
        <w:t>ŽP 2014-2020 se zaměřuje na budovy veřejného sektoru, IROP na bytové domy s 4 a více</w:t>
      </w:r>
      <w:r w:rsidR="0010252F">
        <w:t xml:space="preserve"> bytovými jednotkami, OP PIK na </w:t>
      </w:r>
      <w:r w:rsidR="00030567" w:rsidRPr="0031631F">
        <w:t xml:space="preserve">podnikatelské subjekty a OP PPR se bude zabývat pilotními </w:t>
      </w:r>
      <w:r w:rsidR="0010252F">
        <w:t>projekty ve veřejném sektoru na </w:t>
      </w:r>
      <w:r w:rsidR="00030567" w:rsidRPr="0031631F">
        <w:t>území Prahy</w:t>
      </w:r>
      <w:r w:rsidR="006C49B1" w:rsidRPr="006C49B1">
        <w:t xml:space="preserve"> </w:t>
      </w:r>
      <w:r w:rsidR="006C49B1" w:rsidRPr="001575C2">
        <w:t>a PRV se zaměřuje na snižování energetické náročnosti u zemědělských podnikatelů</w:t>
      </w:r>
      <w:r w:rsidR="00030567" w:rsidRPr="0031631F">
        <w:t>.</w:t>
      </w:r>
    </w:p>
    <w:p w:rsidR="006F7D80" w:rsidRPr="007B123A" w:rsidRDefault="00D42CBC" w:rsidP="00495FC1">
      <w:pPr>
        <w:pStyle w:val="Odstavecseseznamem"/>
        <w:numPr>
          <w:ilvl w:val="0"/>
          <w:numId w:val="48"/>
        </w:numPr>
        <w:rPr>
          <w:b/>
        </w:rPr>
      </w:pPr>
      <w:r w:rsidRPr="007B123A">
        <w:rPr>
          <w:b/>
        </w:rPr>
        <w:t>Bioplynové stanice</w:t>
      </w:r>
    </w:p>
    <w:p w:rsidR="005626D9" w:rsidRPr="00D42CBC" w:rsidRDefault="00696012" w:rsidP="00B66FDE">
      <w:r>
        <w:t>OP</w:t>
      </w:r>
      <w:r w:rsidR="00E16955">
        <w:t xml:space="preserve"> </w:t>
      </w:r>
      <w:r w:rsidR="00C15BD4">
        <w:t>ŽP</w:t>
      </w:r>
      <w:r>
        <w:t xml:space="preserve"> 2014-2020 </w:t>
      </w:r>
      <w:r w:rsidR="00D42CBC" w:rsidRPr="00D42CBC">
        <w:t xml:space="preserve">se zaměřuje na výstavbu bioplynových stanic v souvislosti s využitím </w:t>
      </w:r>
      <w:r w:rsidR="00984E25">
        <w:t>bio</w:t>
      </w:r>
      <w:r w:rsidR="00D42CBC" w:rsidRPr="00D42CBC">
        <w:t xml:space="preserve">odpadu </w:t>
      </w:r>
      <w:r w:rsidRPr="00D42CBC">
        <w:t xml:space="preserve">V této oblasti </w:t>
      </w:r>
      <w:r w:rsidR="005626D9">
        <w:t>se vyskytuje</w:t>
      </w:r>
      <w:r w:rsidRPr="00D42CBC">
        <w:t xml:space="preserve"> </w:t>
      </w:r>
      <w:proofErr w:type="spellStart"/>
      <w:r w:rsidR="005626D9">
        <w:t>pro</w:t>
      </w:r>
      <w:r w:rsidRPr="00D42CBC">
        <w:t>vazb</w:t>
      </w:r>
      <w:r w:rsidR="005626D9">
        <w:t>a</w:t>
      </w:r>
      <w:proofErr w:type="spellEnd"/>
      <w:r w:rsidRPr="00D42CBC">
        <w:t xml:space="preserve"> na</w:t>
      </w:r>
      <w:r w:rsidRPr="00D42CBC">
        <w:rPr>
          <w:b/>
        </w:rPr>
        <w:t xml:space="preserve"> </w:t>
      </w:r>
      <w:proofErr w:type="gramStart"/>
      <w:r w:rsidRPr="00D42CBC">
        <w:rPr>
          <w:b/>
        </w:rPr>
        <w:t>OP</w:t>
      </w:r>
      <w:proofErr w:type="gramEnd"/>
      <w:r w:rsidRPr="00D42CBC">
        <w:rPr>
          <w:b/>
        </w:rPr>
        <w:t xml:space="preserve"> </w:t>
      </w:r>
      <w:r w:rsidR="005626D9">
        <w:rPr>
          <w:b/>
        </w:rPr>
        <w:t>PIK</w:t>
      </w:r>
      <w:r w:rsidRPr="00D42CBC">
        <w:t xml:space="preserve">. </w:t>
      </w:r>
      <w:r w:rsidR="005626D9" w:rsidRPr="00D42CBC">
        <w:t>V </w:t>
      </w:r>
      <w:proofErr w:type="gramStart"/>
      <w:r w:rsidR="005626D9" w:rsidRPr="00D42CBC">
        <w:t>OP</w:t>
      </w:r>
      <w:proofErr w:type="gramEnd"/>
      <w:r w:rsidR="005626D9" w:rsidRPr="00D42CBC">
        <w:t xml:space="preserve"> PIK nebude podporována výstavba nových bioplynových stanic, ale předmětem podpory bude využití užitečného tep</w:t>
      </w:r>
      <w:r w:rsidR="0010252F">
        <w:t>la ze </w:t>
      </w:r>
      <w:r w:rsidR="005626D9" w:rsidRPr="00D42CBC">
        <w:t>stávajících bioplynových stanic.</w:t>
      </w:r>
      <w:r w:rsidR="005626D9">
        <w:t xml:space="preserve"> </w:t>
      </w:r>
    </w:p>
    <w:p w:rsidR="006F7D80" w:rsidRPr="007B123A" w:rsidRDefault="00D42CBC" w:rsidP="00495FC1">
      <w:pPr>
        <w:pStyle w:val="Odstavecseseznamem"/>
        <w:numPr>
          <w:ilvl w:val="0"/>
          <w:numId w:val="48"/>
        </w:numPr>
        <w:rPr>
          <w:b/>
        </w:rPr>
      </w:pPr>
      <w:r w:rsidRPr="007B123A">
        <w:rPr>
          <w:b/>
        </w:rPr>
        <w:t>Druhotné suroviny</w:t>
      </w:r>
    </w:p>
    <w:p w:rsidR="00F40605" w:rsidRPr="00D42CBC" w:rsidRDefault="002446F6" w:rsidP="00B66FDE">
      <w:r>
        <w:t>OP</w:t>
      </w:r>
      <w:r w:rsidR="00E16955">
        <w:t xml:space="preserve"> </w:t>
      </w:r>
      <w:r>
        <w:t xml:space="preserve">ŽP 2014-2020 se v oblasti odpadového hospodářství </w:t>
      </w:r>
      <w:r w:rsidR="00F40605">
        <w:t xml:space="preserve">mimo jiné </w:t>
      </w:r>
      <w:r>
        <w:t xml:space="preserve">zaměřuje na </w:t>
      </w:r>
      <w:r w:rsidR="0010252F">
        <w:t>výstavbu a </w:t>
      </w:r>
      <w:r w:rsidR="00F40605">
        <w:t>modernizaci</w:t>
      </w:r>
      <w:r w:rsidR="00F40605" w:rsidRPr="00F40605">
        <w:t xml:space="preserve"> zařízení pro materiálové využití odpadů</w:t>
      </w:r>
      <w:r w:rsidR="00F40605">
        <w:t xml:space="preserve">. </w:t>
      </w:r>
      <w:r w:rsidRPr="00F40605">
        <w:t>T</w:t>
      </w:r>
      <w:r w:rsidR="0000764B" w:rsidRPr="00F40605">
        <w:t xml:space="preserve">ato oblast je sledována </w:t>
      </w:r>
      <w:r w:rsidR="00F40605">
        <w:t xml:space="preserve">i z pohledu </w:t>
      </w:r>
      <w:r w:rsidR="0033290F" w:rsidRPr="0033290F">
        <w:rPr>
          <w:b/>
        </w:rPr>
        <w:t>OP PIK</w:t>
      </w:r>
      <w:r w:rsidR="00F40605">
        <w:t>, neboť p</w:t>
      </w:r>
      <w:r w:rsidR="00D42CBC" w:rsidRPr="00D42CBC">
        <w:t>roblematika zavádění inovativních nízkouhlíkatých technologií v oblasti zpracování a využívání druhotných surovin je řešena pouze v OP PIK</w:t>
      </w:r>
      <w:r w:rsidR="00F40605">
        <w:t xml:space="preserve"> a úzce souvisí s</w:t>
      </w:r>
      <w:r w:rsidR="00E16955">
        <w:t> </w:t>
      </w:r>
      <w:proofErr w:type="gramStart"/>
      <w:r w:rsidR="00F40605">
        <w:t>OP</w:t>
      </w:r>
      <w:proofErr w:type="gramEnd"/>
      <w:r w:rsidR="00E16955">
        <w:t xml:space="preserve"> </w:t>
      </w:r>
      <w:r w:rsidR="00F40605">
        <w:t>ŽP 2014-2020</w:t>
      </w:r>
      <w:r w:rsidR="00D42CBC" w:rsidRPr="00D42CBC">
        <w:t xml:space="preserve">. </w:t>
      </w:r>
    </w:p>
    <w:p w:rsidR="006F7D80" w:rsidRPr="007B123A" w:rsidRDefault="00D42CBC" w:rsidP="00495FC1">
      <w:pPr>
        <w:pStyle w:val="Odstavecseseznamem"/>
        <w:numPr>
          <w:ilvl w:val="0"/>
          <w:numId w:val="48"/>
        </w:numPr>
        <w:rPr>
          <w:b/>
        </w:rPr>
      </w:pPr>
      <w:r w:rsidRPr="007B123A">
        <w:rPr>
          <w:b/>
        </w:rPr>
        <w:t>Soustavy zásobování teplem</w:t>
      </w:r>
    </w:p>
    <w:p w:rsidR="00D42CBC" w:rsidRDefault="00D141D4" w:rsidP="00B66FDE">
      <w:r w:rsidRPr="000A7373">
        <w:t>OP</w:t>
      </w:r>
      <w:r w:rsidR="00E16955">
        <w:t xml:space="preserve"> </w:t>
      </w:r>
      <w:r w:rsidRPr="000A7373">
        <w:t xml:space="preserve">ŽP 2014-2020 se zabývá rozšiřováním a rekonstrukcí soustav centralizovaného zásobování tepelnou energií, na který navazuje </w:t>
      </w:r>
      <w:r w:rsidR="00D42CBC" w:rsidRPr="000A7373">
        <w:rPr>
          <w:b/>
        </w:rPr>
        <w:t>OP PIK.</w:t>
      </w:r>
      <w:r w:rsidR="00D42CBC" w:rsidRPr="000A7373">
        <w:t xml:space="preserve"> Oba operační programy se doplňují z hlediska příjemců podpory, kdy </w:t>
      </w:r>
      <w:r w:rsidRPr="00D064DB">
        <w:t>OP</w:t>
      </w:r>
      <w:r w:rsidR="00E16955">
        <w:t xml:space="preserve"> </w:t>
      </w:r>
      <w:r w:rsidRPr="00D064DB">
        <w:t xml:space="preserve">ŽP 2014-2020  je orientován na veřejný sektor a </w:t>
      </w:r>
      <w:r w:rsidR="00D42CBC" w:rsidRPr="00D064DB">
        <w:t xml:space="preserve">OP PIK </w:t>
      </w:r>
      <w:r w:rsidR="00EB4DA2">
        <w:t>na </w:t>
      </w:r>
      <w:r w:rsidRPr="00D064DB">
        <w:t>podnikatelské subjekty</w:t>
      </w:r>
      <w:r w:rsidR="00D42CBC" w:rsidRPr="009A7D2B">
        <w:t>.</w:t>
      </w:r>
    </w:p>
    <w:p w:rsidR="006F7D80" w:rsidRPr="007B123A" w:rsidRDefault="00D42CBC" w:rsidP="00495FC1">
      <w:pPr>
        <w:pStyle w:val="Odstavecseseznamem"/>
        <w:numPr>
          <w:ilvl w:val="0"/>
          <w:numId w:val="48"/>
        </w:numPr>
        <w:rPr>
          <w:b/>
        </w:rPr>
      </w:pPr>
      <w:proofErr w:type="spellStart"/>
      <w:r w:rsidRPr="007B123A">
        <w:rPr>
          <w:b/>
        </w:rPr>
        <w:t>Brownfields</w:t>
      </w:r>
      <w:proofErr w:type="spellEnd"/>
    </w:p>
    <w:p w:rsidR="009328AB" w:rsidRDefault="009328AB" w:rsidP="00B66FDE">
      <w:r w:rsidRPr="009328AB">
        <w:t>OP</w:t>
      </w:r>
      <w:r w:rsidR="00E16955">
        <w:t xml:space="preserve"> </w:t>
      </w:r>
      <w:r w:rsidRPr="000E4495">
        <w:t xml:space="preserve">ŽP 2014-2020 se zabývá </w:t>
      </w:r>
      <w:r w:rsidRPr="009328AB">
        <w:t xml:space="preserve">sanací vážně kontaminovaných lokalit, u nichž jsou prokázána rizika </w:t>
      </w:r>
      <w:r w:rsidRPr="0031631F">
        <w:t>pro lidské zdraví a ekosystémy</w:t>
      </w:r>
      <w:r w:rsidR="000E4495" w:rsidRPr="0031631F">
        <w:t>. Navazující problematika</w:t>
      </w:r>
      <w:r w:rsidRPr="0031631F">
        <w:t xml:space="preserve"> </w:t>
      </w:r>
      <w:proofErr w:type="spellStart"/>
      <w:r w:rsidR="00D42CBC" w:rsidRPr="0031631F">
        <w:t>brownfields</w:t>
      </w:r>
      <w:proofErr w:type="spellEnd"/>
      <w:r w:rsidR="00D42CBC" w:rsidRPr="0031631F">
        <w:t xml:space="preserve"> </w:t>
      </w:r>
      <w:r w:rsidR="000E4495" w:rsidRPr="0031631F">
        <w:t>je</w:t>
      </w:r>
      <w:r w:rsidRPr="0031631F">
        <w:t xml:space="preserve"> řešena v </w:t>
      </w:r>
      <w:proofErr w:type="gramStart"/>
      <w:r w:rsidR="0033290F" w:rsidRPr="0033290F">
        <w:rPr>
          <w:b/>
        </w:rPr>
        <w:t>OP</w:t>
      </w:r>
      <w:proofErr w:type="gramEnd"/>
      <w:r w:rsidR="0033290F" w:rsidRPr="0033290F">
        <w:rPr>
          <w:b/>
        </w:rPr>
        <w:t xml:space="preserve"> PIK a PRV.</w:t>
      </w:r>
      <w:r w:rsidR="00D42CBC" w:rsidRPr="0031631F">
        <w:t xml:space="preserve"> Předmětem podpory v</w:t>
      </w:r>
      <w:r w:rsidR="00E16955">
        <w:t> </w:t>
      </w:r>
      <w:proofErr w:type="gramStart"/>
      <w:r w:rsidR="00D42CBC" w:rsidRPr="0031631F">
        <w:t>OP</w:t>
      </w:r>
      <w:proofErr w:type="gramEnd"/>
      <w:r w:rsidR="00E16955">
        <w:t xml:space="preserve"> </w:t>
      </w:r>
      <w:r w:rsidR="00D42CBC" w:rsidRPr="0031631F">
        <w:t xml:space="preserve">ŽP </w:t>
      </w:r>
      <w:r w:rsidR="00E265FA" w:rsidRPr="0031631F">
        <w:t xml:space="preserve">2014-2020 </w:t>
      </w:r>
      <w:r w:rsidR="00D42CBC" w:rsidRPr="0031631F">
        <w:t xml:space="preserve">je sanace </w:t>
      </w:r>
      <w:r w:rsidR="00F40081">
        <w:t>vážně kontaminovaných lokalit</w:t>
      </w:r>
      <w:r w:rsidR="00F40081" w:rsidRPr="001575C2">
        <w:t>, u nichž jsou prokázána rizika pro lidské zdraví a ekosystémy</w:t>
      </w:r>
      <w:r w:rsidR="00F40081">
        <w:t xml:space="preserve">. </w:t>
      </w:r>
      <w:r w:rsidR="00D42CBC" w:rsidRPr="0031631F">
        <w:t xml:space="preserve"> OP PIK je zaměřen na následnou rekonstrukci </w:t>
      </w:r>
      <w:proofErr w:type="spellStart"/>
      <w:r w:rsidR="00D42CBC" w:rsidRPr="0031631F">
        <w:lastRenderedPageBreak/>
        <w:t>brownfields</w:t>
      </w:r>
      <w:proofErr w:type="spellEnd"/>
      <w:r w:rsidR="00F40081" w:rsidRPr="00F40081">
        <w:t xml:space="preserve"> </w:t>
      </w:r>
      <w:r w:rsidR="00F40081">
        <w:t>pro průmyslové využití</w:t>
      </w:r>
      <w:r w:rsidR="00D42CBC" w:rsidRPr="0031631F">
        <w:t>.</w:t>
      </w:r>
      <w:r w:rsidR="000E4495" w:rsidRPr="0031631F">
        <w:t xml:space="preserve"> </w:t>
      </w:r>
      <w:r w:rsidR="00C66E04" w:rsidRPr="005E6333">
        <w:t xml:space="preserve">Problematika </w:t>
      </w:r>
      <w:proofErr w:type="spellStart"/>
      <w:r w:rsidR="00C66E04" w:rsidRPr="005E6333">
        <w:t>brownfields</w:t>
      </w:r>
      <w:proofErr w:type="spellEnd"/>
      <w:r w:rsidR="00F40081">
        <w:t xml:space="preserve"> je</w:t>
      </w:r>
      <w:r w:rsidR="00C66E04" w:rsidRPr="005E6333">
        <w:t xml:space="preserve"> také nepřímo řešena v PRV. Jedná se však spíše o</w:t>
      </w:r>
      <w:r w:rsidR="000F2740">
        <w:t> </w:t>
      </w:r>
      <w:r w:rsidR="00C66E04" w:rsidRPr="005E6333">
        <w:t xml:space="preserve">komplementaritu, kdy výběr projektů bude v některých opatřeních posuzován také z hlediska možné revitalizace </w:t>
      </w:r>
      <w:proofErr w:type="spellStart"/>
      <w:r w:rsidR="00C66E04" w:rsidRPr="005E6333">
        <w:t>brownfields</w:t>
      </w:r>
      <w:proofErr w:type="spellEnd"/>
      <w:r w:rsidR="00C66E04" w:rsidRPr="005E6333">
        <w:t>.</w:t>
      </w:r>
    </w:p>
    <w:p w:rsidR="006F7D80" w:rsidRPr="007B123A" w:rsidRDefault="000F706D" w:rsidP="00495FC1">
      <w:pPr>
        <w:pStyle w:val="Odstavecseseznamem"/>
        <w:numPr>
          <w:ilvl w:val="0"/>
          <w:numId w:val="48"/>
        </w:numPr>
        <w:rPr>
          <w:b/>
        </w:rPr>
      </w:pPr>
      <w:r w:rsidRPr="007B123A">
        <w:rPr>
          <w:b/>
        </w:rPr>
        <w:t>Řízení rizik</w:t>
      </w:r>
    </w:p>
    <w:p w:rsidR="0031631F" w:rsidRPr="0031631F" w:rsidRDefault="00E265FA" w:rsidP="00B66FDE">
      <w:r w:rsidRPr="00E265FA">
        <w:t>V</w:t>
      </w:r>
      <w:r w:rsidR="00E16955">
        <w:t> </w:t>
      </w:r>
      <w:proofErr w:type="gramStart"/>
      <w:r w:rsidRPr="00E265FA">
        <w:t>OP</w:t>
      </w:r>
      <w:proofErr w:type="gramEnd"/>
      <w:r w:rsidR="00E16955">
        <w:t xml:space="preserve"> </w:t>
      </w:r>
      <w:r w:rsidRPr="00E265FA">
        <w:t>ŽP 2014-2020 budou realizována</w:t>
      </w:r>
      <w:r>
        <w:t xml:space="preserve"> jak technická, tak přírodě blízká protipovodňová opatření přímo v dané lokalitě</w:t>
      </w:r>
      <w:r w:rsidR="00D53ACD" w:rsidRPr="00D53ACD">
        <w:t xml:space="preserve"> </w:t>
      </w:r>
      <w:r w:rsidR="00D53ACD">
        <w:t>a dále pak bude řešena oblast environmentálních rizik</w:t>
      </w:r>
      <w:r>
        <w:t>. V </w:t>
      </w:r>
      <w:r w:rsidR="0033290F" w:rsidRPr="0033290F">
        <w:rPr>
          <w:b/>
        </w:rPr>
        <w:t>IROP</w:t>
      </w:r>
      <w:r>
        <w:t xml:space="preserve"> se jedná o podporu vybavenosti složek integrovaného záchranného systému. Z toho vyplývá možný synergický efekt zejména s ohledem na řešení problematiky environmentálních rizik.</w:t>
      </w:r>
    </w:p>
    <w:p w:rsidR="006F7D80" w:rsidRPr="007B123A" w:rsidRDefault="000F706D" w:rsidP="00495FC1">
      <w:pPr>
        <w:pStyle w:val="Odstavecseseznamem"/>
        <w:numPr>
          <w:ilvl w:val="0"/>
          <w:numId w:val="48"/>
        </w:numPr>
        <w:rPr>
          <w:b/>
        </w:rPr>
      </w:pPr>
      <w:r w:rsidRPr="007B123A">
        <w:rPr>
          <w:b/>
        </w:rPr>
        <w:t>Návštěvnická infrastruktura</w:t>
      </w:r>
    </w:p>
    <w:p w:rsidR="00D064DB" w:rsidRPr="007B123A" w:rsidRDefault="00D064DB" w:rsidP="00B66FDE">
      <w:r w:rsidRPr="00D064DB">
        <w:t>OP</w:t>
      </w:r>
      <w:r w:rsidR="00E16955">
        <w:t xml:space="preserve"> </w:t>
      </w:r>
      <w:r w:rsidRPr="00D064DB">
        <w:t xml:space="preserve">ŽP 2014-2020 se soustřeďuje na podporu </w:t>
      </w:r>
      <w:r>
        <w:t>budování a údržby</w:t>
      </w:r>
      <w:r w:rsidRPr="00D064DB">
        <w:t xml:space="preserve"> návštěvnické infrastruktury v ZCHÚ a území soustavy NATURA 2000</w:t>
      </w:r>
      <w:r w:rsidR="00D53ACD">
        <w:t xml:space="preserve"> a geoparcích</w:t>
      </w:r>
      <w:r>
        <w:t xml:space="preserve">. Tato oblast je dále podporována </w:t>
      </w:r>
      <w:r w:rsidRPr="00D064DB">
        <w:t>v</w:t>
      </w:r>
      <w:r w:rsidR="00F13D8A">
        <w:rPr>
          <w:b/>
        </w:rPr>
        <w:t> IROP a </w:t>
      </w:r>
      <w:r w:rsidRPr="00D064DB">
        <w:rPr>
          <w:b/>
        </w:rPr>
        <w:t>PRV</w:t>
      </w:r>
      <w:r w:rsidR="00D53ACD">
        <w:rPr>
          <w:b/>
        </w:rPr>
        <w:t xml:space="preserve"> a OP R</w:t>
      </w:r>
      <w:r w:rsidRPr="00D064DB">
        <w:rPr>
          <w:b/>
        </w:rPr>
        <w:t>.</w:t>
      </w:r>
      <w:r>
        <w:t xml:space="preserve"> IROP bude tuto oblast podporovat mimo území podporovaná v rámci OP</w:t>
      </w:r>
      <w:r w:rsidR="00E16955">
        <w:t xml:space="preserve"> </w:t>
      </w:r>
      <w:r w:rsidR="00F13D8A">
        <w:t>ŽP 2014</w:t>
      </w:r>
      <w:r w:rsidR="00F13D8A">
        <w:noBreakHyphen/>
      </w:r>
      <w:r>
        <w:t>2020, PRV se pak bude zaměřovat na návštěvnickou infrastrukturu v</w:t>
      </w:r>
      <w:r w:rsidR="007B5C50">
        <w:t> </w:t>
      </w:r>
      <w:r>
        <w:t>lesích</w:t>
      </w:r>
      <w:r w:rsidR="00D53ACD" w:rsidRPr="00D53ACD">
        <w:t xml:space="preserve"> </w:t>
      </w:r>
      <w:r w:rsidR="00D53ACD">
        <w:t>mimo ZCHÚ, soustavu Natura 2000 a geoparky OP R je zaměřen na rybářskou turistiku.</w:t>
      </w:r>
    </w:p>
    <w:p w:rsidR="006F7D80" w:rsidRPr="007B123A" w:rsidRDefault="005C4224" w:rsidP="00495FC1">
      <w:pPr>
        <w:pStyle w:val="Odstavecseseznamem"/>
        <w:numPr>
          <w:ilvl w:val="0"/>
          <w:numId w:val="48"/>
        </w:numPr>
        <w:rPr>
          <w:b/>
        </w:rPr>
      </w:pPr>
      <w:r w:rsidRPr="007B123A">
        <w:rPr>
          <w:b/>
        </w:rPr>
        <w:t>Pozem</w:t>
      </w:r>
      <w:r w:rsidR="000F706D" w:rsidRPr="007B123A">
        <w:rPr>
          <w:b/>
        </w:rPr>
        <w:t>kové úpravy</w:t>
      </w:r>
    </w:p>
    <w:p w:rsidR="00B83F26" w:rsidRPr="00984E25" w:rsidRDefault="003A073F" w:rsidP="00B66FDE">
      <w:pPr>
        <w:rPr>
          <w:b/>
        </w:rPr>
      </w:pPr>
      <w:r w:rsidRPr="003A073F">
        <w:t>V rámci OP</w:t>
      </w:r>
      <w:r w:rsidR="00E16955">
        <w:t xml:space="preserve"> </w:t>
      </w:r>
      <w:r w:rsidRPr="003A073F">
        <w:t xml:space="preserve">ŽP 2014-2020 budou realizovány projekty zpracování přirozené protierozní ochrany a realizace z nich vyplývajících protierozních opatření. V rámci </w:t>
      </w:r>
      <w:r w:rsidR="0033290F" w:rsidRPr="0033290F">
        <w:rPr>
          <w:b/>
        </w:rPr>
        <w:t>PRV</w:t>
      </w:r>
      <w:r w:rsidRPr="003A073F">
        <w:t xml:space="preserve"> budou realizovány komplexní pozemkové úpravy, kde hlavním příjemce </w:t>
      </w:r>
      <w:r w:rsidR="00C66E04" w:rsidRPr="003A073F">
        <w:t>bud</w:t>
      </w:r>
      <w:r w:rsidR="00C66E04">
        <w:t>e</w:t>
      </w:r>
      <w:r w:rsidR="00C66E04" w:rsidRPr="00947060">
        <w:t xml:space="preserve"> Státní pozemkový úřad – pobočky krajských pozemkových úřadů.</w:t>
      </w:r>
      <w:r w:rsidR="00C66E04" w:rsidRPr="003A073F">
        <w:t xml:space="preserve"> </w:t>
      </w:r>
    </w:p>
    <w:p w:rsidR="00674BC9" w:rsidRDefault="0033290F" w:rsidP="00495FC1">
      <w:pPr>
        <w:pStyle w:val="Odstavecseseznamem"/>
        <w:numPr>
          <w:ilvl w:val="0"/>
          <w:numId w:val="48"/>
        </w:numPr>
        <w:rPr>
          <w:b/>
        </w:rPr>
      </w:pPr>
      <w:r w:rsidRPr="0033290F">
        <w:rPr>
          <w:b/>
        </w:rPr>
        <w:t>Migrační prostupnost komunikací</w:t>
      </w:r>
    </w:p>
    <w:p w:rsidR="001D5596" w:rsidRPr="007B123A" w:rsidRDefault="001D5596" w:rsidP="00B66FDE">
      <w:pPr>
        <w:rPr>
          <w:rFonts w:eastAsia="Times New Roman"/>
        </w:rPr>
      </w:pPr>
      <w:r w:rsidRPr="00BA7C3B">
        <w:rPr>
          <w:rFonts w:eastAsia="Times New Roman"/>
        </w:rPr>
        <w:t>OP</w:t>
      </w:r>
      <w:r w:rsidR="00E16955">
        <w:rPr>
          <w:rFonts w:eastAsia="Times New Roman"/>
        </w:rPr>
        <w:t xml:space="preserve"> </w:t>
      </w:r>
      <w:r w:rsidRPr="00BA7C3B">
        <w:rPr>
          <w:rFonts w:eastAsia="Times New Roman"/>
        </w:rPr>
        <w:t xml:space="preserve">ŽP 2014-2020 se v oblasti posilování přirozených funkcí krajiny zaměřuje na zprůchodnění migračních bariér pro vodní a suchozemské živočichy a </w:t>
      </w:r>
      <w:r w:rsidR="0047390D">
        <w:rPr>
          <w:rFonts w:eastAsia="Times New Roman"/>
        </w:rPr>
        <w:t xml:space="preserve">na </w:t>
      </w:r>
      <w:r w:rsidRPr="00BA7C3B">
        <w:rPr>
          <w:rFonts w:eastAsia="Times New Roman"/>
        </w:rPr>
        <w:t xml:space="preserve">opatření k omezování úmrtnosti živočichů spojené </w:t>
      </w:r>
      <w:r w:rsidR="0047390D">
        <w:rPr>
          <w:rFonts w:eastAsia="Times New Roman"/>
        </w:rPr>
        <w:t xml:space="preserve">se stávající </w:t>
      </w:r>
      <w:r w:rsidRPr="00BA7C3B">
        <w:rPr>
          <w:rFonts w:eastAsia="Times New Roman"/>
        </w:rPr>
        <w:t>technick</w:t>
      </w:r>
      <w:r w:rsidR="0047390D">
        <w:rPr>
          <w:rFonts w:eastAsia="Times New Roman"/>
        </w:rPr>
        <w:t>ou</w:t>
      </w:r>
      <w:r w:rsidRPr="00BA7C3B">
        <w:rPr>
          <w:rFonts w:eastAsia="Times New Roman"/>
        </w:rPr>
        <w:t xml:space="preserve"> infrastruktur</w:t>
      </w:r>
      <w:r w:rsidR="0047390D">
        <w:rPr>
          <w:rFonts w:eastAsia="Times New Roman"/>
        </w:rPr>
        <w:t>ou</w:t>
      </w:r>
      <w:r w:rsidRPr="00BA7C3B">
        <w:rPr>
          <w:rFonts w:eastAsia="Times New Roman"/>
        </w:rPr>
        <w:t xml:space="preserve">. </w:t>
      </w:r>
      <w:proofErr w:type="spellStart"/>
      <w:r w:rsidRPr="00BA7C3B">
        <w:rPr>
          <w:rFonts w:eastAsia="Times New Roman"/>
        </w:rPr>
        <w:t>Provazba</w:t>
      </w:r>
      <w:proofErr w:type="spellEnd"/>
      <w:r w:rsidRPr="00BA7C3B">
        <w:rPr>
          <w:rFonts w:eastAsia="Times New Roman"/>
        </w:rPr>
        <w:t xml:space="preserve"> na </w:t>
      </w:r>
      <w:proofErr w:type="gramStart"/>
      <w:r w:rsidRPr="00BA7C3B">
        <w:rPr>
          <w:rFonts w:eastAsia="Times New Roman"/>
        </w:rPr>
        <w:t>OP</w:t>
      </w:r>
      <w:proofErr w:type="gramEnd"/>
      <w:r w:rsidRPr="00BA7C3B">
        <w:rPr>
          <w:rFonts w:eastAsia="Times New Roman"/>
        </w:rPr>
        <w:t xml:space="preserve"> </w:t>
      </w:r>
      <w:r w:rsidR="00410B55" w:rsidRPr="00BA7C3B">
        <w:rPr>
          <w:rFonts w:eastAsia="Times New Roman"/>
        </w:rPr>
        <w:t>D</w:t>
      </w:r>
      <w:r w:rsidRPr="00BA7C3B">
        <w:rPr>
          <w:rFonts w:eastAsia="Times New Roman"/>
        </w:rPr>
        <w:t xml:space="preserve"> je v této souvislosti sledována </w:t>
      </w:r>
      <w:r w:rsidR="00D3431E">
        <w:rPr>
          <w:rFonts w:eastAsia="Times New Roman"/>
        </w:rPr>
        <w:t>opatřeními spojenými</w:t>
      </w:r>
      <w:r w:rsidR="00D3431E" w:rsidRPr="00BA7C3B">
        <w:rPr>
          <w:rFonts w:eastAsia="Times New Roman"/>
        </w:rPr>
        <w:t xml:space="preserve"> </w:t>
      </w:r>
      <w:r w:rsidRPr="00BA7C3B">
        <w:rPr>
          <w:rFonts w:eastAsia="Times New Roman"/>
        </w:rPr>
        <w:t>s</w:t>
      </w:r>
      <w:r w:rsidR="00D3431E">
        <w:rPr>
          <w:rFonts w:eastAsia="Times New Roman"/>
        </w:rPr>
        <w:t xml:space="preserve"> rekonstrukcí či </w:t>
      </w:r>
      <w:r w:rsidR="00410B55" w:rsidRPr="00BA7C3B">
        <w:rPr>
          <w:rFonts w:eastAsia="Times New Roman"/>
        </w:rPr>
        <w:t>výstavbou úseků silniční sítě TEN-T</w:t>
      </w:r>
      <w:r w:rsidRPr="00BA7C3B">
        <w:rPr>
          <w:rFonts w:eastAsia="Times New Roman"/>
        </w:rPr>
        <w:t>.</w:t>
      </w:r>
    </w:p>
    <w:p w:rsidR="0058179E" w:rsidRDefault="00925104" w:rsidP="00495FC1">
      <w:pPr>
        <w:pStyle w:val="Odstavecseseznamem"/>
        <w:numPr>
          <w:ilvl w:val="0"/>
          <w:numId w:val="48"/>
        </w:numPr>
        <w:rPr>
          <w:b/>
        </w:rPr>
      </w:pPr>
      <w:r>
        <w:rPr>
          <w:b/>
        </w:rPr>
        <w:t>P</w:t>
      </w:r>
      <w:r w:rsidR="0058179E">
        <w:rPr>
          <w:b/>
        </w:rPr>
        <w:t>ovodňová ochrana v lesích</w:t>
      </w:r>
    </w:p>
    <w:p w:rsidR="00674BC9" w:rsidRDefault="00674BC9">
      <w:pPr>
        <w:pStyle w:val="Odstavecseseznamem"/>
        <w:ind w:left="360"/>
        <w:rPr>
          <w:b/>
        </w:rPr>
      </w:pPr>
    </w:p>
    <w:p w:rsidR="00674BC9" w:rsidRDefault="000270DB">
      <w:pPr>
        <w:pStyle w:val="Odstavecseseznamem"/>
        <w:ind w:left="0"/>
        <w:rPr>
          <w:rFonts w:eastAsia="Times New Roman"/>
        </w:rPr>
      </w:pPr>
      <w:r>
        <w:rPr>
          <w:rFonts w:eastAsia="Times New Roman"/>
        </w:rPr>
        <w:t xml:space="preserve">V </w:t>
      </w:r>
      <w:proofErr w:type="gramStart"/>
      <w:r w:rsidR="0058179E" w:rsidRPr="00EF186A">
        <w:rPr>
          <w:rFonts w:eastAsia="Times New Roman"/>
        </w:rPr>
        <w:t>OP</w:t>
      </w:r>
      <w:proofErr w:type="gramEnd"/>
      <w:r w:rsidR="0058179E" w:rsidRPr="00EF186A">
        <w:rPr>
          <w:rFonts w:eastAsia="Times New Roman"/>
        </w:rPr>
        <w:t xml:space="preserve"> ŽP 2014-2020 </w:t>
      </w:r>
      <w:r>
        <w:rPr>
          <w:rFonts w:eastAsia="Times New Roman"/>
        </w:rPr>
        <w:t xml:space="preserve">a </w:t>
      </w:r>
      <w:r w:rsidR="0033290F" w:rsidRPr="0033290F">
        <w:rPr>
          <w:rFonts w:eastAsia="Times New Roman"/>
          <w:b/>
        </w:rPr>
        <w:t>PRV</w:t>
      </w:r>
      <w:r>
        <w:rPr>
          <w:rFonts w:eastAsia="Times New Roman"/>
        </w:rPr>
        <w:t xml:space="preserve"> </w:t>
      </w:r>
      <w:r w:rsidR="000401B8">
        <w:rPr>
          <w:rFonts w:eastAsia="Times New Roman"/>
        </w:rPr>
        <w:t xml:space="preserve">bude podporována </w:t>
      </w:r>
      <w:r w:rsidR="0058179E" w:rsidRPr="00EF186A">
        <w:rPr>
          <w:rFonts w:eastAsia="Times New Roman"/>
        </w:rPr>
        <w:t>povodňová ochrana</w:t>
      </w:r>
      <w:r w:rsidR="0058179E">
        <w:rPr>
          <w:rFonts w:eastAsia="Times New Roman"/>
        </w:rPr>
        <w:t xml:space="preserve"> </w:t>
      </w:r>
      <w:r>
        <w:rPr>
          <w:rFonts w:eastAsia="Times New Roman"/>
        </w:rPr>
        <w:t>na r</w:t>
      </w:r>
      <w:r w:rsidR="0058179E" w:rsidRPr="00EF186A">
        <w:rPr>
          <w:rFonts w:eastAsia="Times New Roman"/>
        </w:rPr>
        <w:t>ozdílné</w:t>
      </w:r>
      <w:r>
        <w:rPr>
          <w:rFonts w:eastAsia="Times New Roman"/>
        </w:rPr>
        <w:t>m</w:t>
      </w:r>
      <w:r w:rsidR="003F15D2">
        <w:rPr>
          <w:rFonts w:eastAsia="Times New Roman"/>
        </w:rPr>
        <w:t xml:space="preserve"> území</w:t>
      </w:r>
      <w:r w:rsidR="0058179E" w:rsidRPr="00EF186A">
        <w:rPr>
          <w:rFonts w:eastAsia="Times New Roman"/>
        </w:rPr>
        <w:t>. V</w:t>
      </w:r>
      <w:r w:rsidR="00F13D8A">
        <w:rPr>
          <w:rFonts w:eastAsia="Times New Roman"/>
        </w:rPr>
        <w:t> </w:t>
      </w:r>
      <w:proofErr w:type="gramStart"/>
      <w:r>
        <w:rPr>
          <w:rFonts w:eastAsia="Times New Roman"/>
        </w:rPr>
        <w:t>OP</w:t>
      </w:r>
      <w:proofErr w:type="gramEnd"/>
      <w:r w:rsidR="00F13D8A">
        <w:rPr>
          <w:rFonts w:eastAsia="Times New Roman"/>
        </w:rPr>
        <w:t xml:space="preserve"> </w:t>
      </w:r>
      <w:r>
        <w:rPr>
          <w:rFonts w:eastAsia="Times New Roman"/>
        </w:rPr>
        <w:t xml:space="preserve">ŽP 2014-2020 budou podporována protipovodňová opatření </w:t>
      </w:r>
      <w:r w:rsidR="003F15D2">
        <w:rPr>
          <w:rFonts w:eastAsia="Times New Roman"/>
        </w:rPr>
        <w:t>mimo pozemky určené</w:t>
      </w:r>
      <w:r w:rsidR="0058179E" w:rsidRPr="00EF186A">
        <w:rPr>
          <w:rFonts w:eastAsia="Times New Roman"/>
        </w:rPr>
        <w:t xml:space="preserve"> k plnění funkce lesa (PUPFL)</w:t>
      </w:r>
      <w:r w:rsidR="000401B8">
        <w:rPr>
          <w:rFonts w:eastAsia="Times New Roman"/>
        </w:rPr>
        <w:t>, které budou podporovány ze strany PRV</w:t>
      </w:r>
      <w:r w:rsidR="0058179E" w:rsidRPr="00EF186A">
        <w:rPr>
          <w:rFonts w:eastAsia="Times New Roman"/>
        </w:rPr>
        <w:t xml:space="preserve">. </w:t>
      </w:r>
    </w:p>
    <w:p w:rsidR="0058179E" w:rsidRDefault="0058179E" w:rsidP="0058179E">
      <w:pPr>
        <w:pStyle w:val="Odstavecseseznamem"/>
        <w:ind w:left="360"/>
        <w:rPr>
          <w:b/>
        </w:rPr>
      </w:pPr>
    </w:p>
    <w:p w:rsidR="0058179E" w:rsidRPr="00F13D8A" w:rsidRDefault="0058179E" w:rsidP="00495FC1">
      <w:pPr>
        <w:pStyle w:val="Odstavecseseznamem"/>
        <w:numPr>
          <w:ilvl w:val="0"/>
          <w:numId w:val="48"/>
        </w:numPr>
        <w:rPr>
          <w:b/>
        </w:rPr>
      </w:pPr>
      <w:r w:rsidRPr="00F13D8A">
        <w:rPr>
          <w:b/>
          <w:szCs w:val="20"/>
        </w:rPr>
        <w:t>Podpora biodiverzity a obnova ekologické stability krajiny</w:t>
      </w:r>
    </w:p>
    <w:p w:rsidR="0058179E" w:rsidRDefault="0058179E" w:rsidP="0058179E">
      <w:pPr>
        <w:pStyle w:val="Tabulka"/>
        <w:spacing w:after="0" w:afterAutospacing="0" w:line="276" w:lineRule="auto"/>
        <w:jc w:val="both"/>
        <w:rPr>
          <w:rFonts w:ascii="Cambria" w:hAnsi="Cambria" w:cstheme="minorBidi"/>
        </w:rPr>
      </w:pPr>
      <w:r w:rsidRPr="00C1795A">
        <w:rPr>
          <w:rFonts w:ascii="Cambria" w:hAnsi="Cambria" w:cstheme="minorBidi"/>
        </w:rPr>
        <w:t xml:space="preserve">Jedná se o </w:t>
      </w:r>
      <w:r w:rsidRPr="002D2B6E">
        <w:rPr>
          <w:rFonts w:ascii="Cambria" w:hAnsi="Cambria" w:cstheme="minorBidi"/>
        </w:rPr>
        <w:t>doplňkovost programů, kdy v</w:t>
      </w:r>
      <w:r w:rsidRPr="005F7451">
        <w:rPr>
          <w:rFonts w:ascii="Cambria" w:hAnsi="Cambria" w:cstheme="minorBidi"/>
        </w:rPr>
        <w:t> </w:t>
      </w:r>
      <w:proofErr w:type="gramStart"/>
      <w:r w:rsidRPr="00EF186A">
        <w:rPr>
          <w:rFonts w:ascii="Cambria" w:hAnsi="Cambria" w:cstheme="minorBidi"/>
        </w:rPr>
        <w:t>OP</w:t>
      </w:r>
      <w:proofErr w:type="gramEnd"/>
      <w:r w:rsidRPr="00EF186A">
        <w:rPr>
          <w:rFonts w:ascii="Cambria" w:hAnsi="Cambria" w:cstheme="minorBidi"/>
        </w:rPr>
        <w:t xml:space="preserve"> ŽP 2014-2020 jsou podporována jednorázová a</w:t>
      </w:r>
      <w:r w:rsidR="00B83F26">
        <w:rPr>
          <w:rFonts w:ascii="Cambria" w:hAnsi="Cambria" w:cstheme="minorBidi"/>
        </w:rPr>
        <w:t> </w:t>
      </w:r>
      <w:r w:rsidRPr="00EF186A">
        <w:rPr>
          <w:rFonts w:ascii="Cambria" w:hAnsi="Cambria" w:cstheme="minorBidi"/>
        </w:rPr>
        <w:t>obnovní opatření (projektová) a v </w:t>
      </w:r>
      <w:r w:rsidRPr="00EF186A">
        <w:rPr>
          <w:rFonts w:ascii="Cambria" w:hAnsi="Cambria" w:cstheme="minorBidi"/>
          <w:b/>
        </w:rPr>
        <w:t xml:space="preserve">PRV </w:t>
      </w:r>
      <w:r w:rsidRPr="00C1795A">
        <w:rPr>
          <w:rFonts w:ascii="Cambria" w:hAnsi="Cambria" w:cstheme="minorBidi"/>
        </w:rPr>
        <w:t>odpovídající způsob hospodaření.</w:t>
      </w:r>
      <w:r w:rsidRPr="002D2B6E">
        <w:rPr>
          <w:rFonts w:ascii="Cambria" w:hAnsi="Cambria" w:cstheme="minorBidi"/>
        </w:rPr>
        <w:t xml:space="preserve"> </w:t>
      </w:r>
      <w:r w:rsidRPr="00EF186A">
        <w:rPr>
          <w:rFonts w:ascii="Cambria" w:hAnsi="Cambria" w:cstheme="minorBidi"/>
        </w:rPr>
        <w:t>V rámci intervencí OP</w:t>
      </w:r>
      <w:r w:rsidRPr="00C1795A">
        <w:rPr>
          <w:rFonts w:ascii="Cambria" w:hAnsi="Cambria" w:cstheme="minorBidi"/>
        </w:rPr>
        <w:t xml:space="preserve"> </w:t>
      </w:r>
      <w:r w:rsidRPr="00EF186A">
        <w:rPr>
          <w:rFonts w:ascii="Cambria" w:hAnsi="Cambria" w:cstheme="minorBidi"/>
        </w:rPr>
        <w:t>ŽP</w:t>
      </w:r>
      <w:r w:rsidRPr="00C1795A">
        <w:rPr>
          <w:rFonts w:ascii="Cambria" w:hAnsi="Cambria" w:cstheme="minorBidi"/>
        </w:rPr>
        <w:t xml:space="preserve"> 2014-2020</w:t>
      </w:r>
      <w:r w:rsidRPr="00EF186A">
        <w:rPr>
          <w:rFonts w:ascii="Cambria" w:hAnsi="Cambria" w:cstheme="minorBidi"/>
        </w:rPr>
        <w:t xml:space="preserve"> může být zajištěna obnova biotopu na pozemcích nevhodných pro</w:t>
      </w:r>
      <w:r w:rsidR="00B83F26">
        <w:rPr>
          <w:rFonts w:ascii="Cambria" w:hAnsi="Cambria" w:cstheme="minorBidi"/>
        </w:rPr>
        <w:t> </w:t>
      </w:r>
      <w:r w:rsidRPr="00EF186A">
        <w:rPr>
          <w:rFonts w:ascii="Cambria" w:hAnsi="Cambria" w:cstheme="minorBidi"/>
        </w:rPr>
        <w:t xml:space="preserve">hospodaření v rámci </w:t>
      </w:r>
      <w:proofErr w:type="spellStart"/>
      <w:r w:rsidRPr="00EF186A">
        <w:rPr>
          <w:rFonts w:ascii="Cambria" w:hAnsi="Cambria" w:cstheme="minorBidi"/>
        </w:rPr>
        <w:t>agroenvironmentálních-klimatických</w:t>
      </w:r>
      <w:proofErr w:type="spellEnd"/>
      <w:r w:rsidRPr="00EF186A">
        <w:rPr>
          <w:rFonts w:ascii="Cambria" w:hAnsi="Cambria" w:cstheme="minorBidi"/>
        </w:rPr>
        <w:t xml:space="preserve"> opatření </w:t>
      </w:r>
      <w:r w:rsidRPr="00EF186A">
        <w:rPr>
          <w:rFonts w:ascii="Cambria" w:hAnsi="Cambria" w:cstheme="minorBidi"/>
          <w:b/>
        </w:rPr>
        <w:t>PRV</w:t>
      </w:r>
      <w:r w:rsidRPr="00EF186A">
        <w:rPr>
          <w:rFonts w:ascii="Cambria" w:hAnsi="Cambria" w:cstheme="minorBidi"/>
        </w:rPr>
        <w:t xml:space="preserve">. Pokud dojde k obnově z OPŽP, může být pozemek zemědělské půdy následně vhodný pro aplikaci opatření </w:t>
      </w:r>
      <w:r w:rsidRPr="00EF186A">
        <w:rPr>
          <w:rFonts w:ascii="Cambria" w:hAnsi="Cambria" w:cstheme="minorBidi"/>
        </w:rPr>
        <w:lastRenderedPageBreak/>
        <w:t xml:space="preserve">PRV. V případě lesnických opatření bude v rámci OPŽP podporováno investiční opatření </w:t>
      </w:r>
      <w:r w:rsidR="00F13D8A">
        <w:rPr>
          <w:rFonts w:ascii="Cambria" w:hAnsi="Cambria" w:cstheme="minorBidi"/>
        </w:rPr>
        <w:noBreakHyphen/>
        <w:t> </w:t>
      </w:r>
      <w:r w:rsidRPr="00EF186A">
        <w:rPr>
          <w:rFonts w:ascii="Cambria" w:hAnsi="Cambria" w:cstheme="minorBidi"/>
        </w:rPr>
        <w:t xml:space="preserve">změna druhové skladby, zpravidla formou výsadby, dosadby, síje či podsíje melioračních a zpevňujících dřevin nad rámec vnitrostátních předpisů, včetně potřebné ochrany. </w:t>
      </w:r>
    </w:p>
    <w:p w:rsidR="0058179E" w:rsidRPr="00EF186A" w:rsidRDefault="0058179E" w:rsidP="0058179E">
      <w:pPr>
        <w:pStyle w:val="Tabulka"/>
        <w:spacing w:after="0" w:afterAutospacing="0" w:line="276" w:lineRule="auto"/>
        <w:jc w:val="both"/>
        <w:rPr>
          <w:rFonts w:ascii="Cambria" w:hAnsi="Cambria" w:cstheme="minorBidi"/>
        </w:rPr>
      </w:pPr>
    </w:p>
    <w:p w:rsidR="006F7D80" w:rsidRPr="007B123A" w:rsidRDefault="001D5596" w:rsidP="00495FC1">
      <w:pPr>
        <w:pStyle w:val="Odstavecseseznamem"/>
        <w:numPr>
          <w:ilvl w:val="0"/>
          <w:numId w:val="48"/>
        </w:numPr>
        <w:rPr>
          <w:b/>
        </w:rPr>
      </w:pPr>
      <w:r w:rsidRPr="007B123A">
        <w:rPr>
          <w:b/>
        </w:rPr>
        <w:t>Technická pomoc</w:t>
      </w:r>
    </w:p>
    <w:p w:rsidR="001D5596" w:rsidRPr="001D5596" w:rsidRDefault="00696FC2" w:rsidP="00B66FDE">
      <w:r w:rsidRPr="005F6DC6">
        <w:t>Prioritní osa 6 OP</w:t>
      </w:r>
      <w:r w:rsidR="00EB4DA2">
        <w:t xml:space="preserve"> </w:t>
      </w:r>
      <w:r w:rsidRPr="005F6DC6">
        <w:t xml:space="preserve">ŽP 2014-2020 se v rámci svého specifického cíle, tj. </w:t>
      </w:r>
      <w:r w:rsidR="001A0620">
        <w:t>zajistit řádnou implementaci</w:t>
      </w:r>
      <w:r w:rsidRPr="005F6DC6">
        <w:t xml:space="preserve"> OP</w:t>
      </w:r>
      <w:r w:rsidR="00EB4DA2">
        <w:t xml:space="preserve"> </w:t>
      </w:r>
      <w:r w:rsidRPr="005F6DC6">
        <w:t>ŽP prostřednictvím efektivního řízení, spolehlivé administrace a zajištění jeho publicity, doplňuje s cíli OP</w:t>
      </w:r>
      <w:r w:rsidR="00EB4DA2">
        <w:t xml:space="preserve"> </w:t>
      </w:r>
      <w:r w:rsidRPr="005F6DC6">
        <w:t xml:space="preserve">TP 2014-2020. </w:t>
      </w:r>
      <w:proofErr w:type="spellStart"/>
      <w:r w:rsidRPr="005F6DC6">
        <w:t>Provazba</w:t>
      </w:r>
      <w:proofErr w:type="spellEnd"/>
      <w:r w:rsidRPr="005F6DC6">
        <w:t xml:space="preserve"> OP</w:t>
      </w:r>
      <w:r w:rsidR="00EB4DA2">
        <w:t xml:space="preserve"> </w:t>
      </w:r>
      <w:r w:rsidRPr="005F6DC6">
        <w:t xml:space="preserve">ŽP 2014-2020 na </w:t>
      </w:r>
      <w:proofErr w:type="gramStart"/>
      <w:r w:rsidRPr="005F6DC6">
        <w:t>OP</w:t>
      </w:r>
      <w:proofErr w:type="gramEnd"/>
      <w:r w:rsidRPr="005F6DC6">
        <w:t xml:space="preserve"> TP 2014-2020 je v</w:t>
      </w:r>
      <w:r w:rsidR="000B5B5C">
        <w:t> </w:t>
      </w:r>
      <w:r w:rsidRPr="005F6DC6">
        <w:t xml:space="preserve">této souvislosti sledována v koordinaci provázání </w:t>
      </w:r>
      <w:proofErr w:type="spellStart"/>
      <w:r w:rsidRPr="005F6DC6">
        <w:t>DoP</w:t>
      </w:r>
      <w:proofErr w:type="spellEnd"/>
      <w:r w:rsidRPr="005F6DC6">
        <w:t xml:space="preserve"> a OP</w:t>
      </w:r>
      <w:r w:rsidR="00EB4DA2">
        <w:t xml:space="preserve"> </w:t>
      </w:r>
      <w:r w:rsidRPr="005F6DC6">
        <w:t>ŽP, v přípravě navazují</w:t>
      </w:r>
      <w:r w:rsidR="00C15BD4">
        <w:t>cího programového období 2021+,</w:t>
      </w:r>
      <w:r w:rsidRPr="005F6DC6">
        <w:t xml:space="preserve"> využití jednotného monitorovacího systému pro účely vyhodnocování informací Řídícím orgánem, udržení kvalitní administrativní kapacity, zlepšení veřejného mínění a posilování absorpční kapacity.</w:t>
      </w:r>
    </w:p>
    <w:p w:rsidR="006F7D80" w:rsidRPr="007B123A" w:rsidRDefault="00EA79DA" w:rsidP="00495FC1">
      <w:pPr>
        <w:pStyle w:val="Odstavecseseznamem"/>
        <w:numPr>
          <w:ilvl w:val="0"/>
          <w:numId w:val="48"/>
        </w:numPr>
        <w:rPr>
          <w:b/>
        </w:rPr>
      </w:pPr>
      <w:r w:rsidRPr="007B123A">
        <w:rPr>
          <w:b/>
        </w:rPr>
        <w:t>OP</w:t>
      </w:r>
      <w:r w:rsidR="00E16955" w:rsidRPr="007B123A">
        <w:rPr>
          <w:b/>
        </w:rPr>
        <w:t xml:space="preserve"> </w:t>
      </w:r>
      <w:r w:rsidRPr="007B123A">
        <w:rPr>
          <w:b/>
        </w:rPr>
        <w:t>ŽP 2014-2020 –SC 1.3</w:t>
      </w:r>
      <w:r w:rsidR="001D5596" w:rsidRPr="007B123A">
        <w:rPr>
          <w:b/>
        </w:rPr>
        <w:t xml:space="preserve"> a </w:t>
      </w:r>
      <w:r w:rsidRPr="007B123A">
        <w:rPr>
          <w:b/>
        </w:rPr>
        <w:t>SC 4.3</w:t>
      </w:r>
    </w:p>
    <w:p w:rsidR="00D42CBC" w:rsidRDefault="00B666E6" w:rsidP="00B66FDE">
      <w:pPr>
        <w:rPr>
          <w:rFonts w:eastAsia="Times New Roman" w:cs="Times New Roman"/>
        </w:rPr>
      </w:pPr>
      <w:r w:rsidRPr="00B666E6">
        <w:rPr>
          <w:rFonts w:eastAsia="Times New Roman" w:cs="Times New Roman"/>
        </w:rPr>
        <w:t>OP</w:t>
      </w:r>
      <w:r w:rsidR="00E16955">
        <w:rPr>
          <w:rFonts w:eastAsia="Times New Roman" w:cs="Times New Roman"/>
        </w:rPr>
        <w:t xml:space="preserve"> </w:t>
      </w:r>
      <w:r w:rsidRPr="00B666E6">
        <w:rPr>
          <w:rFonts w:eastAsia="Times New Roman" w:cs="Times New Roman"/>
        </w:rPr>
        <w:t>ŽP 2014-2020 podporuje prostřednictvím specifického cíle 1.3 protipovodňová opatření vycházející z platné legislativy v oblasti povodňové ochrany, která jsou primárně zaměřena na</w:t>
      </w:r>
      <w:r>
        <w:t> </w:t>
      </w:r>
      <w:r w:rsidRPr="00B666E6">
        <w:rPr>
          <w:rFonts w:eastAsia="Times New Roman" w:cs="Times New Roman"/>
        </w:rPr>
        <w:t xml:space="preserve">ochranu obyvatel a majetku a jsou úzce vázána na </w:t>
      </w:r>
      <w:proofErr w:type="spellStart"/>
      <w:r w:rsidRPr="00B666E6">
        <w:rPr>
          <w:rFonts w:eastAsia="Times New Roman" w:cs="Times New Roman"/>
        </w:rPr>
        <w:t>intravilán</w:t>
      </w:r>
      <w:proofErr w:type="spellEnd"/>
      <w:r w:rsidRPr="00B666E6">
        <w:rPr>
          <w:rFonts w:eastAsia="Times New Roman" w:cs="Times New Roman"/>
        </w:rPr>
        <w:t xml:space="preserve"> obcí. Protipovodňová opatření realizovaná v </w:t>
      </w:r>
      <w:proofErr w:type="spellStart"/>
      <w:r w:rsidRPr="00B666E6">
        <w:rPr>
          <w:rFonts w:eastAsia="Times New Roman" w:cs="Times New Roman"/>
        </w:rPr>
        <w:t>extravilánu</w:t>
      </w:r>
      <w:proofErr w:type="spellEnd"/>
      <w:r w:rsidRPr="00B666E6">
        <w:rPr>
          <w:rFonts w:eastAsia="Times New Roman" w:cs="Times New Roman"/>
        </w:rPr>
        <w:t xml:space="preserve"> mají přímý vliv na snížení povodňového ohrožení v </w:t>
      </w:r>
      <w:proofErr w:type="spellStart"/>
      <w:r w:rsidRPr="00B666E6">
        <w:rPr>
          <w:rFonts w:eastAsia="Times New Roman" w:cs="Times New Roman"/>
        </w:rPr>
        <w:t>intravilánech</w:t>
      </w:r>
      <w:proofErr w:type="spellEnd"/>
      <w:r w:rsidRPr="00B666E6">
        <w:rPr>
          <w:rFonts w:eastAsia="Times New Roman" w:cs="Times New Roman"/>
        </w:rPr>
        <w:t xml:space="preserve"> obcí níže po toku.</w:t>
      </w:r>
      <w:r w:rsidRPr="00B666E6">
        <w:t xml:space="preserve"> </w:t>
      </w:r>
      <w:r w:rsidRPr="00B666E6">
        <w:rPr>
          <w:rFonts w:eastAsia="Times New Roman" w:cs="Times New Roman"/>
        </w:rPr>
        <w:t>Naproti tomu specifický cíl 4.3 v oblasti vodního režimu podporuje opatření v ploše povodí zaměřená na obnovu přirozených funkcí krajiny, tedy obnovu ekostabilizačních funkcí vodních a na vodu vázaných ekosystémů (vč. přirozené morfologie vodních toků a niv) v úzké vazbě na posílení retence vody v krajině, dále posílení ekologické stability krajiny a její regenerační schopnosti, zvýšení biodiverzity nebo snížení erozního ohrožení půdy. Vedle uvedených primárních přínosů mohou tato opatření (v závislosti na jejich typu a konkrétních podmínkách) také přispět ke zpomalení povrchového odtoku vody z povodí, což v důsledku může do určité míry snížit povodňová rizika.</w:t>
      </w:r>
    </w:p>
    <w:p w:rsidR="00EA27BF" w:rsidRDefault="00443A25" w:rsidP="00495FC1">
      <w:pPr>
        <w:pStyle w:val="Odstavecseseznamem"/>
        <w:numPr>
          <w:ilvl w:val="0"/>
          <w:numId w:val="48"/>
        </w:numPr>
        <w:rPr>
          <w:b/>
        </w:rPr>
      </w:pPr>
      <w:r>
        <w:rPr>
          <w:b/>
        </w:rPr>
        <w:t xml:space="preserve"> OP ŽP 2014-2020 </w:t>
      </w:r>
      <w:r w:rsidR="00EA27BF">
        <w:rPr>
          <w:b/>
        </w:rPr>
        <w:t>–</w:t>
      </w:r>
      <w:r w:rsidR="00D620BF">
        <w:rPr>
          <w:b/>
        </w:rPr>
        <w:t xml:space="preserve"> </w:t>
      </w:r>
      <w:r w:rsidR="00EA27BF">
        <w:rPr>
          <w:b/>
        </w:rPr>
        <w:t>SC 3.3 a 3.4</w:t>
      </w:r>
    </w:p>
    <w:p w:rsidR="00ED1303" w:rsidRPr="006330EC" w:rsidRDefault="006748C6" w:rsidP="006330EC">
      <w:pPr>
        <w:snapToGrid w:val="0"/>
        <w:rPr>
          <w:rFonts w:eastAsia="Times New Roman" w:cs="Times New Roman"/>
        </w:rPr>
      </w:pPr>
      <w:r>
        <w:rPr>
          <w:rFonts w:eastAsia="Times New Roman" w:cs="Times New Roman"/>
        </w:rPr>
        <w:t xml:space="preserve">OP ŽP 2014-2020 </w:t>
      </w:r>
      <w:r w:rsidRPr="006330EC">
        <w:rPr>
          <w:rFonts w:eastAsia="Times New Roman" w:cs="Times New Roman"/>
        </w:rPr>
        <w:t>podporuje</w:t>
      </w:r>
      <w:r>
        <w:rPr>
          <w:rFonts w:eastAsia="Times New Roman" w:cs="Times New Roman"/>
        </w:rPr>
        <w:t xml:space="preserve"> prostřednictvím </w:t>
      </w:r>
      <w:r w:rsidR="006330EC" w:rsidRPr="006330EC">
        <w:rPr>
          <w:rFonts w:eastAsia="Times New Roman" w:cs="Times New Roman"/>
        </w:rPr>
        <w:t>SC</w:t>
      </w:r>
      <w:r w:rsidR="000A1BA4">
        <w:rPr>
          <w:rFonts w:eastAsia="Times New Roman" w:cs="Times New Roman"/>
        </w:rPr>
        <w:t xml:space="preserve"> </w:t>
      </w:r>
      <w:r w:rsidR="006330EC" w:rsidRPr="006330EC">
        <w:rPr>
          <w:rFonts w:eastAsia="Times New Roman" w:cs="Times New Roman"/>
        </w:rPr>
        <w:t>3</w:t>
      </w:r>
      <w:r w:rsidR="006330EC">
        <w:rPr>
          <w:rFonts w:eastAsia="Times New Roman" w:cs="Times New Roman"/>
        </w:rPr>
        <w:t>.3</w:t>
      </w:r>
      <w:r w:rsidR="006330EC" w:rsidRPr="006330EC">
        <w:rPr>
          <w:rFonts w:eastAsia="Times New Roman" w:cs="Times New Roman"/>
        </w:rPr>
        <w:t xml:space="preserve"> </w:t>
      </w:r>
      <w:r w:rsidR="00686076">
        <w:rPr>
          <w:rFonts w:eastAsia="Times New Roman" w:cs="Times New Roman"/>
        </w:rPr>
        <w:t xml:space="preserve">opatření na </w:t>
      </w:r>
      <w:r w:rsidR="006330EC" w:rsidRPr="006330EC">
        <w:rPr>
          <w:rFonts w:eastAsia="Times New Roman" w:cs="Times New Roman"/>
        </w:rPr>
        <w:t xml:space="preserve">rekultivaci skládek nerizikových pro </w:t>
      </w:r>
      <w:r w:rsidR="006330EC">
        <w:rPr>
          <w:rFonts w:eastAsia="Times New Roman" w:cs="Times New Roman"/>
        </w:rPr>
        <w:t>životní prostředí</w:t>
      </w:r>
      <w:r w:rsidR="006330EC" w:rsidRPr="006330EC">
        <w:rPr>
          <w:rFonts w:eastAsia="Times New Roman" w:cs="Times New Roman"/>
        </w:rPr>
        <w:t>. V</w:t>
      </w:r>
      <w:r w:rsidR="006330EC">
        <w:rPr>
          <w:rFonts w:eastAsia="Times New Roman" w:cs="Times New Roman"/>
        </w:rPr>
        <w:t> </w:t>
      </w:r>
      <w:r w:rsidR="006330EC" w:rsidRPr="006330EC">
        <w:rPr>
          <w:rFonts w:eastAsia="Times New Roman" w:cs="Times New Roman"/>
        </w:rPr>
        <w:t>SC</w:t>
      </w:r>
      <w:r w:rsidR="006330EC">
        <w:rPr>
          <w:rFonts w:eastAsia="Times New Roman" w:cs="Times New Roman"/>
        </w:rPr>
        <w:t xml:space="preserve"> 3.</w:t>
      </w:r>
      <w:r w:rsidR="006330EC" w:rsidRPr="006330EC">
        <w:rPr>
          <w:rFonts w:eastAsia="Times New Roman" w:cs="Times New Roman"/>
        </w:rPr>
        <w:t xml:space="preserve">4 jsou podporovány sanace skládek, které představují </w:t>
      </w:r>
      <w:r w:rsidR="00686076">
        <w:rPr>
          <w:rFonts w:eastAsia="Times New Roman" w:cs="Times New Roman"/>
        </w:rPr>
        <w:t xml:space="preserve">významné </w:t>
      </w:r>
      <w:r w:rsidR="006330EC" w:rsidRPr="006330EC">
        <w:rPr>
          <w:rFonts w:eastAsia="Times New Roman" w:cs="Times New Roman"/>
        </w:rPr>
        <w:t>riziko pro lidské zdraví či ekosystémy na základě výsledků analýz rizik.</w:t>
      </w:r>
      <w:r w:rsidR="008479B6">
        <w:rPr>
          <w:rFonts w:eastAsia="Times New Roman" w:cs="Times New Roman"/>
        </w:rPr>
        <w:t xml:space="preserve"> Tato</w:t>
      </w:r>
      <w:r w:rsidR="00EC54E4">
        <w:rPr>
          <w:rFonts w:eastAsia="Times New Roman" w:cs="Times New Roman"/>
        </w:rPr>
        <w:t xml:space="preserve"> opatření jsou navzájem komplementárního charakteru.</w:t>
      </w:r>
    </w:p>
    <w:p w:rsidR="00443A25" w:rsidRDefault="00A04BD9" w:rsidP="00495FC1">
      <w:pPr>
        <w:pStyle w:val="Odstavecseseznamem"/>
        <w:numPr>
          <w:ilvl w:val="0"/>
          <w:numId w:val="48"/>
        </w:numPr>
        <w:rPr>
          <w:b/>
        </w:rPr>
      </w:pPr>
      <w:r>
        <w:rPr>
          <w:b/>
        </w:rPr>
        <w:t xml:space="preserve"> </w:t>
      </w:r>
      <w:r w:rsidR="00EA27BF">
        <w:rPr>
          <w:b/>
        </w:rPr>
        <w:t xml:space="preserve">OP ŽP </w:t>
      </w:r>
      <w:r w:rsidR="00443A25">
        <w:rPr>
          <w:b/>
        </w:rPr>
        <w:t xml:space="preserve"> </w:t>
      </w:r>
      <w:r w:rsidR="00EA27BF">
        <w:rPr>
          <w:b/>
        </w:rPr>
        <w:t xml:space="preserve">2014-2020 </w:t>
      </w:r>
      <w:r w:rsidR="00ED1303">
        <w:rPr>
          <w:b/>
        </w:rPr>
        <w:t>–</w:t>
      </w:r>
      <w:r w:rsidR="00D620BF">
        <w:rPr>
          <w:b/>
        </w:rPr>
        <w:t xml:space="preserve"> </w:t>
      </w:r>
      <w:r w:rsidR="00ED1303">
        <w:rPr>
          <w:b/>
        </w:rPr>
        <w:t>SC 2.1, 2.2 a SC 5.1</w:t>
      </w:r>
    </w:p>
    <w:p w:rsidR="00ED1303" w:rsidRDefault="00ED1303" w:rsidP="006330EC">
      <w:pPr>
        <w:pStyle w:val="Odstavecseseznamem"/>
        <w:ind w:left="0"/>
        <w:rPr>
          <w:b/>
        </w:rPr>
      </w:pPr>
    </w:p>
    <w:p w:rsidR="00F625C4" w:rsidRPr="00ED1303" w:rsidRDefault="005B4F25" w:rsidP="006330EC">
      <w:pPr>
        <w:pStyle w:val="Odstavecseseznamem"/>
        <w:ind w:left="0"/>
        <w:rPr>
          <w:b/>
        </w:rPr>
      </w:pPr>
      <w:r w:rsidRPr="00F25A76">
        <w:t xml:space="preserve">V rámci </w:t>
      </w:r>
      <w:r w:rsidR="006102A4" w:rsidRPr="006102A4">
        <w:t>SC 2.1</w:t>
      </w:r>
      <w:r w:rsidRPr="00F25A76">
        <w:t>,</w:t>
      </w:r>
      <w:r w:rsidR="006102A4">
        <w:t xml:space="preserve"> </w:t>
      </w:r>
      <w:r w:rsidRPr="00F25A76">
        <w:t>2.2 budou někter</w:t>
      </w:r>
      <w:r w:rsidR="006102A4">
        <w:t>á</w:t>
      </w:r>
      <w:r w:rsidRPr="00F25A76">
        <w:t xml:space="preserve"> </w:t>
      </w:r>
      <w:r w:rsidR="006102A4">
        <w:t>o</w:t>
      </w:r>
      <w:r w:rsidR="00B25372">
        <w:t>patření přisp</w:t>
      </w:r>
      <w:r w:rsidR="006102A4">
        <w:t>ívat</w:t>
      </w:r>
      <w:r w:rsidR="00B25372">
        <w:t xml:space="preserve"> rovněž k dosažení cílů České republiky v oblasti zvyšování energetické účinnosti a energetických úspor.</w:t>
      </w:r>
      <w:r w:rsidR="006102A4">
        <w:t xml:space="preserve"> Zároveň v rámci SC 5.1 bud</w:t>
      </w:r>
      <w:r w:rsidR="006A5CD2">
        <w:t>e</w:t>
      </w:r>
      <w:r w:rsidR="006102A4">
        <w:t xml:space="preserve"> mít </w:t>
      </w:r>
      <w:r w:rsidR="006A5CD2">
        <w:t xml:space="preserve">řada </w:t>
      </w:r>
      <w:r w:rsidR="006102A4">
        <w:t>opatření rovněž vliv na sn</w:t>
      </w:r>
      <w:r w:rsidR="006A5CD2">
        <w:t>ížení</w:t>
      </w:r>
      <w:r w:rsidR="00C3208F">
        <w:t xml:space="preserve"> emisí znečišťujících látek</w:t>
      </w:r>
      <w:r w:rsidR="006A5CD2" w:rsidRPr="006A5CD2">
        <w:t xml:space="preserve"> </w:t>
      </w:r>
      <w:r w:rsidR="006A5CD2" w:rsidRPr="006D0158">
        <w:t xml:space="preserve">a tím zároveň </w:t>
      </w:r>
      <w:r w:rsidR="006A5CD2">
        <w:t xml:space="preserve">přispěje </w:t>
      </w:r>
      <w:r w:rsidR="006A5CD2" w:rsidRPr="006D0158">
        <w:t>k naplnění cíle plnění imisních limitů stanovených národní i evropskou legislativou (směrnice 2008/50/ES a 2004/107/ES, zákon č. 201/2012 Sb., o ochraně ovzduší) a národních emisních stropů (směrnice 2001/80/ES a Göteborský protokol Úmluvy o omezování znečišťování ovzduší přecházejícím hranice států).</w:t>
      </w:r>
      <w:r w:rsidR="00C3208F">
        <w:t xml:space="preserve"> </w:t>
      </w:r>
      <w:r w:rsidR="008479B6">
        <w:rPr>
          <w:rFonts w:eastAsia="Times New Roman" w:cs="Times New Roman"/>
        </w:rPr>
        <w:t>Tato opatření jsou navzá</w:t>
      </w:r>
      <w:r w:rsidR="00F23884">
        <w:rPr>
          <w:rFonts w:eastAsia="Times New Roman" w:cs="Times New Roman"/>
        </w:rPr>
        <w:t>jem komplementárního ch</w:t>
      </w:r>
      <w:r w:rsidR="00F23884" w:rsidRPr="00F23884">
        <w:t xml:space="preserve">arakteru. Prioritní osa 2 řeší pouze náhradu nevhodných spalovacích stacionárních zdrojů a prioritní osa </w:t>
      </w:r>
      <w:r w:rsidR="00F23884" w:rsidRPr="00F23884">
        <w:lastRenderedPageBreak/>
        <w:t>5 podporuje zejména komplexní řešení zvýšení energetické účinnosti veřejných budov, což zahrnuje výměnu nevyhovujícího spalovacího zdroje v kombinaci se zateplením budovy</w:t>
      </w:r>
      <w:r w:rsidR="00F23884">
        <w:t xml:space="preserve">. </w:t>
      </w:r>
      <w:r w:rsidR="00F23884" w:rsidRPr="00F23884">
        <w:t xml:space="preserve">V rámci specifického cíle 2 prioritní osy 2 nebudou podporovány typy aktivit definované prioritní osou 5, specifickým cílem 1 pod písmeny A </w:t>
      </w:r>
      <w:proofErr w:type="spellStart"/>
      <w:r w:rsidR="00F23884" w:rsidRPr="00F23884">
        <w:t>a</w:t>
      </w:r>
      <w:proofErr w:type="spellEnd"/>
      <w:r w:rsidR="00F23884" w:rsidRPr="00F23884">
        <w:t xml:space="preserve"> C realizované ve veřejných budovách.</w:t>
      </w:r>
    </w:p>
    <w:p w:rsidR="00483239" w:rsidRPr="007B123A" w:rsidRDefault="00980649" w:rsidP="00B66FDE">
      <w:pPr>
        <w:rPr>
          <w:b/>
          <w:i/>
          <w:color w:val="76923C" w:themeColor="accent3" w:themeShade="BF"/>
          <w:sz w:val="24"/>
          <w:szCs w:val="24"/>
        </w:rPr>
      </w:pPr>
      <w:r w:rsidRPr="002700A0">
        <w:rPr>
          <w:b/>
          <w:i/>
          <w:color w:val="76923C" w:themeColor="accent3" w:themeShade="BF"/>
          <w:sz w:val="24"/>
          <w:szCs w:val="24"/>
        </w:rPr>
        <w:t xml:space="preserve">Synergie a komplementarity mezi programy </w:t>
      </w:r>
      <w:r w:rsidR="00331BE6" w:rsidRPr="002700A0">
        <w:rPr>
          <w:b/>
          <w:i/>
          <w:color w:val="76923C" w:themeColor="accent3" w:themeShade="BF"/>
          <w:sz w:val="24"/>
          <w:szCs w:val="24"/>
        </w:rPr>
        <w:t xml:space="preserve">ESI </w:t>
      </w:r>
      <w:r w:rsidRPr="002700A0">
        <w:rPr>
          <w:b/>
          <w:i/>
          <w:color w:val="76923C" w:themeColor="accent3" w:themeShade="BF"/>
          <w:sz w:val="24"/>
          <w:szCs w:val="24"/>
        </w:rPr>
        <w:t>fondů a EU a národními nástroji</w:t>
      </w:r>
      <w:r w:rsidR="00EB4DA2" w:rsidRPr="002700A0">
        <w:rPr>
          <w:b/>
          <w:i/>
          <w:color w:val="76923C" w:themeColor="accent3" w:themeShade="BF"/>
          <w:sz w:val="24"/>
          <w:szCs w:val="24"/>
        </w:rPr>
        <w:t xml:space="preserve"> a </w:t>
      </w:r>
      <w:r w:rsidR="00331BE6" w:rsidRPr="002700A0">
        <w:rPr>
          <w:b/>
          <w:i/>
          <w:color w:val="76923C" w:themeColor="accent3" w:themeShade="BF"/>
          <w:sz w:val="24"/>
          <w:szCs w:val="24"/>
        </w:rPr>
        <w:t>EIB</w:t>
      </w:r>
    </w:p>
    <w:p w:rsidR="003C5ECD" w:rsidRDefault="003C5ECD" w:rsidP="00B66FDE">
      <w:r>
        <w:t>K</w:t>
      </w:r>
      <w:r w:rsidRPr="000732E2">
        <w:t xml:space="preserve">omplementární </w:t>
      </w:r>
      <w:r>
        <w:t>nebo</w:t>
      </w:r>
      <w:r w:rsidRPr="000732E2">
        <w:t xml:space="preserve"> </w:t>
      </w:r>
      <w:r>
        <w:t>synergická vazba ve vztahu k</w:t>
      </w:r>
      <w:r w:rsidR="00E16955">
        <w:t> </w:t>
      </w:r>
      <w:proofErr w:type="gramStart"/>
      <w:r>
        <w:t>OP</w:t>
      </w:r>
      <w:proofErr w:type="gramEnd"/>
      <w:r w:rsidR="00E16955">
        <w:t xml:space="preserve"> </w:t>
      </w:r>
      <w:r>
        <w:t xml:space="preserve">ŽP </w:t>
      </w:r>
      <w:r w:rsidR="00EB4DA2">
        <w:t>2014-2020 byla identifikována u </w:t>
      </w:r>
      <w:r>
        <w:t>následujících EU a národních programů</w:t>
      </w:r>
      <w:r w:rsidRPr="000732E2">
        <w:t>:</w:t>
      </w:r>
    </w:p>
    <w:p w:rsidR="006F7D80" w:rsidRDefault="003C5ECD" w:rsidP="009E3740">
      <w:pPr>
        <w:pStyle w:val="Odstavecseseznamem"/>
        <w:numPr>
          <w:ilvl w:val="0"/>
          <w:numId w:val="49"/>
        </w:numPr>
        <w:spacing w:before="100" w:beforeAutospacing="1"/>
      </w:pPr>
      <w:r>
        <w:t>LIFE,</w:t>
      </w:r>
    </w:p>
    <w:p w:rsidR="006F7D80" w:rsidRDefault="000F706D" w:rsidP="009E3740">
      <w:pPr>
        <w:pStyle w:val="Odstavecseseznamem"/>
        <w:numPr>
          <w:ilvl w:val="0"/>
          <w:numId w:val="49"/>
        </w:numPr>
        <w:spacing w:before="100" w:beforeAutospacing="1"/>
      </w:pPr>
      <w:r>
        <w:t>Program Tvůrčí Evropa</w:t>
      </w:r>
      <w:r w:rsidR="00577E60">
        <w:t>,</w:t>
      </w:r>
    </w:p>
    <w:p w:rsidR="006F7D80" w:rsidRDefault="003C5ECD" w:rsidP="009E3740">
      <w:pPr>
        <w:pStyle w:val="Odstavecseseznamem"/>
        <w:numPr>
          <w:ilvl w:val="0"/>
          <w:numId w:val="49"/>
        </w:numPr>
        <w:spacing w:before="100" w:beforeAutospacing="1"/>
      </w:pPr>
      <w:r>
        <w:t>Nová Zelená úsporám</w:t>
      </w:r>
      <w:r w:rsidR="00577E60">
        <w:t>,</w:t>
      </w:r>
    </w:p>
    <w:p w:rsidR="00B91C67" w:rsidRDefault="00B91C67" w:rsidP="009E3740">
      <w:pPr>
        <w:pStyle w:val="Odstavecseseznamem"/>
        <w:numPr>
          <w:ilvl w:val="0"/>
          <w:numId w:val="49"/>
        </w:numPr>
        <w:spacing w:before="100" w:beforeAutospacing="1"/>
      </w:pPr>
      <w:r>
        <w:t>PANEL 2014+.</w:t>
      </w:r>
    </w:p>
    <w:p w:rsidR="00A4178A" w:rsidRDefault="00A4178A" w:rsidP="00A4178A">
      <w:pPr>
        <w:pStyle w:val="Odstavecseseznamem"/>
        <w:spacing w:before="100" w:beforeAutospacing="1"/>
      </w:pPr>
    </w:p>
    <w:p w:rsidR="00A4178A" w:rsidRDefault="00B45041" w:rsidP="009E3740">
      <w:pPr>
        <w:pStyle w:val="Odstavecseseznamem"/>
        <w:spacing w:before="100" w:beforeAutospacing="1"/>
        <w:ind w:left="0"/>
      </w:pPr>
      <w:r w:rsidRPr="0002799F">
        <w:t xml:space="preserve">Konkrétní specifikace identifikovaných komplementárních a synergických vazeb mezi </w:t>
      </w:r>
      <w:proofErr w:type="gramStart"/>
      <w:r w:rsidRPr="0002799F">
        <w:t>OP</w:t>
      </w:r>
      <w:proofErr w:type="gramEnd"/>
      <w:r>
        <w:t xml:space="preserve"> </w:t>
      </w:r>
      <w:r w:rsidRPr="0002799F">
        <w:t xml:space="preserve">ŽP 2014 -2020 a </w:t>
      </w:r>
      <w:r>
        <w:t xml:space="preserve">dotčenými EU a národními </w:t>
      </w:r>
      <w:r w:rsidRPr="0002799F">
        <w:t xml:space="preserve">programy </w:t>
      </w:r>
      <w:r>
        <w:t>včetně mechanismů koordinace je</w:t>
      </w:r>
      <w:r w:rsidRPr="0002799F">
        <w:t xml:space="preserve"> uvedena </w:t>
      </w:r>
      <w:r>
        <w:t>v</w:t>
      </w:r>
      <w:r w:rsidR="00B83F26">
        <w:t> </w:t>
      </w:r>
      <w:r>
        <w:t>nepovinné Příloze  5</w:t>
      </w:r>
      <w:r w:rsidR="00A4178A">
        <w:t>.</w:t>
      </w:r>
    </w:p>
    <w:p w:rsidR="00A4178A" w:rsidRDefault="00A4178A" w:rsidP="009E3740">
      <w:pPr>
        <w:pStyle w:val="Odstavecseseznamem"/>
        <w:spacing w:before="100" w:beforeAutospacing="1"/>
        <w:ind w:left="0"/>
      </w:pPr>
    </w:p>
    <w:p w:rsidR="006F7D80" w:rsidRPr="00B45232" w:rsidRDefault="003C5ECD" w:rsidP="009E3740">
      <w:pPr>
        <w:pStyle w:val="Odstavecseseznamem"/>
        <w:numPr>
          <w:ilvl w:val="0"/>
          <w:numId w:val="57"/>
        </w:numPr>
        <w:spacing w:before="100" w:beforeAutospacing="1"/>
        <w:ind w:left="357" w:hanging="357"/>
        <w:rPr>
          <w:b/>
        </w:rPr>
      </w:pPr>
      <w:r w:rsidRPr="00B45232">
        <w:rPr>
          <w:b/>
        </w:rPr>
        <w:t>LIFE</w:t>
      </w:r>
    </w:p>
    <w:p w:rsidR="004F190F" w:rsidRDefault="00475F0A" w:rsidP="009E3740">
      <w:pPr>
        <w:spacing w:before="100" w:beforeAutospacing="1"/>
        <w:rPr>
          <w:rFonts w:cs="Cambria"/>
        </w:rPr>
      </w:pPr>
      <w:r>
        <w:t>V </w:t>
      </w:r>
      <w:r w:rsidRPr="00577E60">
        <w:t>r</w:t>
      </w:r>
      <w:r w:rsidR="00DB2752">
        <w:t xml:space="preserve">ámci nového programového období </w:t>
      </w:r>
      <w:r w:rsidRPr="00577E60">
        <w:t xml:space="preserve">byl zřízen nový finanční program LIFE pro životní prostředí a oblast klimatu, </w:t>
      </w:r>
      <w:r>
        <w:t xml:space="preserve">který obsahuje dva podprogramy: </w:t>
      </w:r>
      <w:r w:rsidRPr="00577E60">
        <w:t>podprogram pro životní prostředí</w:t>
      </w:r>
      <w:r>
        <w:t xml:space="preserve"> a </w:t>
      </w:r>
      <w:r w:rsidRPr="00882F7B">
        <w:t>podprogram pro oblast klimatu.</w:t>
      </w:r>
      <w:r w:rsidR="00DB2752">
        <w:t xml:space="preserve"> </w:t>
      </w:r>
      <w:r w:rsidR="00DB2752">
        <w:rPr>
          <w:rFonts w:cs="Cambria"/>
        </w:rPr>
        <w:t xml:space="preserve">V novém programovém období 2014–2020 se předpokládá využití </w:t>
      </w:r>
      <w:r w:rsidR="00DB2752">
        <w:rPr>
          <w:rFonts w:cs="Cambria"/>
          <w:b/>
        </w:rPr>
        <w:t>synergií</w:t>
      </w:r>
      <w:r w:rsidR="00DB2752">
        <w:rPr>
          <w:rFonts w:cs="Cambria"/>
        </w:rPr>
        <w:t xml:space="preserve"> obou uvedených programů napříč všem</w:t>
      </w:r>
      <w:r w:rsidR="00B45041">
        <w:rPr>
          <w:rFonts w:cs="Cambria"/>
        </w:rPr>
        <w:t xml:space="preserve"> tematickými</w:t>
      </w:r>
      <w:r w:rsidR="00DB2752">
        <w:rPr>
          <w:rFonts w:cs="Cambria"/>
        </w:rPr>
        <w:t xml:space="preserve"> prioritními osami OP</w:t>
      </w:r>
      <w:r w:rsidR="00E16955">
        <w:rPr>
          <w:rFonts w:cs="Cambria"/>
        </w:rPr>
        <w:t xml:space="preserve"> </w:t>
      </w:r>
      <w:r w:rsidR="00DB2752">
        <w:rPr>
          <w:rFonts w:cs="Cambria"/>
        </w:rPr>
        <w:t xml:space="preserve">ŽP 2014-2020. Vedle toho umožní program LIFE financování řady </w:t>
      </w:r>
      <w:r w:rsidR="00DB2752" w:rsidRPr="00A07F11">
        <w:rPr>
          <w:rFonts w:cs="Cambria"/>
          <w:b/>
        </w:rPr>
        <w:t>komplementárních</w:t>
      </w:r>
      <w:r w:rsidR="00DB2752">
        <w:rPr>
          <w:rFonts w:cs="Cambria"/>
          <w:b/>
        </w:rPr>
        <w:t xml:space="preserve"> </w:t>
      </w:r>
      <w:r w:rsidR="00DB2752" w:rsidRPr="00A07F11">
        <w:rPr>
          <w:rFonts w:cs="Cambria"/>
          <w:b/>
        </w:rPr>
        <w:t>cílů</w:t>
      </w:r>
      <w:r w:rsidR="00347E0A">
        <w:rPr>
          <w:rFonts w:cs="Cambria"/>
        </w:rPr>
        <w:t xml:space="preserve"> a </w:t>
      </w:r>
      <w:r w:rsidR="00DB2752" w:rsidRPr="00A07F11">
        <w:rPr>
          <w:rFonts w:cs="Cambria"/>
          <w:b/>
        </w:rPr>
        <w:t>aktivit</w:t>
      </w:r>
      <w:r w:rsidR="00DB2752">
        <w:rPr>
          <w:rFonts w:cs="Cambria"/>
        </w:rPr>
        <w:t xml:space="preserve"> k cílům uvedeným mezi specifickými cíli OP</w:t>
      </w:r>
      <w:r w:rsidR="00E16955">
        <w:rPr>
          <w:rFonts w:cs="Cambria"/>
        </w:rPr>
        <w:t xml:space="preserve"> </w:t>
      </w:r>
      <w:r w:rsidR="00DB2752">
        <w:rPr>
          <w:rFonts w:cs="Cambria"/>
        </w:rPr>
        <w:t xml:space="preserve">ŽP 2014–2020. </w:t>
      </w:r>
      <w:r w:rsidR="00DB2752" w:rsidRPr="00F067BC">
        <w:rPr>
          <w:rFonts w:cs="Cambria"/>
        </w:rPr>
        <w:t xml:space="preserve">Cílem programu LIFE by mělo být urychlování změn v přípravě a provádění politiky </w:t>
      </w:r>
      <w:r w:rsidR="00DB2752">
        <w:rPr>
          <w:rFonts w:cs="Cambria"/>
        </w:rPr>
        <w:t xml:space="preserve">EU v ochraně životního prostředí </w:t>
      </w:r>
      <w:r w:rsidR="00DB2752" w:rsidRPr="00F067BC">
        <w:rPr>
          <w:rFonts w:cs="Cambria"/>
        </w:rPr>
        <w:t>tím, že bude zajišťovat a šířit řešení a osvědčené postupy pro dosažení cílů v oblasti životního prostředí a klimatu a podporovat inovativní technologie v oblasti životního prostředí a změny klimatu</w:t>
      </w:r>
      <w:r w:rsidR="00DB2752">
        <w:rPr>
          <w:rFonts w:cs="Cambria"/>
        </w:rPr>
        <w:t xml:space="preserve"> a takto </w:t>
      </w:r>
      <w:r w:rsidR="00DB2752" w:rsidRPr="00F067BC">
        <w:rPr>
          <w:rFonts w:cs="Cambria"/>
        </w:rPr>
        <w:t xml:space="preserve">podporovat provádění </w:t>
      </w:r>
      <w:r w:rsidR="00B45041">
        <w:rPr>
          <w:rFonts w:cs="Cambria"/>
        </w:rPr>
        <w:t xml:space="preserve">7. </w:t>
      </w:r>
      <w:r w:rsidR="004F190F">
        <w:rPr>
          <w:rFonts w:cs="Cambria"/>
        </w:rPr>
        <w:t>A</w:t>
      </w:r>
      <w:r w:rsidR="00DB2752" w:rsidRPr="00F067BC">
        <w:rPr>
          <w:rFonts w:cs="Cambria"/>
        </w:rPr>
        <w:t>kčního programu pro životní prostředí.</w:t>
      </w:r>
      <w:r w:rsidR="00F13D8A">
        <w:rPr>
          <w:rFonts w:cs="Cambria"/>
        </w:rPr>
        <w:t xml:space="preserve"> </w:t>
      </w:r>
    </w:p>
    <w:p w:rsidR="004F190F" w:rsidRDefault="00DB2752" w:rsidP="009E3740">
      <w:pPr>
        <w:spacing w:before="100" w:beforeAutospacing="1"/>
        <w:rPr>
          <w:rFonts w:cs="Cambria"/>
        </w:rPr>
      </w:pPr>
      <w:r>
        <w:rPr>
          <w:rFonts w:cs="Cambria"/>
        </w:rPr>
        <w:t>Program LIFE se skládá ze dvou podprogramů – podp</w:t>
      </w:r>
      <w:r w:rsidR="00347E0A">
        <w:rPr>
          <w:rFonts w:cs="Cambria"/>
        </w:rPr>
        <w:t xml:space="preserve">rogramu pro životní prostředí </w:t>
      </w:r>
      <w:r w:rsidR="00347E0A" w:rsidRPr="00347E0A">
        <w:t>a</w:t>
      </w:r>
      <w:r w:rsidR="00347E0A">
        <w:t> </w:t>
      </w:r>
      <w:r w:rsidRPr="00347E0A">
        <w:t>podprogramu</w:t>
      </w:r>
      <w:r w:rsidR="00F13D8A">
        <w:rPr>
          <w:rFonts w:cs="Cambria"/>
        </w:rPr>
        <w:t xml:space="preserve"> pro </w:t>
      </w:r>
      <w:r>
        <w:rPr>
          <w:rFonts w:cs="Cambria"/>
        </w:rPr>
        <w:t xml:space="preserve">klimatickou akci, kterým jsou přiřazeny specifické cíle a tematické priority. Seznam priorit je indikativní a může být během implementace programu modifikován. </w:t>
      </w:r>
    </w:p>
    <w:p w:rsidR="005E3EC7" w:rsidRPr="007B123A" w:rsidRDefault="00DB2752" w:rsidP="00B66FDE">
      <w:pPr>
        <w:rPr>
          <w:rFonts w:cs="Cambria"/>
        </w:rPr>
      </w:pPr>
      <w:r w:rsidRPr="00DB2752">
        <w:rPr>
          <w:rFonts w:cs="Cambria"/>
        </w:rPr>
        <w:t xml:space="preserve">Vzhledem k tomu, že oba programy jsou koordinovány jedním ministerstvem a v rámci jedné sekce, předpokládá se, že bude koordinace zajištěna v rámci organizační a </w:t>
      </w:r>
      <w:r w:rsidR="0031631F">
        <w:rPr>
          <w:rFonts w:cs="Cambria"/>
        </w:rPr>
        <w:t>administrativní struktury MŽP.</w:t>
      </w:r>
    </w:p>
    <w:p w:rsidR="006F7D80" w:rsidRPr="00B45232" w:rsidRDefault="00577E60" w:rsidP="00495FC1">
      <w:pPr>
        <w:pStyle w:val="Odstavecseseznamem"/>
        <w:numPr>
          <w:ilvl w:val="0"/>
          <w:numId w:val="57"/>
        </w:numPr>
        <w:rPr>
          <w:b/>
        </w:rPr>
      </w:pPr>
      <w:r w:rsidRPr="00B45232">
        <w:rPr>
          <w:b/>
        </w:rPr>
        <w:t>Program Tvůrčí Evropa</w:t>
      </w:r>
    </w:p>
    <w:p w:rsidR="00F625C4" w:rsidRPr="005F44D1" w:rsidRDefault="00577FAD" w:rsidP="00B66FDE">
      <w:pPr>
        <w:rPr>
          <w:rFonts w:cs="Tms Rmn"/>
          <w:color w:val="000000"/>
        </w:rPr>
      </w:pPr>
      <w:r w:rsidRPr="00577FAD">
        <w:rPr>
          <w:rFonts w:cs="Times New Roman"/>
          <w:color w:val="000000"/>
        </w:rPr>
        <w:t>Komplementární vazba programu v</w:t>
      </w:r>
      <w:r w:rsidR="00347E0A">
        <w:rPr>
          <w:rFonts w:cs="Times New Roman"/>
          <w:color w:val="000000"/>
        </w:rPr>
        <w:t> </w:t>
      </w:r>
      <w:proofErr w:type="gramStart"/>
      <w:r w:rsidRPr="00577FAD">
        <w:rPr>
          <w:rFonts w:cs="Times New Roman"/>
          <w:color w:val="000000"/>
        </w:rPr>
        <w:t>OP</w:t>
      </w:r>
      <w:proofErr w:type="gramEnd"/>
      <w:r w:rsidR="00347E0A">
        <w:rPr>
          <w:rFonts w:cs="Times New Roman"/>
          <w:color w:val="000000"/>
        </w:rPr>
        <w:t xml:space="preserve"> </w:t>
      </w:r>
      <w:r w:rsidRPr="00577FAD">
        <w:rPr>
          <w:rFonts w:cs="Times New Roman"/>
          <w:color w:val="000000"/>
        </w:rPr>
        <w:t xml:space="preserve">ŽP 2014-2020 je </w:t>
      </w:r>
      <w:r w:rsidR="00347E0A">
        <w:rPr>
          <w:rFonts w:cs="Times New Roman"/>
          <w:color w:val="000000"/>
        </w:rPr>
        <w:t>vnímána u aktivit zaměřených na </w:t>
      </w:r>
      <w:r w:rsidRPr="00577FAD">
        <w:rPr>
          <w:rFonts w:cs="Times New Roman"/>
          <w:color w:val="000000"/>
        </w:rPr>
        <w:t xml:space="preserve">ochranu a péči o přírodní bohatství, tj. zejména o zvláštně chráněná území. </w:t>
      </w:r>
      <w:r w:rsidR="00347E0A">
        <w:rPr>
          <w:rFonts w:cs="Tms Rmn"/>
          <w:color w:val="000000"/>
        </w:rPr>
        <w:t>Za taková území </w:t>
      </w:r>
      <w:r w:rsidRPr="00577FAD">
        <w:rPr>
          <w:rFonts w:cs="Tms Rmn"/>
          <w:color w:val="000000"/>
        </w:rPr>
        <w:t>se považují nejčastěji lokality s unikátní nebo reprezentati</w:t>
      </w:r>
      <w:r w:rsidR="00347E0A">
        <w:rPr>
          <w:rFonts w:cs="Tms Rmn"/>
          <w:color w:val="000000"/>
        </w:rPr>
        <w:t xml:space="preserve">vní biologickou rozmanitostí, </w:t>
      </w:r>
      <w:r w:rsidR="00347E0A">
        <w:rPr>
          <w:rFonts w:cs="Tms Rmn"/>
          <w:color w:val="000000"/>
        </w:rPr>
        <w:lastRenderedPageBreak/>
        <w:t>a </w:t>
      </w:r>
      <w:r w:rsidRPr="00577FAD">
        <w:rPr>
          <w:rFonts w:cs="Tms Rmn"/>
          <w:color w:val="000000"/>
        </w:rPr>
        <w:t>to na úrovni druhů, populací i společenstev, dále území s jedinečnou geologickou stavbou, území reprezentující charakteristické prvky krajinného rázu kulturní krajiny a území významná z hlediska vědeckého výzkumu. Zákon o ochraně přírody a krajiny vymezuje šest kategorií zvláště chráněných území, národní parky, chráněné krajinné oblasti, národní přírodní rezervace, přírodní rezervace, národní přírodní památky a přírodní památky.</w:t>
      </w:r>
    </w:p>
    <w:p w:rsidR="006F7D80" w:rsidRPr="00B45232" w:rsidRDefault="00D42CBC" w:rsidP="00495FC1">
      <w:pPr>
        <w:pStyle w:val="Odstavecseseznamem"/>
        <w:numPr>
          <w:ilvl w:val="0"/>
          <w:numId w:val="57"/>
        </w:numPr>
        <w:rPr>
          <w:b/>
        </w:rPr>
      </w:pPr>
      <w:r w:rsidRPr="00B45232">
        <w:rPr>
          <w:b/>
        </w:rPr>
        <w:t>Nová Zelená úsporám</w:t>
      </w:r>
    </w:p>
    <w:p w:rsidR="005F44D1" w:rsidRPr="005F44D1" w:rsidRDefault="00D42CBC" w:rsidP="00B66FDE">
      <w:pPr>
        <w:rPr>
          <w:rFonts w:eastAsiaTheme="minorHAnsi"/>
          <w:color w:val="000000"/>
          <w:lang w:eastAsia="en-US"/>
        </w:rPr>
      </w:pPr>
      <w:r w:rsidRPr="00DB2752">
        <w:rPr>
          <w:rFonts w:eastAsiaTheme="minorHAnsi"/>
          <w:color w:val="000000"/>
          <w:lang w:eastAsia="en-US"/>
        </w:rPr>
        <w:t>Cílem programu Nová zelená úsporám je podpora realizace opatření vedoucích ke snížení energetické náročnosti budov, a tím snížení emisí skleníkových plynů a dalších</w:t>
      </w:r>
      <w:r w:rsidRPr="009A7D2B">
        <w:rPr>
          <w:rFonts w:eastAsiaTheme="minorHAnsi"/>
          <w:color w:val="000000"/>
          <w:lang w:eastAsia="en-US"/>
        </w:rPr>
        <w:t xml:space="preserve"> znečišťujících látek do ovzduší. Vláda svým Usnesením č. 220 dne 20.</w:t>
      </w:r>
      <w:r w:rsidR="00347E0A">
        <w:rPr>
          <w:rFonts w:eastAsiaTheme="minorHAnsi"/>
          <w:color w:val="000000"/>
          <w:lang w:eastAsia="en-US"/>
        </w:rPr>
        <w:t xml:space="preserve"> </w:t>
      </w:r>
      <w:r w:rsidRPr="009A7D2B">
        <w:rPr>
          <w:rFonts w:eastAsiaTheme="minorHAnsi"/>
          <w:color w:val="000000"/>
          <w:lang w:eastAsia="en-US"/>
        </w:rPr>
        <w:t>2.</w:t>
      </w:r>
      <w:r w:rsidR="00347E0A">
        <w:rPr>
          <w:rFonts w:eastAsiaTheme="minorHAnsi"/>
          <w:color w:val="000000"/>
          <w:lang w:eastAsia="en-US"/>
        </w:rPr>
        <w:t xml:space="preserve"> </w:t>
      </w:r>
      <w:r w:rsidRPr="009A7D2B">
        <w:rPr>
          <w:rFonts w:eastAsiaTheme="minorHAnsi"/>
          <w:color w:val="000000"/>
          <w:lang w:eastAsia="en-US"/>
        </w:rPr>
        <w:t>2013 schválila Věcný záměr programu a dále Usnesením č. 848 ze dne 6.</w:t>
      </w:r>
      <w:r w:rsidR="00347E0A">
        <w:rPr>
          <w:rFonts w:eastAsiaTheme="minorHAnsi"/>
          <w:color w:val="000000"/>
          <w:lang w:eastAsia="en-US"/>
        </w:rPr>
        <w:t xml:space="preserve"> </w:t>
      </w:r>
      <w:r w:rsidRPr="009A7D2B">
        <w:rPr>
          <w:rFonts w:eastAsiaTheme="minorHAnsi"/>
          <w:color w:val="000000"/>
          <w:lang w:eastAsia="en-US"/>
        </w:rPr>
        <w:t>11.</w:t>
      </w:r>
      <w:r w:rsidR="00347E0A">
        <w:rPr>
          <w:rFonts w:eastAsiaTheme="minorHAnsi"/>
          <w:color w:val="000000"/>
          <w:lang w:eastAsia="en-US"/>
        </w:rPr>
        <w:t xml:space="preserve"> </w:t>
      </w:r>
      <w:r w:rsidRPr="009A7D2B">
        <w:rPr>
          <w:rFonts w:eastAsiaTheme="minorHAnsi"/>
          <w:color w:val="000000"/>
          <w:lang w:eastAsia="en-US"/>
        </w:rPr>
        <w:t xml:space="preserve">2013 schválila Dokumentaci programu NZÚ, ve které jsou podrobně rozpracovány podprogramy Rodinné domy a Náklady státu na administraci. Zbývající podprogramy Bytové domy a Budovy veřejného sektoru </w:t>
      </w:r>
      <w:r w:rsidR="00347E0A">
        <w:rPr>
          <w:rFonts w:eastAsiaTheme="minorHAnsi"/>
          <w:color w:val="000000"/>
          <w:lang w:eastAsia="en-US"/>
        </w:rPr>
        <w:t>jsou zpracovány zatím rámcově a </w:t>
      </w:r>
      <w:r w:rsidRPr="009A7D2B">
        <w:rPr>
          <w:rFonts w:eastAsiaTheme="minorHAnsi"/>
          <w:color w:val="000000"/>
          <w:lang w:eastAsia="en-US"/>
        </w:rPr>
        <w:t>budou připraveny na základě vymezení hraničních oblastí podpory mezi jednotlivými programy MMR a MŽP (IROP, PANEL 201</w:t>
      </w:r>
      <w:r w:rsidR="0008182C" w:rsidRPr="009A7D2B">
        <w:rPr>
          <w:rFonts w:eastAsiaTheme="minorHAnsi"/>
          <w:color w:val="000000"/>
          <w:lang w:eastAsia="en-US"/>
        </w:rPr>
        <w:t>4</w:t>
      </w:r>
      <w:r w:rsidRPr="009A7D2B">
        <w:rPr>
          <w:rFonts w:eastAsiaTheme="minorHAnsi"/>
          <w:color w:val="000000"/>
          <w:lang w:eastAsia="en-US"/>
        </w:rPr>
        <w:t>+, JESSICA, OP</w:t>
      </w:r>
      <w:r w:rsidR="00E16955">
        <w:rPr>
          <w:rFonts w:eastAsiaTheme="minorHAnsi"/>
          <w:color w:val="000000"/>
          <w:lang w:eastAsia="en-US"/>
        </w:rPr>
        <w:t xml:space="preserve"> </w:t>
      </w:r>
      <w:r w:rsidRPr="009A7D2B">
        <w:rPr>
          <w:rFonts w:eastAsiaTheme="minorHAnsi"/>
          <w:color w:val="000000"/>
          <w:lang w:eastAsia="en-US"/>
        </w:rPr>
        <w:t>ŽP</w:t>
      </w:r>
      <w:r w:rsidR="009A7D2B">
        <w:rPr>
          <w:rFonts w:eastAsiaTheme="minorHAnsi"/>
          <w:color w:val="000000"/>
          <w:lang w:eastAsia="en-US"/>
        </w:rPr>
        <w:t xml:space="preserve"> 2014-2020</w:t>
      </w:r>
      <w:r w:rsidRPr="009A7D2B">
        <w:rPr>
          <w:rFonts w:eastAsiaTheme="minorHAnsi"/>
          <w:color w:val="000000"/>
          <w:lang w:eastAsia="en-US"/>
        </w:rPr>
        <w:t xml:space="preserve">) tak, aby si programy vzájemně nekonkurovaly a bylo dosaženo maximálních synergických efektů. Program Nová zelená úsporám bude zdrojově kryt především z výnosů dražeb emisních povolenek dle zákona č. 383/2012 Sb., o podmínkách obchodování s povolenkami na emise </w:t>
      </w:r>
      <w:r w:rsidRPr="00DB2752">
        <w:rPr>
          <w:rFonts w:eastAsiaTheme="minorHAnsi"/>
          <w:color w:val="000000"/>
          <w:lang w:eastAsia="en-US"/>
        </w:rPr>
        <w:t>skleníkových plynů.</w:t>
      </w:r>
    </w:p>
    <w:p w:rsidR="006F7D80" w:rsidRPr="00B45232" w:rsidRDefault="00577E60" w:rsidP="00495FC1">
      <w:pPr>
        <w:pStyle w:val="Odstavecseseznamem"/>
        <w:numPr>
          <w:ilvl w:val="0"/>
          <w:numId w:val="57"/>
        </w:numPr>
        <w:rPr>
          <w:b/>
        </w:rPr>
      </w:pPr>
      <w:r w:rsidRPr="00B45232">
        <w:rPr>
          <w:b/>
        </w:rPr>
        <w:t>PANEL 2014+</w:t>
      </w:r>
    </w:p>
    <w:p w:rsidR="00A871FC" w:rsidRPr="007B123A" w:rsidRDefault="009A7D2B" w:rsidP="00B66FDE">
      <w:pPr>
        <w:rPr>
          <w:rFonts w:eastAsiaTheme="minorHAnsi"/>
          <w:color w:val="000000"/>
        </w:rPr>
      </w:pPr>
      <w:r w:rsidRPr="00625752">
        <w:rPr>
          <w:rFonts w:eastAsiaTheme="minorHAnsi"/>
          <w:color w:val="000000"/>
        </w:rPr>
        <w:t>Panel 2014+ je program úvěrů na opravy a modernizace bytových domů. K</w:t>
      </w:r>
      <w:r w:rsidR="00E16955">
        <w:rPr>
          <w:rFonts w:eastAsiaTheme="minorHAnsi"/>
          <w:color w:val="000000"/>
        </w:rPr>
        <w:t> </w:t>
      </w:r>
      <w:proofErr w:type="gramStart"/>
      <w:r w:rsidRPr="00625752">
        <w:rPr>
          <w:rFonts w:eastAsiaTheme="minorHAnsi"/>
          <w:color w:val="000000"/>
        </w:rPr>
        <w:t>OP</w:t>
      </w:r>
      <w:proofErr w:type="gramEnd"/>
      <w:r w:rsidR="00E16955">
        <w:rPr>
          <w:rFonts w:eastAsiaTheme="minorHAnsi"/>
          <w:color w:val="000000"/>
        </w:rPr>
        <w:t xml:space="preserve"> </w:t>
      </w:r>
      <w:r w:rsidRPr="00625752">
        <w:rPr>
          <w:rFonts w:eastAsiaTheme="minorHAnsi"/>
          <w:color w:val="000000"/>
        </w:rPr>
        <w:t xml:space="preserve">ŽP </w:t>
      </w:r>
      <w:r w:rsidRPr="00DB2752">
        <w:rPr>
          <w:rFonts w:eastAsiaTheme="minorHAnsi"/>
          <w:color w:val="000000"/>
        </w:rPr>
        <w:t>2014-2020 se jedná se o doplňkovou vazbu, neboť OP</w:t>
      </w:r>
      <w:r w:rsidR="00E16955">
        <w:rPr>
          <w:rFonts w:eastAsiaTheme="minorHAnsi"/>
          <w:color w:val="000000"/>
        </w:rPr>
        <w:t xml:space="preserve"> </w:t>
      </w:r>
      <w:r w:rsidRPr="00DB2752">
        <w:rPr>
          <w:rFonts w:eastAsiaTheme="minorHAnsi"/>
          <w:color w:val="000000"/>
        </w:rPr>
        <w:t xml:space="preserve">ŽP 2014-2020 se zaměřuje na oblast energetických úspor ve veřejných budovách. </w:t>
      </w:r>
    </w:p>
    <w:p w:rsidR="007B000E" w:rsidRPr="008A061F" w:rsidRDefault="007B000E" w:rsidP="00B66FDE">
      <w:pPr>
        <w:rPr>
          <w:rStyle w:val="Zdraznnintenzivn"/>
          <w:b w:val="0"/>
          <w:bCs w:val="0"/>
          <w:i w:val="0"/>
          <w:iCs w:val="0"/>
          <w:color w:val="auto"/>
        </w:rPr>
      </w:pPr>
      <w:r>
        <w:rPr>
          <w:rStyle w:val="Zdraznnintenzivn"/>
          <w:rFonts w:cstheme="minorHAnsi"/>
          <w:b w:val="0"/>
          <w:bCs w:val="0"/>
          <w:i w:val="0"/>
          <w:iCs w:val="0"/>
          <w:color w:val="76923C" w:themeColor="accent3" w:themeShade="BF"/>
        </w:rPr>
        <w:br w:type="page"/>
      </w:r>
    </w:p>
    <w:p w:rsidR="009600DA" w:rsidRDefault="00A86E80" w:rsidP="00165854">
      <w:pPr>
        <w:pStyle w:val="Nadpis1"/>
        <w:rPr>
          <w:rStyle w:val="Zdraznnintenzivn"/>
          <w:b/>
          <w:bCs/>
          <w:i w:val="0"/>
          <w:iCs w:val="0"/>
          <w:color w:val="76923C" w:themeColor="accent3" w:themeShade="BF"/>
        </w:rPr>
      </w:pPr>
      <w:bookmarkStart w:id="3454" w:name="_Toc392151092"/>
      <w:r w:rsidRPr="007B123A">
        <w:rPr>
          <w:rStyle w:val="Zdraznnintenzivn"/>
          <w:b/>
          <w:bCs/>
          <w:i w:val="0"/>
          <w:iCs w:val="0"/>
          <w:color w:val="76923C" w:themeColor="accent3" w:themeShade="BF"/>
        </w:rPr>
        <w:lastRenderedPageBreak/>
        <w:t>Předběžné podmínky</w:t>
      </w:r>
      <w:bookmarkEnd w:id="3454"/>
    </w:p>
    <w:p w:rsidR="00674BC9" w:rsidRDefault="00D70CCA">
      <w:pPr>
        <w:pStyle w:val="Nadpis2"/>
      </w:pPr>
      <w:bookmarkStart w:id="3455" w:name="_Toc392151093"/>
      <w:r>
        <w:t>Předběžné podmínky</w:t>
      </w:r>
      <w:bookmarkEnd w:id="3455"/>
    </w:p>
    <w:p w:rsidR="00674BC9" w:rsidRDefault="0033290F">
      <w:r w:rsidRPr="0033290F">
        <w:rPr>
          <w:rFonts w:eastAsia="Arial Unicode MS"/>
        </w:rPr>
        <w:t xml:space="preserve">V souvislosti s požadavkem Evropské komise zajistit dosahování prokazatelných výsledků intervencí z Evropských strukturálních a investičních fondů, zavádí obecné nařízení instrument v podobě tzv. předběžných podmínek. Jejich cílem je zajistit, </w:t>
      </w:r>
      <w:r w:rsidRPr="0033290F">
        <w:t>že budou existovat nezbytné rámcové podmínky pro účinné využívání podpory ESIF. Předběžná podmínka je podle obecného nařízení „</w:t>
      </w:r>
      <w:r w:rsidRPr="0033290F">
        <w:rPr>
          <w:i/>
        </w:rPr>
        <w:t>předem přesně vymezený podstatný faktor, který je nezbytným předpokladem pro účinné a efektivní splnění specifického cíle investiční priority […]</w:t>
      </w:r>
      <w:r w:rsidRPr="0033290F">
        <w:t xml:space="preserve">“. V rámci předběžných podmínek jsou dále definována dílčí kritéria splnění. </w:t>
      </w:r>
    </w:p>
    <w:p w:rsidR="00674BC9" w:rsidRDefault="0033290F">
      <w:r w:rsidRPr="0033290F">
        <w:rPr>
          <w:rFonts w:eastAsia="Arial Unicode MS"/>
        </w:rPr>
        <w:t>Podle obecného nařízení by předběžné podmínky měly být splněny k datu předložení Dohody o</w:t>
      </w:r>
      <w:r w:rsidR="000F2740">
        <w:rPr>
          <w:rFonts w:eastAsia="Arial Unicode MS"/>
        </w:rPr>
        <w:t> </w:t>
      </w:r>
      <w:r w:rsidRPr="0033290F">
        <w:rPr>
          <w:rFonts w:eastAsia="Arial Unicode MS"/>
        </w:rPr>
        <w:t>partnerství, není-li tomu tak, pak nejpozději do 31. 12. 2016</w:t>
      </w:r>
      <w:r w:rsidR="002D0F6D">
        <w:rPr>
          <w:rFonts w:eastAsia="Arial Unicode MS"/>
        </w:rPr>
        <w:t xml:space="preserve"> (s</w:t>
      </w:r>
      <w:r w:rsidR="004F190F">
        <w:rPr>
          <w:rFonts w:eastAsia="Arial Unicode MS"/>
        </w:rPr>
        <w:t xml:space="preserve"> výjimkou OPP 6, viz příloha č. </w:t>
      </w:r>
      <w:r w:rsidR="002D0F6D">
        <w:rPr>
          <w:rFonts w:eastAsia="Arial Unicode MS"/>
        </w:rPr>
        <w:t>7)</w:t>
      </w:r>
      <w:r w:rsidRPr="0033290F">
        <w:rPr>
          <w:rFonts w:eastAsia="Arial Unicode MS"/>
        </w:rPr>
        <w:t>. N</w:t>
      </w:r>
      <w:r w:rsidRPr="0033290F">
        <w:t>esplnění předběžných podmínek ve lhůtě do 31. 12. 2016 je důvodem pro pozastavení všech nebo části plateb na</w:t>
      </w:r>
      <w:r w:rsidR="00B83F26">
        <w:t> </w:t>
      </w:r>
      <w:r w:rsidRPr="0033290F">
        <w:t>příslušnou prioritu programu ze strany EK.</w:t>
      </w:r>
      <w:r w:rsidRPr="0033290F">
        <w:rPr>
          <w:rFonts w:eastAsia="Arial Unicode MS"/>
        </w:rPr>
        <w:t xml:space="preserve"> </w:t>
      </w:r>
      <w:r w:rsidRPr="0033290F">
        <w:t xml:space="preserve">Opětovné spuštění průběžných plateb bude znovu možné až po splnění předběžné podmínky. </w:t>
      </w:r>
    </w:p>
    <w:p w:rsidR="00674BC9" w:rsidRDefault="0033290F">
      <w:r w:rsidRPr="0033290F">
        <w:t>Koordinací naplňování předběžných podmínek na národní úrovni zajišťuje Ministerstvo pro</w:t>
      </w:r>
      <w:r w:rsidR="00B83F26">
        <w:t> </w:t>
      </w:r>
      <w:r w:rsidRPr="0033290F">
        <w:t>místní rozvoj, které k tomu účelu vydává Akční plán řízení a koordinace předběžných podmínek v programovém období 2014-2020 (dále také „Akční plán“). V souladu s  Akčním plánem zajišťuje Ministerstvo životního prostředí jako Řídící orgán OP ŽP 2014-2020 úlohu gestora věcného naplnění některých předběžných podmínek a průběžně je sleduje a</w:t>
      </w:r>
      <w:r w:rsidR="00B83F26">
        <w:t> </w:t>
      </w:r>
      <w:r w:rsidRPr="0033290F">
        <w:t xml:space="preserve">vyhodnocuje. Zvláštní pozornost věnuje MŽP zejména tzv. rizikovým předběžným podmínkám, u kterých bylo identifikováno riziko jejich nesplnění (riziko časové, implementační a riziko jejich nejasného či příliš obecného výkladu). </w:t>
      </w:r>
    </w:p>
    <w:p w:rsidR="00674BC9" w:rsidRDefault="0033290F">
      <w:r w:rsidRPr="0033290F">
        <w:t xml:space="preserve">MŽP zajišťuje naplnění předběžných podmínek souběžně s přípravou OP ŽP 2014-2020 v rámci své působnosti a ve spolupráci s příslušnými odbornými útvary ministerstva.  Ve spolupráci s nimi jsou definována opatření a harmonogram ke splnění dosud částečně splněných nebo nesplněných předběžných podmínek. Spolupracuje také s dalšími resorty a subjekty, které jsou jejich </w:t>
      </w:r>
      <w:proofErr w:type="spellStart"/>
      <w:r w:rsidRPr="0033290F">
        <w:t>spolugestory</w:t>
      </w:r>
      <w:proofErr w:type="spellEnd"/>
      <w:r w:rsidRPr="0033290F">
        <w:t xml:space="preserve"> či gestory předběžných podmínek, do jejichž působnosti také příslušné předběžné podmínky spadají. MŽP při zpracování programu průběžně aktivně spolupracuje také s Ministerstvem pro místní rozvoj s cílem vyjasnit dosud otevřené či nejasné otázky v souvislosti s předběžnými podmínkami a prostřednictvím Ministerstva pro místní rozvoj také usiluje o</w:t>
      </w:r>
      <w:r w:rsidR="000F2740">
        <w:t> </w:t>
      </w:r>
      <w:r w:rsidRPr="0033290F">
        <w:t>vyjasnění těchto otázek na straně EK.</w:t>
      </w:r>
    </w:p>
    <w:p w:rsidR="00674BC9" w:rsidRDefault="0033290F">
      <w:pPr>
        <w:rPr>
          <w:rFonts w:cs="Times New Roman"/>
        </w:rPr>
      </w:pPr>
      <w:r w:rsidRPr="0033290F">
        <w:rPr>
          <w:rFonts w:cs="Times New Roman"/>
        </w:rPr>
        <w:t xml:space="preserve">V souladu s principem předběžných podmínek, kterým je vytvoření nezbytných rámcových podmínek pro účinné využívání podpory  ESIF  v rámci plánovaných intervencí, bylo pro OP ŽP 2014-2020 s ohledem na zvolené investiční priority a specifické cíle identifikováno 5 aplikovatelných tematických předběžných podmínek (4.1, 4.3, 5.1, 6.1, 6.2) dle Přílohy XI. obecného nařízení. Jde o tematické předběžné podmínky, které požadují, jak existenci strategických dokumentů, tak i implementaci legislativních aktů, včetně přijetí opatření vyplývajících s nelegislativních dokumentů Evropské unie. Dále jsou pro OP ŽP 2014-2020 aplikovatelné obecné předběžné podmínky (1, 2, </w:t>
      </w:r>
      <w:r w:rsidR="00215444">
        <w:rPr>
          <w:rFonts w:cs="Times New Roman"/>
        </w:rPr>
        <w:t>3,</w:t>
      </w:r>
      <w:r w:rsidR="00DC500E">
        <w:rPr>
          <w:rFonts w:cs="Times New Roman"/>
        </w:rPr>
        <w:t xml:space="preserve"> </w:t>
      </w:r>
      <w:r w:rsidRPr="0033290F">
        <w:rPr>
          <w:rFonts w:cs="Times New Roman"/>
        </w:rPr>
        <w:t xml:space="preserve">4, 5, 6, 7a, 7b). </w:t>
      </w:r>
    </w:p>
    <w:p w:rsidR="00674BC9" w:rsidRDefault="008725AA">
      <w:r w:rsidRPr="00656124">
        <w:lastRenderedPageBreak/>
        <w:t xml:space="preserve">OP ŽP 2014–2020 se zaměřuje na podporu </w:t>
      </w:r>
      <w:r w:rsidRPr="003F5606">
        <w:t xml:space="preserve">tematických cílů č. 4, 5, 6 vymezených v obecném nařízení č. 1303/2013 o společných ustanoveních k fondům, pod které </w:t>
      </w:r>
      <w:proofErr w:type="gramStart"/>
      <w:r w:rsidRPr="003F5606">
        <w:t>spadají</w:t>
      </w:r>
      <w:proofErr w:type="gramEnd"/>
      <w:r w:rsidRPr="003F5606">
        <w:t xml:space="preserve"> p</w:t>
      </w:r>
      <w:r w:rsidR="003F5606">
        <w:t>ředběžné podmínky uvedené v </w:t>
      </w:r>
      <w:r w:rsidRPr="003F5606">
        <w:t>tabulce</w:t>
      </w:r>
      <w:r w:rsidR="003F5606">
        <w:t xml:space="preserve"> níže</w:t>
      </w:r>
      <w:r w:rsidRPr="003F5606">
        <w:t xml:space="preserve"> </w:t>
      </w:r>
      <w:r w:rsidR="00050C80" w:rsidRPr="003F5606">
        <w:rPr>
          <w:rFonts w:cs="Times New Roman"/>
        </w:rPr>
        <w:t xml:space="preserve">Volba předběžných podmínek </w:t>
      </w:r>
      <w:proofErr w:type="gramStart"/>
      <w:r w:rsidR="004F190F">
        <w:rPr>
          <w:rFonts w:cs="Times New Roman"/>
        </w:rPr>
        <w:t>byla</w:t>
      </w:r>
      <w:proofErr w:type="gramEnd"/>
      <w:r w:rsidR="004F190F">
        <w:rPr>
          <w:rFonts w:cs="Times New Roman"/>
        </w:rPr>
        <w:t xml:space="preserve"> provedena také v souladu s </w:t>
      </w:r>
      <w:r w:rsidR="00050C80" w:rsidRPr="003F5606">
        <w:rPr>
          <w:rFonts w:cs="Times New Roman"/>
        </w:rPr>
        <w:t xml:space="preserve">dokumentem Evropské komise „Draft </w:t>
      </w:r>
      <w:proofErr w:type="spellStart"/>
      <w:r w:rsidR="00050C80" w:rsidRPr="003F5606">
        <w:rPr>
          <w:rFonts w:cs="Times New Roman"/>
        </w:rPr>
        <w:t>Guidance</w:t>
      </w:r>
      <w:proofErr w:type="spellEnd"/>
      <w:r w:rsidR="00050C80" w:rsidRPr="003F5606">
        <w:rPr>
          <w:rFonts w:cs="Times New Roman"/>
        </w:rPr>
        <w:t xml:space="preserve"> on Ex Ante </w:t>
      </w:r>
      <w:proofErr w:type="spellStart"/>
      <w:r w:rsidR="00050C80" w:rsidRPr="003F5606">
        <w:rPr>
          <w:rFonts w:cs="Times New Roman"/>
        </w:rPr>
        <w:t>Conditionalities</w:t>
      </w:r>
      <w:proofErr w:type="spellEnd"/>
      <w:r w:rsidR="00050C80" w:rsidRPr="003F5606">
        <w:rPr>
          <w:rFonts w:cs="Times New Roman"/>
        </w:rPr>
        <w:t>“</w:t>
      </w:r>
      <w:r w:rsidR="00050C80" w:rsidRPr="003F5606">
        <w:rPr>
          <w:rStyle w:val="Znakapoznpodarou"/>
          <w:rFonts w:cs="Times New Roman"/>
        </w:rPr>
        <w:footnoteReference w:id="3"/>
      </w:r>
      <w:r w:rsidRPr="003F5606">
        <w:rPr>
          <w:rFonts w:cs="Times New Roman"/>
        </w:rPr>
        <w:t xml:space="preserve">. </w:t>
      </w:r>
      <w:r w:rsidR="00050C80" w:rsidRPr="003F5606">
        <w:rPr>
          <w:rFonts w:cs="Times New Roman"/>
        </w:rPr>
        <w:t xml:space="preserve"> </w:t>
      </w:r>
    </w:p>
    <w:p w:rsidR="00674BC9" w:rsidRDefault="0033290F">
      <w:r w:rsidRPr="0033290F">
        <w:t xml:space="preserve">Vyhodnocení plnění předběžných podmínek dle daných kritérií bylo provedeno v rámci přípravy OP ŽP 2014-2020 s využitím „Draft </w:t>
      </w:r>
      <w:proofErr w:type="spellStart"/>
      <w:r w:rsidRPr="0033290F">
        <w:t>Guidance</w:t>
      </w:r>
      <w:proofErr w:type="spellEnd"/>
      <w:r w:rsidRPr="0033290F">
        <w:t xml:space="preserve"> on Ex Ante </w:t>
      </w:r>
      <w:proofErr w:type="spellStart"/>
      <w:r w:rsidRPr="0033290F">
        <w:t>Conditionalities</w:t>
      </w:r>
      <w:proofErr w:type="spellEnd"/>
      <w:r w:rsidRPr="0033290F">
        <w:t>“ a dle dalších pokynů Ministerstva pro místní rozvoj – NOK v souladu s Akčním plánem. V současné fázi je</w:t>
      </w:r>
      <w:r w:rsidR="00AB6675">
        <w:t>,</w:t>
      </w:r>
      <w:r w:rsidRPr="0033290F">
        <w:t xml:space="preserve"> podle vyhodnocení MŽP</w:t>
      </w:r>
      <w:r w:rsidR="00AB6675">
        <w:t>,</w:t>
      </w:r>
      <w:r w:rsidRPr="0033290F">
        <w:t xml:space="preserve"> s plněním aplikovatelných předběžných podmínek spojeno několik typů rizik</w:t>
      </w:r>
      <w:r w:rsidR="00AB6675">
        <w:t>. Ta</w:t>
      </w:r>
      <w:r w:rsidR="00ED22ED">
        <w:t>to rizika jsou vždy uvedena v rámci akčních plánů aplikovatelných předběžných podmínek.</w:t>
      </w:r>
      <w:r w:rsidR="00F625C4">
        <w:t xml:space="preserve"> </w:t>
      </w:r>
      <w:r w:rsidR="00257E18">
        <w:t>Akční plány k předběžným podmínkám</w:t>
      </w:r>
      <w:r w:rsidR="002451BB">
        <w:t xml:space="preserve"> 4.1,</w:t>
      </w:r>
      <w:r w:rsidR="00257E18">
        <w:t xml:space="preserve"> 5.1, 6.1, 6.2 </w:t>
      </w:r>
      <w:r w:rsidR="002451BB">
        <w:t>a obecné předběžné podmínce</w:t>
      </w:r>
      <w:r w:rsidR="00257E18">
        <w:t xml:space="preserve"> 6 jsou zobrazeny v Příloze 7.</w:t>
      </w:r>
      <w:r w:rsidR="00ED22ED">
        <w:t xml:space="preserve"> </w:t>
      </w:r>
    </w:p>
    <w:p w:rsidR="00415D14" w:rsidRPr="00631387" w:rsidRDefault="00415D14" w:rsidP="00050C80">
      <w:pPr>
        <w:pStyle w:val="Standardntext"/>
      </w:pPr>
    </w:p>
    <w:p w:rsidR="00050C80" w:rsidRDefault="00050C80" w:rsidP="00B66FDE"/>
    <w:p w:rsidR="00F625C4" w:rsidRDefault="00F625C4" w:rsidP="00B66FDE"/>
    <w:p w:rsidR="00F625C4" w:rsidRDefault="00F625C4" w:rsidP="00B66FDE"/>
    <w:p w:rsidR="00F625C4" w:rsidRDefault="00F625C4" w:rsidP="00B66FDE"/>
    <w:p w:rsidR="00F625C4" w:rsidRDefault="00F625C4" w:rsidP="00B66FDE"/>
    <w:p w:rsidR="00F625C4" w:rsidRDefault="00F625C4" w:rsidP="00B66FDE"/>
    <w:p w:rsidR="00F625C4" w:rsidRDefault="00F625C4" w:rsidP="00B66FDE"/>
    <w:p w:rsidR="00F625C4" w:rsidRDefault="00F625C4" w:rsidP="00B66FDE"/>
    <w:p w:rsidR="00F625C4" w:rsidRDefault="00F625C4" w:rsidP="00B66FDE"/>
    <w:p w:rsidR="00F625C4" w:rsidRDefault="00F625C4" w:rsidP="00B66FDE"/>
    <w:p w:rsidR="00F625C4" w:rsidRDefault="00F625C4" w:rsidP="00B66FDE"/>
    <w:p w:rsidR="00F625C4" w:rsidRDefault="00F625C4" w:rsidP="00B66FDE">
      <w:pPr>
        <w:sectPr w:rsidR="00F625C4" w:rsidSect="00F625C4">
          <w:pgSz w:w="11906" w:h="16838" w:code="9"/>
          <w:pgMar w:top="1418" w:right="1418" w:bottom="1418" w:left="1418" w:header="709" w:footer="709" w:gutter="0"/>
          <w:cols w:space="708"/>
          <w:docGrid w:linePitch="360"/>
        </w:sectPr>
      </w:pPr>
    </w:p>
    <w:p w:rsidR="00A86E80" w:rsidRPr="004314F4" w:rsidRDefault="008D58A5" w:rsidP="002246D6">
      <w:pPr>
        <w:pStyle w:val="Titulek"/>
      </w:pPr>
      <w:r>
        <w:lastRenderedPageBreak/>
        <w:t>Určení příslušných předběžných podmínek a posouzení jejich plnění</w:t>
      </w:r>
    </w:p>
    <w:tbl>
      <w:tblPr>
        <w:tblStyle w:val="Mkatabulky"/>
        <w:tblW w:w="14142" w:type="dxa"/>
        <w:tblLayout w:type="fixed"/>
        <w:tblLook w:val="04A0" w:firstRow="1" w:lastRow="0" w:firstColumn="1" w:lastColumn="0" w:noHBand="0" w:noVBand="1"/>
      </w:tblPr>
      <w:tblGrid>
        <w:gridCol w:w="1384"/>
        <w:gridCol w:w="1134"/>
        <w:gridCol w:w="851"/>
        <w:gridCol w:w="1701"/>
        <w:gridCol w:w="1134"/>
        <w:gridCol w:w="2693"/>
        <w:gridCol w:w="5245"/>
      </w:tblGrid>
      <w:tr w:rsidR="006A6C59" w:rsidRPr="00250A0D" w:rsidTr="009E5E7B">
        <w:trPr>
          <w:trHeight w:val="2306"/>
          <w:tblHeader/>
        </w:trPr>
        <w:tc>
          <w:tcPr>
            <w:tcW w:w="1384" w:type="dxa"/>
            <w:tcBorders>
              <w:bottom w:val="single" w:sz="12" w:space="0" w:color="auto"/>
            </w:tcBorders>
            <w:shd w:val="clear" w:color="auto" w:fill="A6A6A6" w:themeFill="background1" w:themeFillShade="A6"/>
          </w:tcPr>
          <w:p w:rsidR="009D1AE1" w:rsidRPr="00250A0D" w:rsidRDefault="009D1AE1" w:rsidP="00B66FDE">
            <w:pPr>
              <w:rPr>
                <w:b/>
                <w:sz w:val="20"/>
                <w:szCs w:val="20"/>
              </w:rPr>
            </w:pPr>
          </w:p>
          <w:p w:rsidR="009D1AE1" w:rsidRPr="00250A0D" w:rsidRDefault="009D1AE1" w:rsidP="00B66FDE">
            <w:pPr>
              <w:rPr>
                <w:b/>
                <w:sz w:val="20"/>
                <w:szCs w:val="20"/>
              </w:rPr>
            </w:pPr>
          </w:p>
          <w:p w:rsidR="00F77572" w:rsidRPr="00250A0D" w:rsidRDefault="0033290F" w:rsidP="00B66FDE">
            <w:pPr>
              <w:spacing w:line="276" w:lineRule="auto"/>
              <w:rPr>
                <w:b/>
                <w:sz w:val="20"/>
                <w:szCs w:val="20"/>
              </w:rPr>
            </w:pPr>
            <w:r w:rsidRPr="0033290F">
              <w:rPr>
                <w:b/>
                <w:sz w:val="20"/>
                <w:szCs w:val="20"/>
              </w:rPr>
              <w:t>Předběžná podmínka</w:t>
            </w:r>
          </w:p>
        </w:tc>
        <w:tc>
          <w:tcPr>
            <w:tcW w:w="1134" w:type="dxa"/>
            <w:tcBorders>
              <w:bottom w:val="single" w:sz="12" w:space="0" w:color="auto"/>
            </w:tcBorders>
            <w:shd w:val="clear" w:color="auto" w:fill="A6A6A6" w:themeFill="background1" w:themeFillShade="A6"/>
          </w:tcPr>
          <w:p w:rsidR="00F77572" w:rsidRPr="00250A0D" w:rsidRDefault="0033290F" w:rsidP="008D58A5">
            <w:pPr>
              <w:spacing w:line="276" w:lineRule="auto"/>
              <w:rPr>
                <w:b/>
                <w:sz w:val="20"/>
                <w:szCs w:val="20"/>
              </w:rPr>
            </w:pPr>
            <w:bookmarkStart w:id="3456" w:name="_Toc383165256"/>
            <w:bookmarkStart w:id="3457" w:name="_Toc384907544"/>
            <w:r w:rsidRPr="0033290F">
              <w:rPr>
                <w:b/>
                <w:sz w:val="20"/>
                <w:szCs w:val="20"/>
              </w:rPr>
              <w:t xml:space="preserve">Prioritní osy, kterých se podmínka týká </w:t>
            </w:r>
            <w:bookmarkEnd w:id="3456"/>
            <w:bookmarkEnd w:id="3457"/>
          </w:p>
        </w:tc>
        <w:tc>
          <w:tcPr>
            <w:tcW w:w="851" w:type="dxa"/>
            <w:tcBorders>
              <w:bottom w:val="single" w:sz="12" w:space="0" w:color="auto"/>
            </w:tcBorders>
            <w:shd w:val="clear" w:color="auto" w:fill="A6A6A6" w:themeFill="background1" w:themeFillShade="A6"/>
          </w:tcPr>
          <w:p w:rsidR="00F77572" w:rsidRPr="00250A0D" w:rsidRDefault="0033290F" w:rsidP="00B66FDE">
            <w:pPr>
              <w:spacing w:line="276" w:lineRule="auto"/>
              <w:rPr>
                <w:b/>
                <w:sz w:val="20"/>
                <w:szCs w:val="20"/>
              </w:rPr>
            </w:pPr>
            <w:r w:rsidRPr="0033290F">
              <w:rPr>
                <w:b/>
                <w:sz w:val="20"/>
                <w:szCs w:val="20"/>
              </w:rPr>
              <w:t xml:space="preserve">Předběžná podmínka splněna: </w:t>
            </w:r>
            <w:bookmarkStart w:id="3458" w:name="_Toc383165258"/>
            <w:bookmarkStart w:id="3459" w:name="_Toc384907546"/>
            <w:r w:rsidRPr="0033290F">
              <w:rPr>
                <w:b/>
                <w:sz w:val="20"/>
                <w:szCs w:val="20"/>
              </w:rPr>
              <w:t>ano/ne/částečně</w:t>
            </w:r>
            <w:bookmarkEnd w:id="3458"/>
            <w:bookmarkEnd w:id="3459"/>
          </w:p>
        </w:tc>
        <w:tc>
          <w:tcPr>
            <w:tcW w:w="1701" w:type="dxa"/>
            <w:tcBorders>
              <w:bottom w:val="single" w:sz="12" w:space="0" w:color="auto"/>
            </w:tcBorders>
            <w:shd w:val="clear" w:color="auto" w:fill="A6A6A6" w:themeFill="background1" w:themeFillShade="A6"/>
          </w:tcPr>
          <w:p w:rsidR="00F77572" w:rsidRPr="00250A0D" w:rsidRDefault="0033290F" w:rsidP="008D58A5">
            <w:pPr>
              <w:spacing w:line="276" w:lineRule="auto"/>
              <w:rPr>
                <w:b/>
                <w:sz w:val="20"/>
                <w:szCs w:val="20"/>
              </w:rPr>
            </w:pPr>
            <w:bookmarkStart w:id="3460" w:name="_Toc383165259"/>
            <w:bookmarkStart w:id="3461" w:name="_Toc384907547"/>
            <w:r w:rsidRPr="0033290F">
              <w:rPr>
                <w:b/>
                <w:sz w:val="20"/>
                <w:szCs w:val="20"/>
              </w:rPr>
              <w:t xml:space="preserve">Kritéria </w:t>
            </w:r>
            <w:bookmarkEnd w:id="3460"/>
            <w:bookmarkEnd w:id="3461"/>
          </w:p>
        </w:tc>
        <w:tc>
          <w:tcPr>
            <w:tcW w:w="1134" w:type="dxa"/>
            <w:tcBorders>
              <w:bottom w:val="single" w:sz="12" w:space="0" w:color="auto"/>
            </w:tcBorders>
            <w:shd w:val="clear" w:color="auto" w:fill="A6A6A6" w:themeFill="background1" w:themeFillShade="A6"/>
          </w:tcPr>
          <w:p w:rsidR="00F77572" w:rsidRPr="00250A0D" w:rsidRDefault="0033290F" w:rsidP="00B66FDE">
            <w:pPr>
              <w:spacing w:line="276" w:lineRule="auto"/>
              <w:rPr>
                <w:b/>
                <w:sz w:val="20"/>
                <w:szCs w:val="20"/>
              </w:rPr>
            </w:pPr>
            <w:r w:rsidRPr="0033290F">
              <w:rPr>
                <w:b/>
                <w:sz w:val="20"/>
                <w:szCs w:val="20"/>
              </w:rPr>
              <w:t>Kritéria splněna</w:t>
            </w:r>
          </w:p>
          <w:p w:rsidR="00F77572" w:rsidRPr="00250A0D" w:rsidRDefault="0033290F" w:rsidP="00B66FDE">
            <w:pPr>
              <w:spacing w:line="276" w:lineRule="auto"/>
              <w:rPr>
                <w:b/>
                <w:sz w:val="20"/>
                <w:szCs w:val="20"/>
              </w:rPr>
            </w:pPr>
            <w:bookmarkStart w:id="3462" w:name="_Toc383165261"/>
            <w:bookmarkStart w:id="3463" w:name="_Toc384907549"/>
            <w:r w:rsidRPr="0033290F">
              <w:rPr>
                <w:b/>
                <w:sz w:val="20"/>
                <w:szCs w:val="20"/>
              </w:rPr>
              <w:t>ano/ne</w:t>
            </w:r>
            <w:bookmarkEnd w:id="3462"/>
            <w:bookmarkEnd w:id="3463"/>
          </w:p>
        </w:tc>
        <w:tc>
          <w:tcPr>
            <w:tcW w:w="2693" w:type="dxa"/>
            <w:tcBorders>
              <w:bottom w:val="single" w:sz="12" w:space="0" w:color="auto"/>
            </w:tcBorders>
            <w:shd w:val="clear" w:color="auto" w:fill="A6A6A6" w:themeFill="background1" w:themeFillShade="A6"/>
          </w:tcPr>
          <w:p w:rsidR="00F77572" w:rsidRPr="00250A0D" w:rsidRDefault="0033290F" w:rsidP="00B83F26">
            <w:pPr>
              <w:spacing w:line="276" w:lineRule="auto"/>
              <w:rPr>
                <w:b/>
                <w:sz w:val="20"/>
                <w:szCs w:val="20"/>
              </w:rPr>
            </w:pPr>
            <w:bookmarkStart w:id="3464" w:name="_Toc383165262"/>
            <w:bookmarkStart w:id="3465" w:name="_Toc384907550"/>
            <w:r w:rsidRPr="0033290F">
              <w:rPr>
                <w:b/>
                <w:sz w:val="20"/>
                <w:szCs w:val="20"/>
              </w:rPr>
              <w:t xml:space="preserve">Odkaz (odkaz na strategie, právní akt </w:t>
            </w:r>
            <w:proofErr w:type="gramStart"/>
            <w:r w:rsidRPr="0033290F">
              <w:rPr>
                <w:b/>
                <w:sz w:val="20"/>
                <w:szCs w:val="20"/>
              </w:rPr>
              <w:t>nebo                                                   jiné</w:t>
            </w:r>
            <w:proofErr w:type="gramEnd"/>
            <w:r w:rsidRPr="0033290F">
              <w:rPr>
                <w:b/>
                <w:sz w:val="20"/>
                <w:szCs w:val="20"/>
              </w:rPr>
              <w:t xml:space="preserve"> příslušné dokumenty, včetně odkazů na příslušné oddíly, články či odstavce, doplněné o internetové  odkazy nebo přístup k celému znění)</w:t>
            </w:r>
            <w:bookmarkEnd w:id="3464"/>
            <w:bookmarkEnd w:id="3465"/>
          </w:p>
        </w:tc>
        <w:tc>
          <w:tcPr>
            <w:tcW w:w="5245" w:type="dxa"/>
            <w:tcBorders>
              <w:bottom w:val="single" w:sz="12" w:space="0" w:color="auto"/>
            </w:tcBorders>
            <w:shd w:val="clear" w:color="auto" w:fill="A6A6A6" w:themeFill="background1" w:themeFillShade="A6"/>
          </w:tcPr>
          <w:p w:rsidR="00F77572" w:rsidRPr="00250A0D" w:rsidRDefault="0033290F" w:rsidP="00B66FDE">
            <w:pPr>
              <w:spacing w:line="276" w:lineRule="auto"/>
              <w:rPr>
                <w:b/>
                <w:sz w:val="20"/>
                <w:szCs w:val="20"/>
              </w:rPr>
            </w:pPr>
            <w:bookmarkStart w:id="3466" w:name="_Toc383165263"/>
            <w:bookmarkStart w:id="3467" w:name="_Toc384907551"/>
            <w:r w:rsidRPr="0033290F">
              <w:rPr>
                <w:b/>
                <w:sz w:val="20"/>
                <w:szCs w:val="20"/>
              </w:rPr>
              <w:t xml:space="preserve">Vysvětlení </w:t>
            </w:r>
            <w:bookmarkEnd w:id="3466"/>
            <w:bookmarkEnd w:id="3467"/>
          </w:p>
        </w:tc>
      </w:tr>
      <w:tr w:rsidR="00E80092" w:rsidRPr="00250A0D" w:rsidTr="000F2740">
        <w:tc>
          <w:tcPr>
            <w:tcW w:w="1384" w:type="dxa"/>
            <w:tcBorders>
              <w:top w:val="single" w:sz="12" w:space="0" w:color="auto"/>
            </w:tcBorders>
          </w:tcPr>
          <w:p w:rsidR="00E80092" w:rsidRPr="00250A0D" w:rsidRDefault="00542297" w:rsidP="0056371C">
            <w:pPr>
              <w:spacing w:line="276" w:lineRule="auto"/>
              <w:rPr>
                <w:rFonts w:cs="Arial"/>
                <w:sz w:val="20"/>
                <w:szCs w:val="20"/>
              </w:rPr>
            </w:pPr>
            <w:r w:rsidRPr="00250A0D">
              <w:rPr>
                <w:sz w:val="20"/>
                <w:szCs w:val="20"/>
              </w:rPr>
              <w:t>Č. 1: Existence administrativní kapacity pro provádění a uplatňování právních předpisů a politiky Unie v oblasti boje proti diskriminaci v případě fondů ESI</w:t>
            </w:r>
          </w:p>
        </w:tc>
        <w:tc>
          <w:tcPr>
            <w:tcW w:w="1134" w:type="dxa"/>
            <w:tcBorders>
              <w:top w:val="single" w:sz="12" w:space="0" w:color="auto"/>
            </w:tcBorders>
          </w:tcPr>
          <w:p w:rsidR="00E80092" w:rsidRPr="00250A0D" w:rsidRDefault="0033290F" w:rsidP="00B66FDE">
            <w:pPr>
              <w:spacing w:line="276" w:lineRule="auto"/>
              <w:rPr>
                <w:rFonts w:cs="Arial"/>
                <w:sz w:val="20"/>
                <w:szCs w:val="20"/>
              </w:rPr>
            </w:pPr>
            <w:r w:rsidRPr="0033290F">
              <w:rPr>
                <w:rFonts w:cs="Arial"/>
                <w:sz w:val="20"/>
                <w:szCs w:val="20"/>
              </w:rPr>
              <w:t>Všechny prioritní osy OP ŽP 2014-2020</w:t>
            </w:r>
          </w:p>
        </w:tc>
        <w:tc>
          <w:tcPr>
            <w:tcW w:w="851" w:type="dxa"/>
            <w:tcBorders>
              <w:top w:val="single" w:sz="12" w:space="0" w:color="auto"/>
            </w:tcBorders>
          </w:tcPr>
          <w:p w:rsidR="00E80092" w:rsidRPr="00250A0D" w:rsidRDefault="0033290F" w:rsidP="00B66FDE">
            <w:pPr>
              <w:spacing w:line="276" w:lineRule="auto"/>
              <w:rPr>
                <w:sz w:val="20"/>
                <w:szCs w:val="20"/>
              </w:rPr>
            </w:pPr>
            <w:r w:rsidRPr="0033290F">
              <w:rPr>
                <w:sz w:val="20"/>
                <w:szCs w:val="20"/>
              </w:rPr>
              <w:t xml:space="preserve">Ano. </w:t>
            </w:r>
          </w:p>
          <w:p w:rsidR="00E80092" w:rsidRPr="00250A0D" w:rsidRDefault="0033290F" w:rsidP="00B66FDE">
            <w:pPr>
              <w:spacing w:line="276" w:lineRule="auto"/>
              <w:rPr>
                <w:rFonts w:cs="Arial"/>
                <w:sz w:val="20"/>
                <w:szCs w:val="20"/>
              </w:rPr>
            </w:pPr>
            <w:r w:rsidRPr="0033290F">
              <w:rPr>
                <w:sz w:val="20"/>
                <w:szCs w:val="20"/>
              </w:rPr>
              <w:t xml:space="preserve">(plnění probíhá průběžně a bude probíhat po celé programové období 2014-2020) </w:t>
            </w:r>
          </w:p>
        </w:tc>
        <w:tc>
          <w:tcPr>
            <w:tcW w:w="1701" w:type="dxa"/>
            <w:tcBorders>
              <w:top w:val="single" w:sz="12" w:space="0" w:color="auto"/>
            </w:tcBorders>
          </w:tcPr>
          <w:p w:rsidR="008109A5" w:rsidRPr="00250A0D" w:rsidRDefault="0033290F" w:rsidP="008109A5">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Ustanovení v souladu s institucionálním a právním rámcem členských h států za účelem zapojení subjektů odpovědných za prosazování rovného zacházení se všemi osobami v rámci přípravy a provádění programů, včetně poskytování poradenství v otázkách rovnosti v rámci činností týkajících se </w:t>
            </w:r>
            <w:r w:rsidRPr="0033290F">
              <w:rPr>
                <w:rFonts w:ascii="Cambria" w:hAnsi="Cambria"/>
                <w:color w:val="auto"/>
                <w:sz w:val="20"/>
                <w:szCs w:val="20"/>
              </w:rPr>
              <w:lastRenderedPageBreak/>
              <w:t xml:space="preserve">fondů ESI; </w:t>
            </w:r>
          </w:p>
          <w:p w:rsidR="008109A5" w:rsidRPr="00250A0D" w:rsidRDefault="008109A5" w:rsidP="00B66FDE">
            <w:pPr>
              <w:spacing w:line="276" w:lineRule="auto"/>
              <w:rPr>
                <w:sz w:val="20"/>
                <w:szCs w:val="20"/>
              </w:rPr>
            </w:pPr>
          </w:p>
          <w:p w:rsidR="00E80092" w:rsidRPr="00250A0D" w:rsidRDefault="00E80092" w:rsidP="008109A5">
            <w:pPr>
              <w:spacing w:line="276" w:lineRule="auto"/>
              <w:rPr>
                <w:rFonts w:cs="Arial"/>
                <w:sz w:val="20"/>
                <w:szCs w:val="20"/>
              </w:rPr>
            </w:pPr>
          </w:p>
        </w:tc>
        <w:tc>
          <w:tcPr>
            <w:tcW w:w="1134" w:type="dxa"/>
            <w:tcBorders>
              <w:top w:val="single" w:sz="12" w:space="0" w:color="auto"/>
            </w:tcBorders>
          </w:tcPr>
          <w:p w:rsidR="00E80092" w:rsidRPr="00250A0D" w:rsidRDefault="0033290F" w:rsidP="00B66FDE">
            <w:pPr>
              <w:spacing w:line="276" w:lineRule="auto"/>
              <w:rPr>
                <w:sz w:val="20"/>
                <w:szCs w:val="20"/>
              </w:rPr>
            </w:pPr>
            <w:r w:rsidRPr="0033290F">
              <w:rPr>
                <w:sz w:val="20"/>
                <w:szCs w:val="20"/>
              </w:rPr>
              <w:lastRenderedPageBreak/>
              <w:t xml:space="preserve">Ano </w:t>
            </w:r>
          </w:p>
          <w:p w:rsidR="00E80092" w:rsidRPr="00250A0D" w:rsidRDefault="00E80092" w:rsidP="00B66FDE">
            <w:pPr>
              <w:spacing w:line="276" w:lineRule="auto"/>
              <w:rPr>
                <w:rFonts w:cs="Arial"/>
                <w:sz w:val="20"/>
                <w:szCs w:val="20"/>
              </w:rPr>
            </w:pPr>
          </w:p>
        </w:tc>
        <w:tc>
          <w:tcPr>
            <w:tcW w:w="2693" w:type="dxa"/>
            <w:tcBorders>
              <w:top w:val="single" w:sz="12" w:space="0" w:color="auto"/>
            </w:tcBorders>
          </w:tcPr>
          <w:p w:rsidR="00E80092" w:rsidRPr="00250A0D" w:rsidRDefault="0033290F" w:rsidP="00B66FDE">
            <w:pPr>
              <w:spacing w:line="276" w:lineRule="auto"/>
              <w:rPr>
                <w:sz w:val="20"/>
                <w:szCs w:val="20"/>
              </w:rPr>
            </w:pPr>
            <w:r w:rsidRPr="0033290F">
              <w:rPr>
                <w:sz w:val="20"/>
                <w:szCs w:val="20"/>
              </w:rPr>
              <w:t>http://</w:t>
            </w:r>
            <w:proofErr w:type="gramStart"/>
            <w:r w:rsidRPr="0033290F">
              <w:rPr>
                <w:sz w:val="20"/>
                <w:szCs w:val="20"/>
              </w:rPr>
              <w:t>www</w:t>
            </w:r>
            <w:proofErr w:type="gramEnd"/>
            <w:r w:rsidRPr="0033290F">
              <w:rPr>
                <w:sz w:val="20"/>
                <w:szCs w:val="20"/>
              </w:rPr>
              <w:t>.</w:t>
            </w:r>
            <w:proofErr w:type="gramStart"/>
            <w:r w:rsidRPr="0033290F">
              <w:rPr>
                <w:sz w:val="20"/>
                <w:szCs w:val="20"/>
              </w:rPr>
              <w:t>ochrance</w:t>
            </w:r>
            <w:proofErr w:type="gramEnd"/>
            <w:r w:rsidRPr="0033290F">
              <w:rPr>
                <w:sz w:val="20"/>
                <w:szCs w:val="20"/>
              </w:rPr>
              <w:t xml:space="preserve">.cz/en/discrimination/ </w:t>
            </w:r>
          </w:p>
          <w:p w:rsidR="00D762A9" w:rsidRPr="00250A0D" w:rsidRDefault="0033290F" w:rsidP="00D762A9">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http://www.vlada.cz/cz/ppov/zmocnenec-vlady-pro-lidska-prava/organizace-sekce-lp/organizace-sekce-lidskych-prav-107606/ </w:t>
            </w:r>
          </w:p>
          <w:p w:rsidR="00E80092" w:rsidRPr="00250A0D" w:rsidRDefault="00E80092" w:rsidP="00B66FDE">
            <w:pPr>
              <w:spacing w:line="276" w:lineRule="auto"/>
              <w:rPr>
                <w:rFonts w:cs="Arial"/>
                <w:sz w:val="20"/>
                <w:szCs w:val="20"/>
              </w:rPr>
            </w:pPr>
          </w:p>
        </w:tc>
        <w:tc>
          <w:tcPr>
            <w:tcW w:w="5245" w:type="dxa"/>
            <w:tcBorders>
              <w:top w:val="single" w:sz="12" w:space="0" w:color="auto"/>
            </w:tcBorders>
          </w:tcPr>
          <w:p w:rsidR="00674BC9" w:rsidRDefault="0033290F">
            <w:pPr>
              <w:rPr>
                <w:sz w:val="20"/>
                <w:szCs w:val="20"/>
              </w:rPr>
            </w:pPr>
            <w:r w:rsidRPr="0033290F">
              <w:rPr>
                <w:sz w:val="20"/>
                <w:szCs w:val="20"/>
              </w:rPr>
              <w:t>Specifické naplňování na národní úrovni je uvedeno v rámci Dohody o partnerství</w:t>
            </w:r>
            <w:r w:rsidR="00542297" w:rsidRPr="00250A0D">
              <w:rPr>
                <w:sz w:val="20"/>
                <w:szCs w:val="20"/>
              </w:rPr>
              <w:t>.</w:t>
            </w:r>
          </w:p>
          <w:p w:rsidR="00E80092" w:rsidRPr="00250A0D" w:rsidRDefault="0033290F" w:rsidP="00B66FDE">
            <w:pPr>
              <w:spacing w:line="276" w:lineRule="auto"/>
              <w:rPr>
                <w:rFonts w:cs="Arial"/>
                <w:sz w:val="20"/>
                <w:szCs w:val="20"/>
              </w:rPr>
            </w:pPr>
            <w:r w:rsidRPr="0033290F">
              <w:rPr>
                <w:sz w:val="20"/>
                <w:szCs w:val="20"/>
              </w:rPr>
              <w:t>Doplnění ze strany OP ŽP:</w:t>
            </w:r>
            <w:r w:rsidRPr="0033290F">
              <w:rPr>
                <w:rFonts w:cs="Arial"/>
                <w:sz w:val="20"/>
                <w:szCs w:val="20"/>
                <w:u w:color="FFFFFF" w:themeColor="background1"/>
              </w:rPr>
              <w:t>Problematika nediskriminace je rámcově řešena v rámci OP ŽP 2014-2020 (kapitola Horizontální principy) - následně pak bude rozpracována v navazující řídící dokumentaci a promítnuta do výzev a hodnocení a kontrol v úrovni projektů.</w:t>
            </w:r>
          </w:p>
        </w:tc>
      </w:tr>
      <w:tr w:rsidR="00E80092" w:rsidRPr="00250A0D" w:rsidTr="000F2740">
        <w:tc>
          <w:tcPr>
            <w:tcW w:w="1384" w:type="dxa"/>
          </w:tcPr>
          <w:p w:rsidR="00E80092" w:rsidRPr="00250A0D" w:rsidRDefault="00E80092" w:rsidP="00B66FDE">
            <w:pPr>
              <w:spacing w:line="276" w:lineRule="auto"/>
              <w:rPr>
                <w:rFonts w:cs="Arial"/>
                <w:sz w:val="20"/>
                <w:szCs w:val="20"/>
              </w:rPr>
            </w:pPr>
          </w:p>
        </w:tc>
        <w:tc>
          <w:tcPr>
            <w:tcW w:w="1134" w:type="dxa"/>
          </w:tcPr>
          <w:p w:rsidR="00E80092" w:rsidRPr="00250A0D" w:rsidRDefault="00E80092" w:rsidP="00B66FDE">
            <w:pPr>
              <w:spacing w:line="276" w:lineRule="auto"/>
              <w:rPr>
                <w:rFonts w:cs="Arial"/>
                <w:sz w:val="20"/>
                <w:szCs w:val="20"/>
              </w:rPr>
            </w:pPr>
          </w:p>
        </w:tc>
        <w:tc>
          <w:tcPr>
            <w:tcW w:w="851" w:type="dxa"/>
          </w:tcPr>
          <w:p w:rsidR="00E80092" w:rsidRPr="00250A0D" w:rsidRDefault="00E80092" w:rsidP="00B66FDE">
            <w:pPr>
              <w:spacing w:line="276" w:lineRule="auto"/>
              <w:rPr>
                <w:rFonts w:cs="Arial"/>
                <w:sz w:val="20"/>
                <w:szCs w:val="20"/>
              </w:rPr>
            </w:pPr>
          </w:p>
        </w:tc>
        <w:tc>
          <w:tcPr>
            <w:tcW w:w="1701" w:type="dxa"/>
          </w:tcPr>
          <w:p w:rsidR="00E80092" w:rsidRPr="00250A0D" w:rsidRDefault="0033290F" w:rsidP="00B66FDE">
            <w:pPr>
              <w:spacing w:line="276" w:lineRule="auto"/>
              <w:rPr>
                <w:sz w:val="20"/>
                <w:szCs w:val="20"/>
              </w:rPr>
            </w:pPr>
            <w:r w:rsidRPr="0033290F">
              <w:rPr>
                <w:sz w:val="20"/>
                <w:szCs w:val="20"/>
              </w:rPr>
              <w:t xml:space="preserve">Opatření za účelem vzdělávání zaměstnanců orgánů zapojených do řízení a kontroly ESI fondů v oblasti právních předpisů a politiky Unie proti diskriminaci   </w:t>
            </w:r>
          </w:p>
          <w:p w:rsidR="00E80092" w:rsidRPr="00250A0D" w:rsidRDefault="00E80092" w:rsidP="00B66FDE">
            <w:pPr>
              <w:spacing w:line="276" w:lineRule="auto"/>
              <w:rPr>
                <w:rFonts w:cs="Arial"/>
                <w:sz w:val="20"/>
                <w:szCs w:val="20"/>
              </w:rPr>
            </w:pPr>
          </w:p>
        </w:tc>
        <w:tc>
          <w:tcPr>
            <w:tcW w:w="1134" w:type="dxa"/>
          </w:tcPr>
          <w:p w:rsidR="00E80092" w:rsidRPr="00250A0D" w:rsidRDefault="0033290F" w:rsidP="00B66FDE">
            <w:pPr>
              <w:spacing w:line="276" w:lineRule="auto"/>
              <w:rPr>
                <w:sz w:val="20"/>
                <w:szCs w:val="20"/>
              </w:rPr>
            </w:pPr>
            <w:r w:rsidRPr="0033290F">
              <w:rPr>
                <w:sz w:val="20"/>
                <w:szCs w:val="20"/>
              </w:rPr>
              <w:t xml:space="preserve">Ano </w:t>
            </w:r>
          </w:p>
          <w:p w:rsidR="00E80092" w:rsidRPr="00250A0D" w:rsidRDefault="00E80092" w:rsidP="00B66FDE">
            <w:pPr>
              <w:spacing w:line="276" w:lineRule="auto"/>
              <w:rPr>
                <w:rFonts w:cs="Arial"/>
                <w:sz w:val="20"/>
                <w:szCs w:val="20"/>
              </w:rPr>
            </w:pPr>
          </w:p>
        </w:tc>
        <w:tc>
          <w:tcPr>
            <w:tcW w:w="2693" w:type="dxa"/>
          </w:tcPr>
          <w:p w:rsidR="00E80092" w:rsidRPr="00250A0D" w:rsidRDefault="00E80092" w:rsidP="00B66FDE">
            <w:pPr>
              <w:spacing w:line="276" w:lineRule="auto"/>
              <w:rPr>
                <w:rFonts w:cs="Arial"/>
                <w:sz w:val="20"/>
                <w:szCs w:val="20"/>
              </w:rPr>
            </w:pPr>
          </w:p>
        </w:tc>
        <w:tc>
          <w:tcPr>
            <w:tcW w:w="5245" w:type="dxa"/>
          </w:tcPr>
          <w:p w:rsidR="00DA66E3" w:rsidRPr="00250A0D" w:rsidRDefault="0033290F" w:rsidP="00DA66E3">
            <w:pPr>
              <w:pStyle w:val="Default"/>
              <w:spacing w:afterAutospacing="1"/>
              <w:jc w:val="both"/>
              <w:rPr>
                <w:rFonts w:ascii="Cambria" w:hAnsi="Cambria"/>
                <w:color w:val="auto"/>
                <w:sz w:val="20"/>
                <w:szCs w:val="20"/>
              </w:rPr>
            </w:pPr>
            <w:r w:rsidRPr="0033290F">
              <w:rPr>
                <w:color w:val="auto"/>
                <w:sz w:val="20"/>
                <w:szCs w:val="20"/>
              </w:rPr>
              <w:t>Specifické naplňování na národní úrovni je uvedeno v rámci Dohody o partnerství</w:t>
            </w:r>
            <w:r w:rsidR="00542297" w:rsidRPr="00250A0D">
              <w:rPr>
                <w:sz w:val="20"/>
                <w:szCs w:val="20"/>
              </w:rPr>
              <w:t xml:space="preserve"> </w:t>
            </w:r>
            <w:r w:rsidRPr="0033290F">
              <w:rPr>
                <w:rFonts w:ascii="Cambria" w:hAnsi="Cambria"/>
                <w:color w:val="auto"/>
                <w:sz w:val="20"/>
                <w:szCs w:val="20"/>
              </w:rPr>
              <w:t>Doplnění ze strany OP ŽP:</w:t>
            </w:r>
          </w:p>
          <w:p w:rsidR="00674BC9" w:rsidRDefault="0033290F">
            <w:pPr>
              <w:pStyle w:val="Default"/>
              <w:jc w:val="both"/>
              <w:rPr>
                <w:sz w:val="20"/>
                <w:szCs w:val="20"/>
              </w:rPr>
            </w:pPr>
            <w:r w:rsidRPr="0033290F">
              <w:rPr>
                <w:rFonts w:ascii="Cambria" w:hAnsi="Cambria" w:cs="Times New Roman"/>
                <w:color w:val="auto"/>
                <w:sz w:val="20"/>
                <w:szCs w:val="20"/>
              </w:rPr>
              <w:t>Zaměstnanci OP ŽP jsou zapojeni do Systému vzdělávání, který na horizontální úrovni zastřešuje MMR-NOK, a budou se průběžně a dle potřeby účastnit příslušných vzdělávacích akcí s problematikou nediskriminace.</w:t>
            </w:r>
          </w:p>
        </w:tc>
      </w:tr>
      <w:tr w:rsidR="00E80092" w:rsidRPr="00250A0D" w:rsidTr="000F2740">
        <w:tc>
          <w:tcPr>
            <w:tcW w:w="1384" w:type="dxa"/>
          </w:tcPr>
          <w:p w:rsidR="00E80092" w:rsidRPr="00250A0D" w:rsidRDefault="00542297" w:rsidP="00B66FDE">
            <w:pPr>
              <w:spacing w:line="276" w:lineRule="auto"/>
              <w:rPr>
                <w:sz w:val="20"/>
                <w:szCs w:val="20"/>
              </w:rPr>
            </w:pPr>
            <w:r w:rsidRPr="00250A0D">
              <w:rPr>
                <w:sz w:val="20"/>
                <w:szCs w:val="20"/>
              </w:rPr>
              <w:lastRenderedPageBreak/>
              <w:t xml:space="preserve">Č. 2: Existence administrativní kapacity pro </w:t>
            </w:r>
            <w:r w:rsidR="0033290F" w:rsidRPr="0033290F">
              <w:rPr>
                <w:sz w:val="20"/>
                <w:szCs w:val="20"/>
              </w:rPr>
              <w:t xml:space="preserve">provádění a uplatňování právních </w:t>
            </w:r>
            <w:proofErr w:type="gramStart"/>
            <w:r w:rsidR="0033290F" w:rsidRPr="0033290F">
              <w:rPr>
                <w:sz w:val="20"/>
                <w:szCs w:val="20"/>
              </w:rPr>
              <w:t>předpisů  a politiky</w:t>
            </w:r>
            <w:proofErr w:type="gramEnd"/>
            <w:r w:rsidR="0033290F" w:rsidRPr="0033290F">
              <w:rPr>
                <w:sz w:val="20"/>
                <w:szCs w:val="20"/>
              </w:rPr>
              <w:t xml:space="preserve"> Unie v oblasti rovnosti mezi ženami a muži v případě fondů ESI </w:t>
            </w:r>
          </w:p>
          <w:p w:rsidR="00E80092" w:rsidRPr="00250A0D" w:rsidRDefault="00E80092" w:rsidP="00B66FDE">
            <w:pPr>
              <w:spacing w:line="276" w:lineRule="auto"/>
              <w:rPr>
                <w:rFonts w:cs="Arial"/>
                <w:sz w:val="20"/>
                <w:szCs w:val="20"/>
              </w:rPr>
            </w:pPr>
          </w:p>
        </w:tc>
        <w:tc>
          <w:tcPr>
            <w:tcW w:w="1134" w:type="dxa"/>
          </w:tcPr>
          <w:p w:rsidR="00E80092" w:rsidRPr="00250A0D" w:rsidRDefault="0033290F" w:rsidP="00B66FDE">
            <w:pPr>
              <w:spacing w:line="276" w:lineRule="auto"/>
              <w:rPr>
                <w:rFonts w:cs="Arial"/>
                <w:sz w:val="20"/>
                <w:szCs w:val="20"/>
              </w:rPr>
            </w:pPr>
            <w:r w:rsidRPr="0033290F">
              <w:rPr>
                <w:rFonts w:cs="Arial"/>
                <w:sz w:val="20"/>
                <w:szCs w:val="20"/>
              </w:rPr>
              <w:t>Všechny prioritní osy OP ŽP 2014-2020</w:t>
            </w:r>
          </w:p>
        </w:tc>
        <w:tc>
          <w:tcPr>
            <w:tcW w:w="851" w:type="dxa"/>
          </w:tcPr>
          <w:p w:rsidR="00E80092" w:rsidRPr="00250A0D" w:rsidRDefault="0033290F" w:rsidP="00B66FDE">
            <w:pPr>
              <w:spacing w:line="276" w:lineRule="auto"/>
              <w:rPr>
                <w:sz w:val="20"/>
                <w:szCs w:val="20"/>
              </w:rPr>
            </w:pPr>
            <w:r w:rsidRPr="0033290F">
              <w:rPr>
                <w:sz w:val="20"/>
                <w:szCs w:val="20"/>
              </w:rPr>
              <w:t>Ano (plnění probíhá průběžně a bude probíhat po celé programové období 2014-2020)</w:t>
            </w:r>
          </w:p>
          <w:p w:rsidR="00E80092" w:rsidRPr="00250A0D" w:rsidRDefault="00E80092" w:rsidP="00B66FDE">
            <w:pPr>
              <w:spacing w:line="276" w:lineRule="auto"/>
              <w:rPr>
                <w:rFonts w:cs="Arial"/>
                <w:sz w:val="20"/>
                <w:szCs w:val="20"/>
              </w:rPr>
            </w:pPr>
          </w:p>
        </w:tc>
        <w:tc>
          <w:tcPr>
            <w:tcW w:w="1701" w:type="dxa"/>
          </w:tcPr>
          <w:p w:rsidR="003B50B3" w:rsidRPr="00250A0D" w:rsidDel="003B50B3" w:rsidRDefault="003B50B3" w:rsidP="00B66FDE">
            <w:pPr>
              <w:spacing w:line="276" w:lineRule="auto"/>
              <w:rPr>
                <w:sz w:val="20"/>
                <w:szCs w:val="20"/>
              </w:rPr>
            </w:pPr>
          </w:p>
          <w:p w:rsidR="003B50B3" w:rsidRPr="00250A0D" w:rsidRDefault="0033290F" w:rsidP="003B50B3">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Ustanovení v souladu s institucionálním a právním rámcem členských států za účelem zapojení subjektů odpovědných za rovnost mezi ženami a muži v rámci přípravy a provádění programů, včetně poskytování poradenství v otázkách rovnosti mezi ženami a muži v rámci činností týkajících se </w:t>
            </w:r>
            <w:r w:rsidRPr="0033290F">
              <w:rPr>
                <w:rFonts w:ascii="Cambria" w:hAnsi="Cambria"/>
                <w:color w:val="auto"/>
                <w:sz w:val="20"/>
                <w:szCs w:val="20"/>
              </w:rPr>
              <w:lastRenderedPageBreak/>
              <w:t xml:space="preserve">fondů ESI; </w:t>
            </w:r>
          </w:p>
          <w:p w:rsidR="00E80092" w:rsidRPr="00250A0D" w:rsidRDefault="00E80092" w:rsidP="003B50B3">
            <w:pPr>
              <w:spacing w:line="276" w:lineRule="auto"/>
              <w:rPr>
                <w:rFonts w:cs="Arial"/>
                <w:sz w:val="20"/>
                <w:szCs w:val="20"/>
              </w:rPr>
            </w:pPr>
          </w:p>
        </w:tc>
        <w:tc>
          <w:tcPr>
            <w:tcW w:w="1134" w:type="dxa"/>
          </w:tcPr>
          <w:p w:rsidR="00E80092" w:rsidRPr="00250A0D" w:rsidRDefault="0033290F" w:rsidP="00B66FDE">
            <w:pPr>
              <w:spacing w:line="276" w:lineRule="auto"/>
              <w:rPr>
                <w:sz w:val="20"/>
                <w:szCs w:val="20"/>
              </w:rPr>
            </w:pPr>
            <w:r w:rsidRPr="0033290F">
              <w:rPr>
                <w:sz w:val="20"/>
                <w:szCs w:val="20"/>
              </w:rPr>
              <w:lastRenderedPageBreak/>
              <w:t xml:space="preserve">ano </w:t>
            </w:r>
          </w:p>
          <w:p w:rsidR="00E80092" w:rsidRPr="00250A0D" w:rsidRDefault="00E80092" w:rsidP="00B66FDE">
            <w:pPr>
              <w:spacing w:line="276" w:lineRule="auto"/>
              <w:rPr>
                <w:rFonts w:cs="Arial"/>
                <w:sz w:val="20"/>
                <w:szCs w:val="20"/>
              </w:rPr>
            </w:pPr>
          </w:p>
        </w:tc>
        <w:tc>
          <w:tcPr>
            <w:tcW w:w="2693" w:type="dxa"/>
          </w:tcPr>
          <w:p w:rsidR="00E80092" w:rsidRPr="00250A0D" w:rsidRDefault="00332B77" w:rsidP="00B66FDE">
            <w:pPr>
              <w:spacing w:line="276" w:lineRule="auto"/>
              <w:rPr>
                <w:sz w:val="20"/>
                <w:szCs w:val="20"/>
              </w:rPr>
            </w:pPr>
            <w:hyperlink r:id="rId23" w:history="1">
              <w:r w:rsidR="0033290F" w:rsidRPr="0033290F">
                <w:rPr>
                  <w:rStyle w:val="Hypertextovodkaz"/>
                  <w:color w:val="auto"/>
                  <w:sz w:val="20"/>
                  <w:szCs w:val="20"/>
                </w:rPr>
                <w:t>http://www.ochrance.cz/en/discrimination/</w:t>
              </w:r>
            </w:hyperlink>
            <w:r w:rsidR="0033290F" w:rsidRPr="0033290F">
              <w:rPr>
                <w:sz w:val="20"/>
                <w:szCs w:val="20"/>
              </w:rPr>
              <w:t xml:space="preserve">  </w:t>
            </w:r>
          </w:p>
          <w:p w:rsidR="00E80092" w:rsidRPr="00250A0D" w:rsidRDefault="00332B77" w:rsidP="00B66FDE">
            <w:pPr>
              <w:spacing w:line="276" w:lineRule="auto"/>
              <w:rPr>
                <w:rFonts w:cs="Arial"/>
                <w:sz w:val="20"/>
                <w:szCs w:val="20"/>
              </w:rPr>
            </w:pPr>
            <w:hyperlink r:id="rId24" w:history="1">
              <w:r w:rsidR="0033290F" w:rsidRPr="0033290F">
                <w:rPr>
                  <w:rStyle w:val="Hypertextovodkaz"/>
                  <w:color w:val="auto"/>
                  <w:sz w:val="20"/>
                  <w:szCs w:val="20"/>
                </w:rPr>
                <w:t>http://www.mpsv.cz/cs/12152</w:t>
              </w:r>
            </w:hyperlink>
            <w:r w:rsidR="0033290F" w:rsidRPr="0033290F">
              <w:rPr>
                <w:sz w:val="20"/>
                <w:szCs w:val="20"/>
              </w:rPr>
              <w:t xml:space="preserve">  </w:t>
            </w:r>
          </w:p>
        </w:tc>
        <w:tc>
          <w:tcPr>
            <w:tcW w:w="5245" w:type="dxa"/>
          </w:tcPr>
          <w:p w:rsidR="00E80092" w:rsidRPr="00250A0D" w:rsidRDefault="0033290F" w:rsidP="001A094A">
            <w:pPr>
              <w:spacing w:line="276" w:lineRule="auto"/>
              <w:rPr>
                <w:sz w:val="20"/>
                <w:szCs w:val="20"/>
              </w:rPr>
            </w:pPr>
            <w:r w:rsidRPr="0033290F">
              <w:rPr>
                <w:sz w:val="20"/>
                <w:szCs w:val="20"/>
              </w:rPr>
              <w:t xml:space="preserve">Specifické naplňování na národní úrovni je uvedeno v rámci Dohody o partnerství </w:t>
            </w:r>
          </w:p>
          <w:p w:rsidR="00E80092" w:rsidRPr="00250A0D" w:rsidRDefault="0033290F" w:rsidP="00B66FDE">
            <w:pPr>
              <w:spacing w:line="276" w:lineRule="auto"/>
              <w:rPr>
                <w:sz w:val="20"/>
                <w:szCs w:val="20"/>
              </w:rPr>
            </w:pPr>
            <w:r w:rsidRPr="0033290F">
              <w:rPr>
                <w:sz w:val="20"/>
                <w:szCs w:val="20"/>
              </w:rPr>
              <w:t xml:space="preserve">Doplnění ze strany OP ŽP: </w:t>
            </w:r>
          </w:p>
          <w:p w:rsidR="00E80092" w:rsidRPr="00250A0D" w:rsidRDefault="0033290F" w:rsidP="00B66FDE">
            <w:pPr>
              <w:spacing w:line="276" w:lineRule="auto"/>
              <w:rPr>
                <w:rFonts w:cs="Arial"/>
                <w:sz w:val="20"/>
                <w:szCs w:val="20"/>
                <w:u w:color="FFFFFF" w:themeColor="background1"/>
              </w:rPr>
            </w:pPr>
            <w:r w:rsidRPr="0033290F">
              <w:rPr>
                <w:rFonts w:cs="Arial"/>
                <w:sz w:val="20"/>
                <w:szCs w:val="20"/>
                <w:u w:color="FFFFFF" w:themeColor="background1"/>
              </w:rPr>
              <w:t>Problematika nediskriminace je rámcově řešena v rámci OP ŽP (kapitola Horizontální principy) - následně pak bude rozpracována od roku 2014 v řídící dokumentaci a promítnuta do hodnocení a kontrol v úrovni projektů.</w:t>
            </w:r>
          </w:p>
          <w:p w:rsidR="00381F60" w:rsidRPr="00250A0D" w:rsidRDefault="0033290F" w:rsidP="00381F60">
            <w:pPr>
              <w:pStyle w:val="Tabulka"/>
              <w:jc w:val="left"/>
              <w:rPr>
                <w:rFonts w:ascii="Cambria" w:hAnsi="Cambria" w:cs="Times New Roman"/>
                <w:sz w:val="20"/>
                <w:szCs w:val="20"/>
              </w:rPr>
            </w:pPr>
            <w:r w:rsidRPr="0033290F">
              <w:rPr>
                <w:rFonts w:ascii="Cambria" w:hAnsi="Cambria" w:cs="Times New Roman"/>
                <w:sz w:val="20"/>
                <w:szCs w:val="20"/>
              </w:rPr>
              <w:t xml:space="preserve">V rámci OP ŽP bude usilováno o to, aby podpořené projekty přispívaly k naplňování principu rovnosti žen a mužů všude, kde je to vzhledem k věcnému zaměření intervencí programu relevantní. V rámci OP ŽP budou mít ke všem programům podpory stejný přístup ženy i muži, zároveň rovnost žen a mužů bude zahrnuta do výběrových kritérií jednotlivých subprogramů podpory. V případě, že hodnotitelská komise shledá, že projekt má negativní vliv na rovnost žen a mužů, nebude projekt v rámci OP ŽP podpořen. </w:t>
            </w:r>
          </w:p>
          <w:p w:rsidR="00381F60" w:rsidRPr="00250A0D" w:rsidRDefault="0033290F" w:rsidP="00381F60">
            <w:pPr>
              <w:spacing w:line="276" w:lineRule="auto"/>
              <w:rPr>
                <w:rFonts w:cs="Arial"/>
                <w:sz w:val="20"/>
                <w:szCs w:val="20"/>
              </w:rPr>
            </w:pPr>
            <w:r w:rsidRPr="0033290F">
              <w:rPr>
                <w:rFonts w:cs="Times New Roman"/>
                <w:sz w:val="20"/>
                <w:szCs w:val="20"/>
              </w:rPr>
              <w:t>Aktivity financované v rámci PO 6 Technická pomoc budou přístupné všem, bez rozdílů pohlaví.</w:t>
            </w:r>
          </w:p>
        </w:tc>
      </w:tr>
      <w:tr w:rsidR="00E80092" w:rsidRPr="00250A0D" w:rsidTr="000F2740">
        <w:tc>
          <w:tcPr>
            <w:tcW w:w="1384" w:type="dxa"/>
          </w:tcPr>
          <w:p w:rsidR="00E80092" w:rsidRPr="00250A0D" w:rsidRDefault="00E80092" w:rsidP="00B66FDE">
            <w:pPr>
              <w:spacing w:line="276" w:lineRule="auto"/>
              <w:rPr>
                <w:rFonts w:cs="Arial"/>
                <w:sz w:val="20"/>
                <w:szCs w:val="20"/>
              </w:rPr>
            </w:pPr>
          </w:p>
        </w:tc>
        <w:tc>
          <w:tcPr>
            <w:tcW w:w="1134" w:type="dxa"/>
          </w:tcPr>
          <w:p w:rsidR="00E80092" w:rsidRPr="00250A0D" w:rsidRDefault="00E80092" w:rsidP="00B66FDE">
            <w:pPr>
              <w:spacing w:line="276" w:lineRule="auto"/>
              <w:rPr>
                <w:rFonts w:cs="Arial"/>
                <w:sz w:val="20"/>
                <w:szCs w:val="20"/>
              </w:rPr>
            </w:pPr>
          </w:p>
        </w:tc>
        <w:tc>
          <w:tcPr>
            <w:tcW w:w="851" w:type="dxa"/>
          </w:tcPr>
          <w:p w:rsidR="00E80092" w:rsidRPr="00250A0D" w:rsidRDefault="00E80092" w:rsidP="00B66FDE">
            <w:pPr>
              <w:spacing w:line="276" w:lineRule="auto"/>
              <w:rPr>
                <w:rFonts w:cs="Arial"/>
                <w:sz w:val="20"/>
                <w:szCs w:val="20"/>
              </w:rPr>
            </w:pPr>
          </w:p>
        </w:tc>
        <w:tc>
          <w:tcPr>
            <w:tcW w:w="1701" w:type="dxa"/>
          </w:tcPr>
          <w:p w:rsidR="008109A5" w:rsidRPr="00250A0D" w:rsidRDefault="0033290F" w:rsidP="008109A5">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Opatření za účelem vzdělávání zaměstnanců orgánů zapojených do řízení a kontroly fondů ESI v oblasti právních předpisů a politiky Unie týkajících se rovnosti mezi ženami a muži a zohledňování rovnosti mezi ženami a muži. </w:t>
            </w:r>
          </w:p>
          <w:p w:rsidR="00E80092" w:rsidRPr="00250A0D" w:rsidRDefault="00E80092" w:rsidP="00B66FDE">
            <w:pPr>
              <w:spacing w:line="276" w:lineRule="auto"/>
              <w:rPr>
                <w:sz w:val="20"/>
                <w:szCs w:val="20"/>
              </w:rPr>
            </w:pPr>
          </w:p>
        </w:tc>
        <w:tc>
          <w:tcPr>
            <w:tcW w:w="1134" w:type="dxa"/>
          </w:tcPr>
          <w:p w:rsidR="00E80092" w:rsidRPr="00250A0D" w:rsidRDefault="0033290F" w:rsidP="00B66FDE">
            <w:pPr>
              <w:spacing w:line="276" w:lineRule="auto"/>
              <w:rPr>
                <w:sz w:val="20"/>
                <w:szCs w:val="20"/>
              </w:rPr>
            </w:pPr>
            <w:r w:rsidRPr="0033290F">
              <w:rPr>
                <w:sz w:val="20"/>
                <w:szCs w:val="20"/>
              </w:rPr>
              <w:t xml:space="preserve">ano </w:t>
            </w:r>
          </w:p>
          <w:p w:rsidR="00E80092" w:rsidRPr="00250A0D" w:rsidRDefault="00E80092" w:rsidP="00B66FDE">
            <w:pPr>
              <w:spacing w:line="276" w:lineRule="auto"/>
              <w:rPr>
                <w:rFonts w:cs="Arial"/>
                <w:sz w:val="20"/>
                <w:szCs w:val="20"/>
              </w:rPr>
            </w:pPr>
          </w:p>
        </w:tc>
        <w:tc>
          <w:tcPr>
            <w:tcW w:w="2693" w:type="dxa"/>
          </w:tcPr>
          <w:p w:rsidR="00E80092" w:rsidRPr="00250A0D" w:rsidRDefault="00E80092" w:rsidP="00B66FDE">
            <w:pPr>
              <w:spacing w:line="276" w:lineRule="auto"/>
              <w:rPr>
                <w:rFonts w:cs="Arial"/>
                <w:sz w:val="20"/>
                <w:szCs w:val="20"/>
              </w:rPr>
            </w:pPr>
          </w:p>
        </w:tc>
        <w:tc>
          <w:tcPr>
            <w:tcW w:w="5245" w:type="dxa"/>
          </w:tcPr>
          <w:p w:rsidR="00674BC9" w:rsidRDefault="0033290F">
            <w:pPr>
              <w:pStyle w:val="Default"/>
              <w:jc w:val="both"/>
              <w:rPr>
                <w:rFonts w:ascii="Cambria" w:eastAsia="Times New Roman" w:hAnsi="Cambria" w:cs="Times New Roman"/>
                <w:b/>
                <w:sz w:val="20"/>
                <w:szCs w:val="20"/>
                <w:lang w:val="en-GB" w:eastAsia="fr-BE"/>
              </w:rPr>
            </w:pPr>
            <w:r w:rsidRPr="0033290F">
              <w:rPr>
                <w:rFonts w:ascii="Cambria" w:hAnsi="Cambria"/>
                <w:color w:val="auto"/>
                <w:sz w:val="20"/>
                <w:szCs w:val="20"/>
              </w:rPr>
              <w:t xml:space="preserve">Specifické naplňování na národní úrovni je uvedeno v rámci Dohody o partnerství </w:t>
            </w:r>
          </w:p>
        </w:tc>
      </w:tr>
      <w:tr w:rsidR="00381F60" w:rsidRPr="00250A0D" w:rsidTr="000F2740">
        <w:tc>
          <w:tcPr>
            <w:tcW w:w="1384" w:type="dxa"/>
          </w:tcPr>
          <w:p w:rsidR="00381F60" w:rsidRPr="00250A0D" w:rsidRDefault="0033290F" w:rsidP="00C64F85">
            <w:pPr>
              <w:pStyle w:val="Tabulka"/>
              <w:jc w:val="left"/>
              <w:rPr>
                <w:rFonts w:ascii="Cambria" w:hAnsi="Cambria"/>
                <w:b/>
                <w:sz w:val="20"/>
                <w:szCs w:val="20"/>
              </w:rPr>
            </w:pPr>
            <w:r w:rsidRPr="0033290F">
              <w:rPr>
                <w:rFonts w:ascii="Cambria" w:hAnsi="Cambria"/>
                <w:b/>
                <w:sz w:val="20"/>
                <w:szCs w:val="20"/>
              </w:rPr>
              <w:t>Č. 3: Existence administrati</w:t>
            </w:r>
            <w:r w:rsidRPr="0033290F">
              <w:rPr>
                <w:rFonts w:ascii="Cambria" w:hAnsi="Cambria"/>
                <w:b/>
                <w:sz w:val="20"/>
                <w:szCs w:val="20"/>
              </w:rPr>
              <w:lastRenderedPageBreak/>
              <w:t>vní kapacity k provádění a uplatňování Úmluvy OSN o právech osob se zdravotním postižením (UNCRPD) v oblasti fondů ESI v souladu s rozhodnutím Rady 2010/48/ES</w:t>
            </w:r>
            <w:r w:rsidRPr="0033290F">
              <w:rPr>
                <w:rStyle w:val="Znakapoznpodarou"/>
                <w:rFonts w:ascii="Cambria" w:eastAsiaTheme="majorEastAsia" w:hAnsi="Cambria"/>
                <w:sz w:val="20"/>
                <w:szCs w:val="20"/>
              </w:rPr>
              <w:footnoteReference w:id="4"/>
            </w:r>
          </w:p>
          <w:p w:rsidR="00381F60" w:rsidRPr="00250A0D" w:rsidRDefault="00381F60" w:rsidP="00B66FDE">
            <w:pPr>
              <w:rPr>
                <w:sz w:val="20"/>
                <w:szCs w:val="20"/>
              </w:rPr>
            </w:pPr>
          </w:p>
        </w:tc>
        <w:tc>
          <w:tcPr>
            <w:tcW w:w="1134" w:type="dxa"/>
          </w:tcPr>
          <w:p w:rsidR="00381F60" w:rsidRPr="00250A0D" w:rsidRDefault="0033290F" w:rsidP="00B66FDE">
            <w:pPr>
              <w:spacing w:line="276" w:lineRule="auto"/>
              <w:rPr>
                <w:sz w:val="20"/>
                <w:szCs w:val="20"/>
              </w:rPr>
            </w:pPr>
            <w:r w:rsidRPr="0033290F">
              <w:rPr>
                <w:sz w:val="20"/>
                <w:szCs w:val="20"/>
              </w:rPr>
              <w:lastRenderedPageBreak/>
              <w:t>Všechny prioritní osy OP ŽP</w:t>
            </w:r>
          </w:p>
        </w:tc>
        <w:tc>
          <w:tcPr>
            <w:tcW w:w="851" w:type="dxa"/>
          </w:tcPr>
          <w:p w:rsidR="00381F60" w:rsidRPr="00250A0D" w:rsidRDefault="0033290F" w:rsidP="00C64F85">
            <w:pPr>
              <w:pStyle w:val="Tabulka"/>
              <w:jc w:val="left"/>
              <w:rPr>
                <w:rFonts w:ascii="Cambria" w:hAnsi="Cambria"/>
                <w:sz w:val="20"/>
                <w:szCs w:val="20"/>
              </w:rPr>
            </w:pPr>
            <w:r w:rsidRPr="0033290F">
              <w:rPr>
                <w:rFonts w:ascii="Cambria" w:hAnsi="Cambria"/>
                <w:sz w:val="20"/>
                <w:szCs w:val="20"/>
              </w:rPr>
              <w:t>Ano</w:t>
            </w:r>
          </w:p>
          <w:p w:rsidR="00381F60" w:rsidRPr="00250A0D" w:rsidRDefault="0033290F" w:rsidP="00B66FDE">
            <w:pPr>
              <w:rPr>
                <w:sz w:val="20"/>
                <w:szCs w:val="20"/>
              </w:rPr>
            </w:pPr>
            <w:r w:rsidRPr="0033290F">
              <w:rPr>
                <w:sz w:val="20"/>
                <w:szCs w:val="20"/>
              </w:rPr>
              <w:t xml:space="preserve">(plnění </w:t>
            </w:r>
            <w:r w:rsidRPr="0033290F">
              <w:rPr>
                <w:sz w:val="20"/>
                <w:szCs w:val="20"/>
              </w:rPr>
              <w:lastRenderedPageBreak/>
              <w:t>probíhá průběžně a bude probíhat po celé programové období 2014-2020)</w:t>
            </w:r>
          </w:p>
        </w:tc>
        <w:tc>
          <w:tcPr>
            <w:tcW w:w="1701" w:type="dxa"/>
          </w:tcPr>
          <w:p w:rsidR="00381F60" w:rsidRPr="00250A0D" w:rsidRDefault="0033290F" w:rsidP="00B66FDE">
            <w:pPr>
              <w:rPr>
                <w:sz w:val="20"/>
                <w:szCs w:val="20"/>
              </w:rPr>
            </w:pPr>
            <w:r w:rsidRPr="0033290F">
              <w:rPr>
                <w:sz w:val="20"/>
                <w:szCs w:val="20"/>
              </w:rPr>
              <w:lastRenderedPageBreak/>
              <w:t xml:space="preserve">Opatření v souladu s institucionálním </w:t>
            </w:r>
            <w:r w:rsidRPr="0033290F">
              <w:rPr>
                <w:sz w:val="20"/>
                <w:szCs w:val="20"/>
              </w:rPr>
              <w:lastRenderedPageBreak/>
              <w:t xml:space="preserve">a právním rámcem členských států pro konzultaci a zapojení subjektů odpovědných za ochranu práv zdravotně postižených osob nebo organizací je zastupujících a ostatních příslušných zúčastněných stran do přípravy a provádění </w:t>
            </w:r>
            <w:r w:rsidRPr="0033290F">
              <w:rPr>
                <w:sz w:val="20"/>
                <w:szCs w:val="20"/>
              </w:rPr>
              <w:lastRenderedPageBreak/>
              <w:t>programů;</w:t>
            </w:r>
          </w:p>
        </w:tc>
        <w:tc>
          <w:tcPr>
            <w:tcW w:w="1134" w:type="dxa"/>
          </w:tcPr>
          <w:p w:rsidR="00381F60" w:rsidRPr="00250A0D" w:rsidRDefault="0033290F" w:rsidP="00B66FDE">
            <w:pPr>
              <w:rPr>
                <w:sz w:val="20"/>
                <w:szCs w:val="20"/>
              </w:rPr>
            </w:pPr>
            <w:r w:rsidRPr="0033290F">
              <w:rPr>
                <w:sz w:val="20"/>
                <w:szCs w:val="20"/>
              </w:rPr>
              <w:lastRenderedPageBreak/>
              <w:t>Ano</w:t>
            </w:r>
          </w:p>
        </w:tc>
        <w:tc>
          <w:tcPr>
            <w:tcW w:w="2693" w:type="dxa"/>
          </w:tcPr>
          <w:p w:rsidR="00381F60" w:rsidRPr="00250A0D" w:rsidRDefault="00332B77" w:rsidP="00B66FDE">
            <w:pPr>
              <w:rPr>
                <w:sz w:val="20"/>
                <w:szCs w:val="20"/>
              </w:rPr>
            </w:pPr>
            <w:hyperlink r:id="rId25" w:history="1">
              <w:r w:rsidR="0033290F" w:rsidRPr="0033290F">
                <w:rPr>
                  <w:rStyle w:val="Hypertextovodkaz"/>
                  <w:color w:val="auto"/>
                  <w:sz w:val="20"/>
                  <w:szCs w:val="20"/>
                </w:rPr>
                <w:t>http://www.vlada.cz/cz/ppov/vvzpo/dokumenty/narodni-plan-vytvareni-rovnych-</w:t>
              </w:r>
              <w:r w:rsidR="0033290F" w:rsidRPr="0033290F">
                <w:rPr>
                  <w:rStyle w:val="Hypertextovodkaz"/>
                  <w:color w:val="auto"/>
                  <w:sz w:val="20"/>
                  <w:szCs w:val="20"/>
                </w:rPr>
                <w:lastRenderedPageBreak/>
                <w:t>prilezitosti-pro-osoby-se-zdravotnim-postizenim-na-obdobi-2010---2014-70026/</w:t>
              </w:r>
            </w:hyperlink>
          </w:p>
        </w:tc>
        <w:tc>
          <w:tcPr>
            <w:tcW w:w="5245" w:type="dxa"/>
          </w:tcPr>
          <w:p w:rsidR="00381F60" w:rsidRPr="00250A0D" w:rsidRDefault="0033290F" w:rsidP="00B66FDE">
            <w:pPr>
              <w:rPr>
                <w:sz w:val="20"/>
                <w:szCs w:val="20"/>
              </w:rPr>
            </w:pPr>
            <w:r w:rsidRPr="0033290F">
              <w:rPr>
                <w:sz w:val="20"/>
                <w:szCs w:val="20"/>
              </w:rPr>
              <w:lastRenderedPageBreak/>
              <w:t>Specifické naplňování na národní úrovni je uvedeno v rámci Dohody o partnerství.</w:t>
            </w:r>
          </w:p>
        </w:tc>
      </w:tr>
      <w:tr w:rsidR="00381F60" w:rsidRPr="00250A0D" w:rsidTr="000F2740">
        <w:tc>
          <w:tcPr>
            <w:tcW w:w="1384" w:type="dxa"/>
          </w:tcPr>
          <w:p w:rsidR="00381F60" w:rsidRPr="00250A0D" w:rsidRDefault="00381F60" w:rsidP="00B66FDE">
            <w:pPr>
              <w:rPr>
                <w:sz w:val="20"/>
                <w:szCs w:val="20"/>
              </w:rPr>
            </w:pPr>
          </w:p>
        </w:tc>
        <w:tc>
          <w:tcPr>
            <w:tcW w:w="1134" w:type="dxa"/>
          </w:tcPr>
          <w:p w:rsidR="00381F60" w:rsidRPr="00250A0D" w:rsidRDefault="00381F60" w:rsidP="00B66FDE">
            <w:pPr>
              <w:spacing w:line="276" w:lineRule="auto"/>
              <w:rPr>
                <w:sz w:val="20"/>
                <w:szCs w:val="20"/>
              </w:rPr>
            </w:pPr>
          </w:p>
        </w:tc>
        <w:tc>
          <w:tcPr>
            <w:tcW w:w="851" w:type="dxa"/>
          </w:tcPr>
          <w:p w:rsidR="00381F60" w:rsidRPr="00250A0D" w:rsidRDefault="00381F60" w:rsidP="00B66FDE">
            <w:pPr>
              <w:rPr>
                <w:sz w:val="20"/>
                <w:szCs w:val="20"/>
              </w:rPr>
            </w:pPr>
          </w:p>
        </w:tc>
        <w:tc>
          <w:tcPr>
            <w:tcW w:w="1701" w:type="dxa"/>
          </w:tcPr>
          <w:p w:rsidR="00381F60" w:rsidRPr="00250A0D" w:rsidRDefault="0033290F" w:rsidP="00B66FDE">
            <w:pPr>
              <w:rPr>
                <w:sz w:val="20"/>
                <w:szCs w:val="20"/>
              </w:rPr>
            </w:pPr>
            <w:r w:rsidRPr="0033290F">
              <w:rPr>
                <w:sz w:val="20"/>
                <w:szCs w:val="20"/>
              </w:rPr>
              <w:t xml:space="preserve">Opatření pro vzdělávání zaměstnanců orgánů zapojených do řízení a fondů ESI v oblasti práva a politik EU a členských států týkajících se zdravotně postižených osob, včetně přístupnosti a praktického uplatňování ustanovení UNCRPD </w:t>
            </w:r>
            <w:r w:rsidRPr="0033290F">
              <w:rPr>
                <w:sz w:val="20"/>
                <w:szCs w:val="20"/>
              </w:rPr>
              <w:lastRenderedPageBreak/>
              <w:t>provedených v právu Unie, případně členských států;</w:t>
            </w:r>
          </w:p>
        </w:tc>
        <w:tc>
          <w:tcPr>
            <w:tcW w:w="1134" w:type="dxa"/>
          </w:tcPr>
          <w:p w:rsidR="00381F60" w:rsidRPr="00250A0D" w:rsidRDefault="0033290F" w:rsidP="00B66FDE">
            <w:pPr>
              <w:rPr>
                <w:sz w:val="20"/>
                <w:szCs w:val="20"/>
              </w:rPr>
            </w:pPr>
            <w:r w:rsidRPr="0033290F">
              <w:rPr>
                <w:sz w:val="20"/>
                <w:szCs w:val="20"/>
              </w:rPr>
              <w:lastRenderedPageBreak/>
              <w:t>Ano</w:t>
            </w:r>
          </w:p>
        </w:tc>
        <w:tc>
          <w:tcPr>
            <w:tcW w:w="2693" w:type="dxa"/>
          </w:tcPr>
          <w:p w:rsidR="00381F60" w:rsidRPr="00250A0D" w:rsidRDefault="00332B77" w:rsidP="00B66FDE">
            <w:pPr>
              <w:rPr>
                <w:sz w:val="20"/>
                <w:szCs w:val="20"/>
              </w:rPr>
            </w:pPr>
            <w:hyperlink r:id="rId26" w:history="1">
              <w:r w:rsidR="0033290F" w:rsidRPr="0033290F">
                <w:rPr>
                  <w:rStyle w:val="Hypertextovodkaz"/>
                  <w:color w:val="auto"/>
                  <w:sz w:val="20"/>
                  <w:szCs w:val="20"/>
                </w:rPr>
                <w:t>http://www.vlada.cz/cz/ppov/vvzpo/dokumenty/zprava-o-plneni-opatreni-narodniho-planu-vytvareni-rovnych-prilezitosti-pro-osoby-se-zdravotnim-postizenim-na-obdobi-2010-2014-v-roce-2012-110987/</w:t>
              </w:r>
            </w:hyperlink>
          </w:p>
        </w:tc>
        <w:tc>
          <w:tcPr>
            <w:tcW w:w="5245" w:type="dxa"/>
          </w:tcPr>
          <w:p w:rsidR="00381F60" w:rsidRPr="00250A0D" w:rsidRDefault="0033290F" w:rsidP="00C64F85">
            <w:pPr>
              <w:pStyle w:val="Tabulka"/>
              <w:jc w:val="left"/>
              <w:rPr>
                <w:rFonts w:ascii="Cambria" w:hAnsi="Cambria"/>
                <w:sz w:val="20"/>
                <w:szCs w:val="20"/>
              </w:rPr>
            </w:pPr>
            <w:r w:rsidRPr="0033290F">
              <w:rPr>
                <w:rFonts w:ascii="Cambria" w:hAnsi="Cambria"/>
                <w:sz w:val="20"/>
                <w:szCs w:val="20"/>
              </w:rPr>
              <w:t xml:space="preserve">Specifické naplňování na národní úrovni je uvedeno v rámci Dohody o partnerství. </w:t>
            </w:r>
          </w:p>
          <w:p w:rsidR="00381F60" w:rsidRPr="00250A0D" w:rsidRDefault="00381F60" w:rsidP="00B66FDE">
            <w:pPr>
              <w:rPr>
                <w:sz w:val="20"/>
                <w:szCs w:val="20"/>
              </w:rPr>
            </w:pPr>
          </w:p>
        </w:tc>
      </w:tr>
      <w:tr w:rsidR="00381F60" w:rsidRPr="00250A0D" w:rsidTr="000F2740">
        <w:tc>
          <w:tcPr>
            <w:tcW w:w="1384" w:type="dxa"/>
          </w:tcPr>
          <w:p w:rsidR="00381F60" w:rsidRPr="00250A0D" w:rsidRDefault="00381F60" w:rsidP="00B66FDE">
            <w:pPr>
              <w:rPr>
                <w:sz w:val="20"/>
                <w:szCs w:val="20"/>
              </w:rPr>
            </w:pPr>
          </w:p>
        </w:tc>
        <w:tc>
          <w:tcPr>
            <w:tcW w:w="1134" w:type="dxa"/>
          </w:tcPr>
          <w:p w:rsidR="00381F60" w:rsidRPr="00250A0D" w:rsidRDefault="00381F60" w:rsidP="00B66FDE">
            <w:pPr>
              <w:spacing w:line="276" w:lineRule="auto"/>
              <w:rPr>
                <w:sz w:val="20"/>
                <w:szCs w:val="20"/>
              </w:rPr>
            </w:pPr>
          </w:p>
        </w:tc>
        <w:tc>
          <w:tcPr>
            <w:tcW w:w="851" w:type="dxa"/>
          </w:tcPr>
          <w:p w:rsidR="00381F60" w:rsidRPr="00250A0D" w:rsidRDefault="00381F60" w:rsidP="00B66FDE">
            <w:pPr>
              <w:rPr>
                <w:sz w:val="20"/>
                <w:szCs w:val="20"/>
              </w:rPr>
            </w:pPr>
          </w:p>
        </w:tc>
        <w:tc>
          <w:tcPr>
            <w:tcW w:w="1701" w:type="dxa"/>
          </w:tcPr>
          <w:p w:rsidR="00381F60" w:rsidRPr="00250A0D" w:rsidRDefault="0033290F" w:rsidP="00B66FDE">
            <w:pPr>
              <w:rPr>
                <w:sz w:val="20"/>
                <w:szCs w:val="20"/>
              </w:rPr>
            </w:pPr>
            <w:r w:rsidRPr="0033290F">
              <w:rPr>
                <w:sz w:val="20"/>
                <w:szCs w:val="20"/>
              </w:rPr>
              <w:t>Opatření za účelem sledování provádění článku 9 UNCRPD ve vztahu k fondům ESI v rámci přípravy a provádění programů.</w:t>
            </w:r>
          </w:p>
        </w:tc>
        <w:tc>
          <w:tcPr>
            <w:tcW w:w="1134" w:type="dxa"/>
          </w:tcPr>
          <w:p w:rsidR="00381F60" w:rsidRPr="00250A0D" w:rsidRDefault="0033290F" w:rsidP="00B66FDE">
            <w:pPr>
              <w:rPr>
                <w:sz w:val="20"/>
                <w:szCs w:val="20"/>
              </w:rPr>
            </w:pPr>
            <w:r w:rsidRPr="0033290F">
              <w:rPr>
                <w:sz w:val="20"/>
                <w:szCs w:val="20"/>
              </w:rPr>
              <w:t>ano</w:t>
            </w:r>
          </w:p>
        </w:tc>
        <w:tc>
          <w:tcPr>
            <w:tcW w:w="2693" w:type="dxa"/>
          </w:tcPr>
          <w:p w:rsidR="00381F60" w:rsidRPr="00250A0D" w:rsidRDefault="00332B77" w:rsidP="00F625C4">
            <w:pPr>
              <w:rPr>
                <w:sz w:val="20"/>
                <w:szCs w:val="20"/>
              </w:rPr>
            </w:pPr>
            <w:hyperlink r:id="rId27" w:history="1">
              <w:r w:rsidR="0033290F" w:rsidRPr="0033290F">
                <w:rPr>
                  <w:rStyle w:val="Hypertextovodkaz"/>
                  <w:color w:val="auto"/>
                  <w:sz w:val="20"/>
                  <w:szCs w:val="20"/>
                </w:rPr>
                <w:t>http://www.vlada.cz/cz/ppov/vvzpo/dokumenty/narodni-plan-vytvareni-rovnych-prilezitosti-pro-osoby-se-zdravotnim-postizenim-na-obdobi-2010---2014-70026/</w:t>
              </w:r>
            </w:hyperlink>
          </w:p>
        </w:tc>
        <w:tc>
          <w:tcPr>
            <w:tcW w:w="5245" w:type="dxa"/>
          </w:tcPr>
          <w:p w:rsidR="00381F60" w:rsidRPr="00250A0D" w:rsidRDefault="0033290F" w:rsidP="00B66FDE">
            <w:pPr>
              <w:rPr>
                <w:sz w:val="20"/>
                <w:szCs w:val="20"/>
              </w:rPr>
            </w:pPr>
            <w:r w:rsidRPr="0033290F">
              <w:rPr>
                <w:sz w:val="20"/>
                <w:szCs w:val="20"/>
              </w:rPr>
              <w:t>Specifické naplňování na národní úrovni je uvedeno v rámci Dohody o partnerství.</w:t>
            </w:r>
          </w:p>
        </w:tc>
      </w:tr>
      <w:tr w:rsidR="00381F60" w:rsidRPr="00250A0D" w:rsidTr="000F2740">
        <w:tc>
          <w:tcPr>
            <w:tcW w:w="1384" w:type="dxa"/>
          </w:tcPr>
          <w:p w:rsidR="00381F60" w:rsidRPr="00250A0D" w:rsidRDefault="0033290F" w:rsidP="00B66FDE">
            <w:pPr>
              <w:spacing w:line="276" w:lineRule="auto"/>
              <w:rPr>
                <w:sz w:val="20"/>
                <w:szCs w:val="20"/>
              </w:rPr>
            </w:pPr>
            <w:r w:rsidRPr="0033290F">
              <w:rPr>
                <w:sz w:val="20"/>
                <w:szCs w:val="20"/>
              </w:rPr>
              <w:t xml:space="preserve">Č. 4: Existence opatření pro účinné uplatňování právních předpisů </w:t>
            </w:r>
            <w:proofErr w:type="spellStart"/>
            <w:r w:rsidRPr="0033290F">
              <w:rPr>
                <w:sz w:val="20"/>
                <w:szCs w:val="20"/>
              </w:rPr>
              <w:t>Unieo</w:t>
            </w:r>
            <w:proofErr w:type="spellEnd"/>
            <w:r w:rsidRPr="0033290F">
              <w:rPr>
                <w:sz w:val="20"/>
                <w:szCs w:val="20"/>
              </w:rPr>
              <w:t xml:space="preserve"> veřejných zakázkách </w:t>
            </w:r>
            <w:r w:rsidRPr="0033290F">
              <w:rPr>
                <w:sz w:val="20"/>
                <w:szCs w:val="20"/>
              </w:rPr>
              <w:lastRenderedPageBreak/>
              <w:t xml:space="preserve">v oblasti fondů ESI  </w:t>
            </w:r>
          </w:p>
          <w:p w:rsidR="00381F60" w:rsidRPr="00250A0D" w:rsidRDefault="00381F60" w:rsidP="00B66FDE">
            <w:pPr>
              <w:spacing w:line="276" w:lineRule="auto"/>
              <w:rPr>
                <w:rFonts w:cs="Arial"/>
                <w:sz w:val="20"/>
                <w:szCs w:val="20"/>
              </w:rPr>
            </w:pPr>
          </w:p>
        </w:tc>
        <w:tc>
          <w:tcPr>
            <w:tcW w:w="1134" w:type="dxa"/>
          </w:tcPr>
          <w:p w:rsidR="00381F60" w:rsidRPr="00250A0D" w:rsidRDefault="0033290F" w:rsidP="00B66FDE">
            <w:pPr>
              <w:spacing w:line="276" w:lineRule="auto"/>
              <w:rPr>
                <w:rFonts w:cs="Arial"/>
                <w:sz w:val="20"/>
                <w:szCs w:val="20"/>
              </w:rPr>
            </w:pPr>
            <w:r w:rsidRPr="0033290F">
              <w:rPr>
                <w:sz w:val="20"/>
                <w:szCs w:val="20"/>
              </w:rPr>
              <w:lastRenderedPageBreak/>
              <w:t>všechny prioritní osy OP ŽP</w:t>
            </w:r>
          </w:p>
        </w:tc>
        <w:tc>
          <w:tcPr>
            <w:tcW w:w="851" w:type="dxa"/>
          </w:tcPr>
          <w:p w:rsidR="00381F60" w:rsidRPr="00250A0D" w:rsidRDefault="0033290F" w:rsidP="00B66FDE">
            <w:pPr>
              <w:spacing w:line="276" w:lineRule="auto"/>
              <w:rPr>
                <w:sz w:val="20"/>
                <w:szCs w:val="20"/>
              </w:rPr>
            </w:pPr>
            <w:r w:rsidRPr="0033290F">
              <w:rPr>
                <w:sz w:val="20"/>
                <w:szCs w:val="20"/>
              </w:rPr>
              <w:t>ano – (plnění probíhá průběžně a bude probíhat celé progra</w:t>
            </w:r>
            <w:r w:rsidRPr="0033290F">
              <w:rPr>
                <w:sz w:val="20"/>
                <w:szCs w:val="20"/>
              </w:rPr>
              <w:lastRenderedPageBreak/>
              <w:t xml:space="preserve">mové období 2014 - 2020 ) </w:t>
            </w:r>
          </w:p>
          <w:p w:rsidR="00381F60" w:rsidRPr="00250A0D" w:rsidRDefault="00381F60" w:rsidP="00B66FDE">
            <w:pPr>
              <w:spacing w:line="276" w:lineRule="auto"/>
              <w:rPr>
                <w:rFonts w:cs="Arial"/>
                <w:sz w:val="20"/>
                <w:szCs w:val="20"/>
              </w:rPr>
            </w:pPr>
          </w:p>
        </w:tc>
        <w:tc>
          <w:tcPr>
            <w:tcW w:w="1701" w:type="dxa"/>
          </w:tcPr>
          <w:p w:rsidR="00381F60" w:rsidRPr="00250A0D" w:rsidRDefault="0033290F" w:rsidP="00B66FDE">
            <w:pPr>
              <w:spacing w:line="276" w:lineRule="auto"/>
              <w:rPr>
                <w:sz w:val="20"/>
                <w:szCs w:val="20"/>
              </w:rPr>
            </w:pPr>
            <w:r w:rsidRPr="0033290F">
              <w:rPr>
                <w:sz w:val="20"/>
                <w:szCs w:val="20"/>
              </w:rPr>
              <w:lastRenderedPageBreak/>
              <w:t xml:space="preserve">Opatření pro účinné uplatňování předpisů </w:t>
            </w:r>
            <w:proofErr w:type="gramStart"/>
            <w:r w:rsidRPr="0033290F">
              <w:rPr>
                <w:sz w:val="20"/>
                <w:szCs w:val="20"/>
              </w:rPr>
              <w:t>Unie o  veřejných</w:t>
            </w:r>
            <w:proofErr w:type="gramEnd"/>
            <w:r w:rsidRPr="0033290F">
              <w:rPr>
                <w:sz w:val="20"/>
                <w:szCs w:val="20"/>
              </w:rPr>
              <w:t xml:space="preserve"> zakázkách prostřednictvím odpovídajících mechanismů. </w:t>
            </w:r>
          </w:p>
          <w:p w:rsidR="00381F60" w:rsidRPr="00250A0D" w:rsidRDefault="00381F60" w:rsidP="00B66FDE">
            <w:pPr>
              <w:spacing w:line="276" w:lineRule="auto"/>
              <w:rPr>
                <w:rFonts w:cs="Arial"/>
                <w:sz w:val="20"/>
                <w:szCs w:val="20"/>
              </w:rPr>
            </w:pPr>
          </w:p>
        </w:tc>
        <w:tc>
          <w:tcPr>
            <w:tcW w:w="1134" w:type="dxa"/>
          </w:tcPr>
          <w:p w:rsidR="00381F60" w:rsidRPr="00250A0D" w:rsidRDefault="0033290F" w:rsidP="00B66FDE">
            <w:pPr>
              <w:spacing w:line="276" w:lineRule="auto"/>
              <w:rPr>
                <w:sz w:val="20"/>
                <w:szCs w:val="20"/>
              </w:rPr>
            </w:pPr>
            <w:r w:rsidRPr="0033290F">
              <w:rPr>
                <w:sz w:val="20"/>
                <w:szCs w:val="20"/>
              </w:rPr>
              <w:lastRenderedPageBreak/>
              <w:t xml:space="preserve">ano </w:t>
            </w:r>
          </w:p>
          <w:p w:rsidR="00381F60" w:rsidRPr="00250A0D" w:rsidRDefault="00381F60" w:rsidP="00B66FDE">
            <w:pPr>
              <w:spacing w:line="276" w:lineRule="auto"/>
              <w:rPr>
                <w:rFonts w:cs="Arial"/>
                <w:sz w:val="20"/>
                <w:szCs w:val="20"/>
              </w:rPr>
            </w:pPr>
          </w:p>
        </w:tc>
        <w:tc>
          <w:tcPr>
            <w:tcW w:w="2693" w:type="dxa"/>
          </w:tcPr>
          <w:p w:rsidR="00381F60" w:rsidRPr="00250A0D" w:rsidRDefault="00332B77" w:rsidP="00B66FDE">
            <w:pPr>
              <w:spacing w:line="276" w:lineRule="auto"/>
              <w:rPr>
                <w:sz w:val="20"/>
                <w:szCs w:val="20"/>
              </w:rPr>
            </w:pPr>
            <w:hyperlink r:id="rId28" w:history="1">
              <w:r w:rsidR="0033290F" w:rsidRPr="0033290F">
                <w:rPr>
                  <w:rStyle w:val="Hypertextovodkaz"/>
                  <w:color w:val="auto"/>
                  <w:sz w:val="20"/>
                  <w:szCs w:val="20"/>
                </w:rPr>
                <w:t>http://www.portal-vz.cz/cs/Jak-na-zadavani-verejnych-zakazek/Legislativa-a-Judikatura/Legislativa/Narodni-legislativa-aktualni-a-uplne-zneni-z-(1)</w:t>
              </w:r>
            </w:hyperlink>
            <w:r w:rsidR="0033290F" w:rsidRPr="0033290F">
              <w:rPr>
                <w:sz w:val="20"/>
                <w:szCs w:val="20"/>
              </w:rPr>
              <w:t xml:space="preserve">  </w:t>
            </w:r>
          </w:p>
          <w:p w:rsidR="00381F60" w:rsidRPr="00250A0D" w:rsidRDefault="00332B77" w:rsidP="00B66FDE">
            <w:pPr>
              <w:spacing w:line="276" w:lineRule="auto"/>
              <w:rPr>
                <w:sz w:val="20"/>
                <w:szCs w:val="20"/>
              </w:rPr>
            </w:pPr>
            <w:hyperlink r:id="rId29" w:history="1">
              <w:r w:rsidR="0033290F" w:rsidRPr="0033290F">
                <w:rPr>
                  <w:rStyle w:val="Hypertextovodkaz"/>
                  <w:color w:val="auto"/>
                  <w:sz w:val="20"/>
                  <w:szCs w:val="20"/>
                </w:rPr>
                <w:t>http://www.portal-vz.cz/cs/Jak-na-zadavani-</w:t>
              </w:r>
              <w:r w:rsidR="0033290F" w:rsidRPr="0033290F">
                <w:rPr>
                  <w:rStyle w:val="Hypertextovodkaz"/>
                  <w:color w:val="auto"/>
                  <w:sz w:val="20"/>
                  <w:szCs w:val="20"/>
                </w:rPr>
                <w:lastRenderedPageBreak/>
                <w:t>verejnych-zakazek/Metodiky-stanoviska</w:t>
              </w:r>
            </w:hyperlink>
            <w:r w:rsidR="0033290F" w:rsidRPr="0033290F">
              <w:rPr>
                <w:sz w:val="20"/>
                <w:szCs w:val="20"/>
              </w:rPr>
              <w:t xml:space="preserve">  </w:t>
            </w:r>
          </w:p>
          <w:p w:rsidR="00381F60" w:rsidRPr="00250A0D" w:rsidRDefault="0033290F" w:rsidP="000717A3">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http://www.portal-vz.cz/cs/Jak-na-zadavani-verejnych-zakazek/Metodiky-stanoviska/Stanoviska/Stanoviska-expertni-skupiny-MMR-k-ZVZ </w:t>
            </w:r>
          </w:p>
          <w:p w:rsidR="00381F60" w:rsidRPr="00250A0D" w:rsidRDefault="0033290F" w:rsidP="000717A3">
            <w:pPr>
              <w:spacing w:line="276" w:lineRule="auto"/>
              <w:rPr>
                <w:sz w:val="20"/>
                <w:szCs w:val="20"/>
              </w:rPr>
            </w:pPr>
            <w:r w:rsidRPr="0033290F">
              <w:rPr>
                <w:sz w:val="20"/>
                <w:szCs w:val="20"/>
              </w:rPr>
              <w:t xml:space="preserve">http://www.portal-vz.cz/cs/Aktuality </w:t>
            </w:r>
          </w:p>
          <w:p w:rsidR="00381F60" w:rsidRPr="00250A0D" w:rsidRDefault="00332B77" w:rsidP="00B66FDE">
            <w:pPr>
              <w:spacing w:line="276" w:lineRule="auto"/>
              <w:rPr>
                <w:sz w:val="20"/>
                <w:szCs w:val="20"/>
              </w:rPr>
            </w:pPr>
            <w:hyperlink r:id="rId30" w:history="1">
              <w:r w:rsidR="0033290F" w:rsidRPr="0033290F">
                <w:rPr>
                  <w:rStyle w:val="Hypertextovodkaz"/>
                  <w:color w:val="auto"/>
                  <w:sz w:val="20"/>
                  <w:szCs w:val="20"/>
                </w:rPr>
                <w:t>http://www.strukturalni-fondy.cz/cs/Fondy-EU/Narodni-organ-pro-koordinaci/Dokumenty</w:t>
              </w:r>
            </w:hyperlink>
            <w:r w:rsidR="0033290F" w:rsidRPr="0033290F">
              <w:rPr>
                <w:sz w:val="20"/>
                <w:szCs w:val="20"/>
              </w:rPr>
              <w:t xml:space="preserve">  </w:t>
            </w:r>
          </w:p>
          <w:p w:rsidR="00674BC9" w:rsidRDefault="0033290F">
            <w:pPr>
              <w:pStyle w:val="Default"/>
              <w:spacing w:afterAutospacing="1"/>
              <w:jc w:val="both"/>
              <w:rPr>
                <w:sz w:val="20"/>
                <w:szCs w:val="20"/>
              </w:rPr>
            </w:pPr>
            <w:r w:rsidRPr="0033290F">
              <w:rPr>
                <w:rFonts w:ascii="Cambria" w:hAnsi="Cambria"/>
                <w:b/>
                <w:color w:val="auto"/>
                <w:sz w:val="20"/>
                <w:szCs w:val="20"/>
              </w:rPr>
              <w:t>Podrobnější specifikace v  příloze č. 8.</w:t>
            </w:r>
          </w:p>
        </w:tc>
        <w:tc>
          <w:tcPr>
            <w:tcW w:w="5245" w:type="dxa"/>
          </w:tcPr>
          <w:p w:rsidR="00154E58" w:rsidRPr="00250A0D" w:rsidRDefault="0033290F" w:rsidP="00B66FDE">
            <w:pPr>
              <w:spacing w:line="276" w:lineRule="auto"/>
              <w:rPr>
                <w:sz w:val="20"/>
                <w:szCs w:val="20"/>
              </w:rPr>
            </w:pPr>
            <w:r w:rsidRPr="0033290F">
              <w:rPr>
                <w:sz w:val="20"/>
                <w:szCs w:val="20"/>
              </w:rPr>
              <w:lastRenderedPageBreak/>
              <w:t xml:space="preserve">Specifické naplňování na národní úrovni je uvedeno v rámci Dohody o partnerství </w:t>
            </w:r>
          </w:p>
          <w:p w:rsidR="00154E58" w:rsidRPr="00250A0D" w:rsidRDefault="0033290F" w:rsidP="00154E58">
            <w:pPr>
              <w:spacing w:line="276" w:lineRule="auto"/>
              <w:rPr>
                <w:sz w:val="20"/>
                <w:szCs w:val="20"/>
              </w:rPr>
            </w:pPr>
            <w:r w:rsidRPr="0033290F">
              <w:rPr>
                <w:sz w:val="20"/>
                <w:szCs w:val="20"/>
              </w:rPr>
              <w:t xml:space="preserve">Doplnění ze strany OP ŽP: </w:t>
            </w:r>
          </w:p>
          <w:p w:rsidR="00154E58" w:rsidRPr="00250A0D" w:rsidRDefault="0033290F" w:rsidP="00154E58">
            <w:pPr>
              <w:spacing w:line="276" w:lineRule="auto"/>
              <w:rPr>
                <w:sz w:val="20"/>
                <w:szCs w:val="20"/>
              </w:rPr>
            </w:pPr>
            <w:r w:rsidRPr="0033290F">
              <w:rPr>
                <w:sz w:val="20"/>
                <w:szCs w:val="20"/>
              </w:rPr>
              <w:t xml:space="preserve">Relevantním poskytovatelem dotací OP ŽP 2014-2020 je MŽP. Provádí ex-ante a jiné kontroly zadávacích řízení k veřejným zakázkám dle </w:t>
            </w:r>
            <w:r w:rsidRPr="0033290F">
              <w:rPr>
                <w:bCs/>
                <w:sz w:val="20"/>
                <w:szCs w:val="20"/>
              </w:rPr>
              <w:t>§</w:t>
            </w:r>
            <w:r w:rsidRPr="0033290F">
              <w:rPr>
                <w:sz w:val="20"/>
                <w:szCs w:val="20"/>
              </w:rPr>
              <w:t xml:space="preserve"> 7 zákona č. 137/2006 Sb., o veřejných zakázkách, ve znění pozdějších předpisů, a dále kontroly zadávacích řízení k zakázkám, které nejsou </w:t>
            </w:r>
            <w:r w:rsidRPr="0033290F">
              <w:rPr>
                <w:sz w:val="20"/>
                <w:szCs w:val="20"/>
              </w:rPr>
              <w:lastRenderedPageBreak/>
              <w:t xml:space="preserve">zadávány podle ZVZ (viz „Metodickém pokynu pro oblast zadávání zakázek pro programové období 2014-2020). </w:t>
            </w:r>
          </w:p>
          <w:p w:rsidR="00154E58" w:rsidRPr="00250A0D" w:rsidRDefault="0033290F" w:rsidP="00154E58">
            <w:pPr>
              <w:spacing w:line="276" w:lineRule="auto"/>
              <w:rPr>
                <w:sz w:val="20"/>
                <w:szCs w:val="20"/>
              </w:rPr>
            </w:pPr>
            <w:r w:rsidRPr="0033290F">
              <w:rPr>
                <w:sz w:val="20"/>
                <w:szCs w:val="20"/>
              </w:rPr>
              <w:t xml:space="preserve">Prostřednictvím řídicí dokumentace programu jsou pravidla pro zadávání veřejných zakázek poskytnuta žadatelům/příjemcům a příjemci jsou zavázáni k tomu, aby uplatňovali principy veřejného zadávání i na zakázky s nižší předpokládanou hodnotou. </w:t>
            </w:r>
          </w:p>
          <w:p w:rsidR="00154E58" w:rsidRPr="00250A0D" w:rsidRDefault="0033290F" w:rsidP="00154E58">
            <w:pPr>
              <w:spacing w:line="276" w:lineRule="auto"/>
              <w:rPr>
                <w:sz w:val="20"/>
                <w:szCs w:val="20"/>
              </w:rPr>
            </w:pPr>
            <w:r w:rsidRPr="0033290F">
              <w:rPr>
                <w:sz w:val="20"/>
                <w:szCs w:val="20"/>
              </w:rPr>
              <w:t>V monitorovacím systému jsou všechny zakázky v rámci projektů evidovány, příjemci jsou v průběhu realizace projektu povinni předložit auditní stopu k zadávacím řízením. V případě identifikace pochybení jsou aplikovány finanční opravy.</w:t>
            </w:r>
          </w:p>
          <w:p w:rsidR="00381F60" w:rsidRPr="00250A0D" w:rsidRDefault="0033290F" w:rsidP="00015FCC">
            <w:pPr>
              <w:spacing w:line="276" w:lineRule="auto"/>
              <w:rPr>
                <w:sz w:val="20"/>
                <w:szCs w:val="20"/>
              </w:rPr>
            </w:pPr>
            <w:r w:rsidRPr="0033290F">
              <w:rPr>
                <w:b/>
                <w:sz w:val="20"/>
                <w:szCs w:val="20"/>
              </w:rPr>
              <w:t xml:space="preserve">Podrobnější specifikace v  příloze č. 8. </w:t>
            </w:r>
          </w:p>
        </w:tc>
      </w:tr>
      <w:tr w:rsidR="00381F60" w:rsidRPr="00250A0D" w:rsidTr="000F2740">
        <w:tc>
          <w:tcPr>
            <w:tcW w:w="1384" w:type="dxa"/>
          </w:tcPr>
          <w:p w:rsidR="00381F60" w:rsidRPr="00250A0D" w:rsidRDefault="00381F60" w:rsidP="00B66FDE">
            <w:pPr>
              <w:spacing w:line="276" w:lineRule="auto"/>
              <w:rPr>
                <w:rFonts w:cs="Arial"/>
                <w:sz w:val="20"/>
                <w:szCs w:val="20"/>
              </w:rPr>
            </w:pPr>
          </w:p>
        </w:tc>
        <w:tc>
          <w:tcPr>
            <w:tcW w:w="1134" w:type="dxa"/>
          </w:tcPr>
          <w:p w:rsidR="00381F60" w:rsidRPr="00250A0D" w:rsidRDefault="00381F60" w:rsidP="00B66FDE">
            <w:pPr>
              <w:spacing w:line="276" w:lineRule="auto"/>
              <w:rPr>
                <w:rFonts w:cs="Arial"/>
                <w:sz w:val="20"/>
                <w:szCs w:val="20"/>
              </w:rPr>
            </w:pPr>
          </w:p>
        </w:tc>
        <w:tc>
          <w:tcPr>
            <w:tcW w:w="851" w:type="dxa"/>
          </w:tcPr>
          <w:p w:rsidR="00381F60" w:rsidRPr="00250A0D" w:rsidRDefault="00381F60" w:rsidP="00B66FDE">
            <w:pPr>
              <w:spacing w:line="276" w:lineRule="auto"/>
              <w:rPr>
                <w:rFonts w:cs="Arial"/>
                <w:sz w:val="20"/>
                <w:szCs w:val="20"/>
              </w:rPr>
            </w:pPr>
          </w:p>
        </w:tc>
        <w:tc>
          <w:tcPr>
            <w:tcW w:w="1701" w:type="dxa"/>
          </w:tcPr>
          <w:p w:rsidR="00381F60" w:rsidRPr="00250A0D" w:rsidRDefault="0033290F" w:rsidP="00B66FDE">
            <w:pPr>
              <w:spacing w:line="276" w:lineRule="auto"/>
              <w:rPr>
                <w:sz w:val="20"/>
                <w:szCs w:val="20"/>
              </w:rPr>
            </w:pPr>
            <w:r w:rsidRPr="0033290F">
              <w:rPr>
                <w:sz w:val="20"/>
                <w:szCs w:val="20"/>
              </w:rPr>
              <w:t xml:space="preserve">Opatření, jež zajišťují </w:t>
            </w:r>
            <w:r w:rsidRPr="0033290F">
              <w:rPr>
                <w:sz w:val="20"/>
                <w:szCs w:val="20"/>
              </w:rPr>
              <w:lastRenderedPageBreak/>
              <w:t xml:space="preserve">transparentní postupy zadávání veřejných zakázek. </w:t>
            </w:r>
          </w:p>
          <w:p w:rsidR="00381F60" w:rsidRPr="00250A0D" w:rsidRDefault="00381F60" w:rsidP="00B66FDE">
            <w:pPr>
              <w:spacing w:line="276" w:lineRule="auto"/>
              <w:rPr>
                <w:rFonts w:cs="Arial"/>
                <w:sz w:val="20"/>
                <w:szCs w:val="20"/>
              </w:rPr>
            </w:pPr>
          </w:p>
        </w:tc>
        <w:tc>
          <w:tcPr>
            <w:tcW w:w="1134" w:type="dxa"/>
          </w:tcPr>
          <w:p w:rsidR="00381F60" w:rsidRPr="00250A0D" w:rsidRDefault="0033290F" w:rsidP="00B66FDE">
            <w:pPr>
              <w:spacing w:line="276" w:lineRule="auto"/>
              <w:rPr>
                <w:sz w:val="20"/>
                <w:szCs w:val="20"/>
              </w:rPr>
            </w:pPr>
            <w:r w:rsidRPr="0033290F">
              <w:rPr>
                <w:sz w:val="20"/>
                <w:szCs w:val="20"/>
              </w:rPr>
              <w:lastRenderedPageBreak/>
              <w:t xml:space="preserve">Ano </w:t>
            </w:r>
          </w:p>
          <w:p w:rsidR="00381F60" w:rsidRPr="00250A0D" w:rsidRDefault="00381F60" w:rsidP="00B66FDE">
            <w:pPr>
              <w:spacing w:line="276" w:lineRule="auto"/>
              <w:rPr>
                <w:rFonts w:cs="Arial"/>
                <w:sz w:val="20"/>
                <w:szCs w:val="20"/>
              </w:rPr>
            </w:pPr>
          </w:p>
        </w:tc>
        <w:tc>
          <w:tcPr>
            <w:tcW w:w="2693" w:type="dxa"/>
          </w:tcPr>
          <w:p w:rsidR="00381F60" w:rsidRPr="00250A0D" w:rsidRDefault="00332B77" w:rsidP="00B66FDE">
            <w:pPr>
              <w:spacing w:line="276" w:lineRule="auto"/>
              <w:rPr>
                <w:sz w:val="20"/>
                <w:szCs w:val="20"/>
              </w:rPr>
            </w:pPr>
            <w:hyperlink r:id="rId31" w:history="1">
              <w:r w:rsidR="00227804">
                <w:rPr>
                  <w:rStyle w:val="Hypertextovodkaz"/>
                  <w:color w:val="auto"/>
                  <w:sz w:val="20"/>
                  <w:szCs w:val="20"/>
                </w:rPr>
                <w:t>http://www.portal-vz.cz/cs/Jak-na-zadavani-</w:t>
              </w:r>
              <w:r w:rsidR="00227804">
                <w:rPr>
                  <w:rStyle w:val="Hypertextovodkaz"/>
                  <w:color w:val="auto"/>
                  <w:sz w:val="20"/>
                  <w:szCs w:val="20"/>
                </w:rPr>
                <w:lastRenderedPageBreak/>
                <w:t>verejnych-zakazek/Legislativa-a-Judikatura/Legislativa/Narodni-legislativa-aktualni-a-uplne-zneni-z-(1)</w:t>
              </w:r>
            </w:hyperlink>
            <w:r w:rsidR="00381F60" w:rsidRPr="00250A0D">
              <w:rPr>
                <w:rStyle w:val="Hypertextovodkaz"/>
                <w:color w:val="auto"/>
                <w:sz w:val="20"/>
                <w:szCs w:val="20"/>
              </w:rPr>
              <w:t xml:space="preserve"> </w:t>
            </w:r>
          </w:p>
          <w:p w:rsidR="00381F60" w:rsidRPr="00250A0D" w:rsidRDefault="00332B77" w:rsidP="00B66FDE">
            <w:pPr>
              <w:spacing w:line="276" w:lineRule="auto"/>
              <w:rPr>
                <w:sz w:val="20"/>
                <w:szCs w:val="20"/>
              </w:rPr>
            </w:pPr>
            <w:hyperlink r:id="rId32" w:history="1">
              <w:r w:rsidR="0033290F" w:rsidRPr="0033290F">
                <w:rPr>
                  <w:rStyle w:val="Hypertextovodkaz"/>
                  <w:color w:val="auto"/>
                  <w:sz w:val="20"/>
                  <w:szCs w:val="20"/>
                </w:rPr>
                <w:t>http://www.portal-vz.cz/cs/Jak-na-zadavani-verejnych-zakazek/Metodiky-stanoviska/Metodicke-pokyny</w:t>
              </w:r>
            </w:hyperlink>
          </w:p>
          <w:p w:rsidR="00381F60" w:rsidRPr="00250A0D" w:rsidRDefault="00332B77" w:rsidP="00B66FDE">
            <w:pPr>
              <w:spacing w:line="276" w:lineRule="auto"/>
              <w:rPr>
                <w:sz w:val="20"/>
                <w:szCs w:val="20"/>
              </w:rPr>
            </w:pPr>
            <w:hyperlink r:id="rId33" w:history="1">
              <w:r w:rsidR="00227804">
                <w:rPr>
                  <w:rStyle w:val="Hypertextovodkaz"/>
                  <w:color w:val="auto"/>
                  <w:sz w:val="20"/>
                  <w:szCs w:val="20"/>
                </w:rPr>
                <w:t>http://www.vestnikverejnychzakazek.cz/</w:t>
              </w:r>
            </w:hyperlink>
          </w:p>
          <w:p w:rsidR="00381F60" w:rsidRPr="00250A0D" w:rsidRDefault="00332B77" w:rsidP="00B66FDE">
            <w:pPr>
              <w:spacing w:line="276" w:lineRule="auto"/>
              <w:rPr>
                <w:sz w:val="20"/>
                <w:szCs w:val="20"/>
              </w:rPr>
            </w:pPr>
            <w:hyperlink r:id="rId34" w:history="1">
              <w:r w:rsidR="00227804">
                <w:rPr>
                  <w:rStyle w:val="Hypertextovodkaz"/>
                  <w:color w:val="auto"/>
                  <w:sz w:val="20"/>
                  <w:szCs w:val="20"/>
                </w:rPr>
                <w:t>http://www.portal-vz.cz/cs/Aktuality/Informace-k-postupu-pri-uverejnovani-v-souvislosti</w:t>
              </w:r>
            </w:hyperlink>
          </w:p>
        </w:tc>
        <w:tc>
          <w:tcPr>
            <w:tcW w:w="5245" w:type="dxa"/>
          </w:tcPr>
          <w:p w:rsidR="00BA5541" w:rsidRPr="00250A0D" w:rsidRDefault="0033290F" w:rsidP="00B66FDE">
            <w:pPr>
              <w:spacing w:line="276" w:lineRule="auto"/>
              <w:rPr>
                <w:sz w:val="20"/>
                <w:szCs w:val="20"/>
              </w:rPr>
            </w:pPr>
            <w:r w:rsidRPr="0033290F">
              <w:rPr>
                <w:sz w:val="20"/>
                <w:szCs w:val="20"/>
              </w:rPr>
              <w:lastRenderedPageBreak/>
              <w:t xml:space="preserve">Specifické naplňování na národní úrovni je uvedeno v </w:t>
            </w:r>
            <w:r w:rsidRPr="0033290F">
              <w:rPr>
                <w:sz w:val="20"/>
                <w:szCs w:val="20"/>
              </w:rPr>
              <w:lastRenderedPageBreak/>
              <w:t>rámci Dohody o partnerství</w:t>
            </w:r>
            <w:r w:rsidR="00BA5541" w:rsidRPr="00250A0D">
              <w:rPr>
                <w:sz w:val="20"/>
                <w:szCs w:val="20"/>
              </w:rPr>
              <w:t>.</w:t>
            </w:r>
          </w:p>
          <w:p w:rsidR="00BA5541" w:rsidRPr="00250A0D" w:rsidRDefault="0033290F" w:rsidP="00BA5541">
            <w:pPr>
              <w:spacing w:line="276" w:lineRule="auto"/>
              <w:rPr>
                <w:sz w:val="20"/>
                <w:szCs w:val="20"/>
              </w:rPr>
            </w:pPr>
            <w:r w:rsidRPr="0033290F">
              <w:rPr>
                <w:sz w:val="20"/>
                <w:szCs w:val="20"/>
              </w:rPr>
              <w:t xml:space="preserve">Doplnění ze strany OP ŽP: </w:t>
            </w:r>
          </w:p>
          <w:p w:rsidR="00BA5541" w:rsidRPr="00250A0D" w:rsidRDefault="0033290F" w:rsidP="00BA5541">
            <w:pPr>
              <w:spacing w:line="276" w:lineRule="auto"/>
              <w:rPr>
                <w:sz w:val="20"/>
                <w:szCs w:val="20"/>
              </w:rPr>
            </w:pPr>
            <w:r w:rsidRPr="0033290F">
              <w:rPr>
                <w:sz w:val="20"/>
                <w:szCs w:val="20"/>
              </w:rPr>
              <w:t>Žadatelům/příjemcům jsou pravidla pro zadávání veřejných zakázek k dispozici prostřednictvím webových stránek programu. V průběhu realizace projektů zástupci ŘO a ZS průběžně komunikují s příjemcem dotace ohledně zadávacích řízení a taktéž provádí ex-ante a průběžnou kontrolu těchto řízení.</w:t>
            </w:r>
          </w:p>
          <w:p w:rsidR="00BA5541" w:rsidRPr="00250A0D" w:rsidRDefault="0033290F" w:rsidP="00BA5541">
            <w:pPr>
              <w:spacing w:line="276" w:lineRule="auto"/>
              <w:rPr>
                <w:sz w:val="20"/>
                <w:szCs w:val="20"/>
              </w:rPr>
            </w:pPr>
            <w:r w:rsidRPr="0033290F">
              <w:rPr>
                <w:sz w:val="20"/>
                <w:szCs w:val="20"/>
              </w:rPr>
              <w:t xml:space="preserve">Příjemci podpory současně musí zveřejňovat všechna zadávací řízení nad určitou hodnotu mimo režim zákona a všechna zjednodušená podlimitní řízení na webových stránkách operačního programu. </w:t>
            </w:r>
          </w:p>
          <w:p w:rsidR="00BA5541" w:rsidRPr="00250A0D" w:rsidRDefault="0033290F" w:rsidP="00BA5541">
            <w:pPr>
              <w:spacing w:line="276" w:lineRule="auto"/>
              <w:rPr>
                <w:sz w:val="20"/>
                <w:szCs w:val="20"/>
              </w:rPr>
            </w:pPr>
            <w:proofErr w:type="spellStart"/>
            <w:r w:rsidRPr="0033290F">
              <w:rPr>
                <w:sz w:val="20"/>
                <w:szCs w:val="20"/>
              </w:rPr>
              <w:t>Uveřejňovací</w:t>
            </w:r>
            <w:proofErr w:type="spellEnd"/>
            <w:r w:rsidRPr="0033290F">
              <w:rPr>
                <w:sz w:val="20"/>
                <w:szCs w:val="20"/>
              </w:rPr>
              <w:t xml:space="preserve"> povinnosti vztahující se k zakázkám zadávaným v rámci projektů spolufinancovaných z </w:t>
            </w:r>
            <w:proofErr w:type="gramStart"/>
            <w:r w:rsidRPr="0033290F">
              <w:rPr>
                <w:sz w:val="20"/>
                <w:szCs w:val="20"/>
              </w:rPr>
              <w:t>OP</w:t>
            </w:r>
            <w:proofErr w:type="gramEnd"/>
            <w:r w:rsidRPr="0033290F">
              <w:rPr>
                <w:sz w:val="20"/>
                <w:szCs w:val="20"/>
              </w:rPr>
              <w:t xml:space="preserve"> ŽP 2014-2020 se budou řídit mimo jiné pravidly obsaženými v Metodickém pokynu pro oblast zadávání zakázek pro programové období 2014-2020 (usnesení vlády ČR ze dne 15. ledna 2014 č. 44), který je uveřejněn na portálu </w:t>
            </w:r>
            <w:r w:rsidRPr="0033290F">
              <w:rPr>
                <w:sz w:val="20"/>
                <w:szCs w:val="20"/>
              </w:rPr>
              <w:lastRenderedPageBreak/>
              <w:t>MMR Strukturální fondy.</w:t>
            </w:r>
          </w:p>
          <w:p w:rsidR="00381F60" w:rsidRPr="00250A0D" w:rsidRDefault="0033290F" w:rsidP="00B66FDE">
            <w:pPr>
              <w:spacing w:line="276" w:lineRule="auto"/>
              <w:rPr>
                <w:sz w:val="20"/>
                <w:szCs w:val="20"/>
              </w:rPr>
            </w:pPr>
            <w:r w:rsidRPr="0033290F">
              <w:rPr>
                <w:b/>
                <w:sz w:val="20"/>
                <w:szCs w:val="20"/>
              </w:rPr>
              <w:t>Podrobnější specifikace v  příloze č. 8.</w:t>
            </w:r>
            <w:r w:rsidRPr="0033290F">
              <w:rPr>
                <w:sz w:val="20"/>
                <w:szCs w:val="20"/>
              </w:rPr>
              <w:t xml:space="preserve"> </w:t>
            </w:r>
          </w:p>
        </w:tc>
      </w:tr>
      <w:tr w:rsidR="00381F60" w:rsidRPr="00250A0D" w:rsidTr="000F2740">
        <w:tc>
          <w:tcPr>
            <w:tcW w:w="1384" w:type="dxa"/>
          </w:tcPr>
          <w:p w:rsidR="00381F60" w:rsidRPr="00250A0D" w:rsidRDefault="00381F60" w:rsidP="00B66FDE">
            <w:pPr>
              <w:spacing w:line="276" w:lineRule="auto"/>
              <w:rPr>
                <w:rFonts w:cs="Arial"/>
                <w:sz w:val="20"/>
                <w:szCs w:val="20"/>
              </w:rPr>
            </w:pPr>
          </w:p>
        </w:tc>
        <w:tc>
          <w:tcPr>
            <w:tcW w:w="1134" w:type="dxa"/>
          </w:tcPr>
          <w:p w:rsidR="00381F60" w:rsidRPr="00250A0D" w:rsidRDefault="00381F60" w:rsidP="00B66FDE">
            <w:pPr>
              <w:spacing w:line="276" w:lineRule="auto"/>
              <w:rPr>
                <w:rFonts w:cs="Arial"/>
                <w:sz w:val="20"/>
                <w:szCs w:val="20"/>
              </w:rPr>
            </w:pPr>
          </w:p>
        </w:tc>
        <w:tc>
          <w:tcPr>
            <w:tcW w:w="851" w:type="dxa"/>
          </w:tcPr>
          <w:p w:rsidR="00381F60" w:rsidRPr="00250A0D" w:rsidRDefault="00381F60" w:rsidP="00B66FDE">
            <w:pPr>
              <w:spacing w:line="276" w:lineRule="auto"/>
              <w:rPr>
                <w:rFonts w:cs="Arial"/>
                <w:sz w:val="20"/>
                <w:szCs w:val="20"/>
              </w:rPr>
            </w:pPr>
          </w:p>
        </w:tc>
        <w:tc>
          <w:tcPr>
            <w:tcW w:w="1701" w:type="dxa"/>
          </w:tcPr>
          <w:p w:rsidR="00381F60" w:rsidRPr="00250A0D" w:rsidRDefault="0033290F" w:rsidP="00B66FDE">
            <w:pPr>
              <w:spacing w:line="276" w:lineRule="auto"/>
              <w:rPr>
                <w:sz w:val="20"/>
                <w:szCs w:val="20"/>
              </w:rPr>
            </w:pPr>
            <w:r w:rsidRPr="0033290F">
              <w:rPr>
                <w:sz w:val="20"/>
                <w:szCs w:val="20"/>
              </w:rPr>
              <w:t xml:space="preserve">Opatření pro odbornou přípravu a šíření informací pro zaměstnance podílející se na provádění fondů ESI. </w:t>
            </w:r>
          </w:p>
          <w:p w:rsidR="00381F60" w:rsidRPr="00250A0D" w:rsidRDefault="00381F60" w:rsidP="00B66FDE">
            <w:pPr>
              <w:spacing w:line="276" w:lineRule="auto"/>
              <w:rPr>
                <w:rFonts w:cs="Arial"/>
                <w:sz w:val="20"/>
                <w:szCs w:val="20"/>
              </w:rPr>
            </w:pPr>
          </w:p>
        </w:tc>
        <w:tc>
          <w:tcPr>
            <w:tcW w:w="1134" w:type="dxa"/>
          </w:tcPr>
          <w:p w:rsidR="00381F60" w:rsidRPr="00250A0D" w:rsidRDefault="0033290F" w:rsidP="00B66FDE">
            <w:pPr>
              <w:spacing w:line="276" w:lineRule="auto"/>
              <w:rPr>
                <w:sz w:val="20"/>
                <w:szCs w:val="20"/>
              </w:rPr>
            </w:pPr>
            <w:r w:rsidRPr="0033290F">
              <w:rPr>
                <w:sz w:val="20"/>
                <w:szCs w:val="20"/>
              </w:rPr>
              <w:t xml:space="preserve">ano </w:t>
            </w:r>
          </w:p>
          <w:p w:rsidR="00381F60" w:rsidRPr="00250A0D" w:rsidRDefault="00381F60" w:rsidP="00B66FDE">
            <w:pPr>
              <w:spacing w:line="276" w:lineRule="auto"/>
              <w:rPr>
                <w:rFonts w:cs="Arial"/>
                <w:sz w:val="20"/>
                <w:szCs w:val="20"/>
              </w:rPr>
            </w:pPr>
          </w:p>
        </w:tc>
        <w:tc>
          <w:tcPr>
            <w:tcW w:w="2693" w:type="dxa"/>
          </w:tcPr>
          <w:p w:rsidR="00381F60" w:rsidRPr="00250A0D" w:rsidRDefault="0033290F" w:rsidP="00B66FDE">
            <w:pPr>
              <w:spacing w:line="276" w:lineRule="auto"/>
              <w:rPr>
                <w:sz w:val="20"/>
                <w:szCs w:val="20"/>
              </w:rPr>
            </w:pPr>
            <w:r w:rsidRPr="0033290F">
              <w:rPr>
                <w:sz w:val="20"/>
                <w:szCs w:val="20"/>
              </w:rPr>
              <w:t xml:space="preserve">http://www.portal-vz.cz/cs/Spoluprace-a-vymena-informaci/Info-forum/Otazky-a-odpovedi </w:t>
            </w:r>
          </w:p>
          <w:p w:rsidR="00381F60" w:rsidRPr="00250A0D" w:rsidRDefault="00332B77" w:rsidP="00B66FDE">
            <w:pPr>
              <w:spacing w:line="276" w:lineRule="auto"/>
              <w:rPr>
                <w:sz w:val="20"/>
                <w:szCs w:val="20"/>
              </w:rPr>
            </w:pPr>
            <w:hyperlink r:id="rId35" w:history="1">
              <w:r w:rsidR="00227804">
                <w:rPr>
                  <w:rStyle w:val="Hypertextovodkaz"/>
                  <w:color w:val="auto"/>
                  <w:sz w:val="20"/>
                  <w:szCs w:val="20"/>
                </w:rPr>
                <w:t>http://www.mmr.cz/cs/Verejne-zakazky/Verejne-zakazky-a-PPP/Informace-Udalosti/Konference-Pripravovane-zmeny-v-oblasti-verejneho</w:t>
              </w:r>
            </w:hyperlink>
          </w:p>
          <w:p w:rsidR="00BA5541" w:rsidRPr="00250A0D" w:rsidRDefault="0033290F" w:rsidP="00B66FDE">
            <w:pPr>
              <w:spacing w:line="276" w:lineRule="auto"/>
              <w:rPr>
                <w:sz w:val="20"/>
                <w:szCs w:val="20"/>
              </w:rPr>
            </w:pPr>
            <w:r w:rsidRPr="0033290F">
              <w:rPr>
                <w:b/>
                <w:sz w:val="20"/>
                <w:szCs w:val="20"/>
              </w:rPr>
              <w:t>Podrobnější specifikace v  příloze č. 8.</w:t>
            </w:r>
          </w:p>
        </w:tc>
        <w:tc>
          <w:tcPr>
            <w:tcW w:w="5245" w:type="dxa"/>
          </w:tcPr>
          <w:p w:rsidR="00381F60" w:rsidRPr="00250A0D" w:rsidRDefault="0033290F" w:rsidP="00B66FDE">
            <w:pPr>
              <w:spacing w:line="276" w:lineRule="auto"/>
              <w:rPr>
                <w:sz w:val="20"/>
                <w:szCs w:val="20"/>
              </w:rPr>
            </w:pPr>
            <w:r w:rsidRPr="0033290F">
              <w:rPr>
                <w:sz w:val="20"/>
                <w:szCs w:val="20"/>
              </w:rPr>
              <w:t xml:space="preserve">Specifické naplňování na národní úrovni je uvedeno v rámci Dohody o </w:t>
            </w:r>
            <w:proofErr w:type="gramStart"/>
            <w:r w:rsidRPr="0033290F">
              <w:rPr>
                <w:sz w:val="20"/>
                <w:szCs w:val="20"/>
              </w:rPr>
              <w:t>partnerství .Doplnění</w:t>
            </w:r>
            <w:proofErr w:type="gramEnd"/>
            <w:r w:rsidRPr="0033290F">
              <w:rPr>
                <w:sz w:val="20"/>
                <w:szCs w:val="20"/>
              </w:rPr>
              <w:t xml:space="preserve"> ze strany OP ŽP</w:t>
            </w:r>
          </w:p>
          <w:p w:rsidR="00381F60" w:rsidRPr="00250A0D" w:rsidRDefault="0033290F" w:rsidP="00B66FDE">
            <w:pPr>
              <w:spacing w:line="276" w:lineRule="auto"/>
              <w:rPr>
                <w:sz w:val="20"/>
                <w:szCs w:val="20"/>
              </w:rPr>
            </w:pPr>
            <w:r w:rsidRPr="0033290F">
              <w:rPr>
                <w:sz w:val="20"/>
                <w:szCs w:val="20"/>
              </w:rPr>
              <w:t xml:space="preserve">Pracovníci implementační struktury jsou vzděláváni průběžně dle potřeby. Pravidla veřejného zadávání představují stabilní součást základního modulu vzdělávacích akcí určených všem pracovníkům implementační struktury programu. Toto vzdělávání je zajištěno řídicím orgánem a doplňuje vzdělávací akce zajišťované MMR-NOK. V případě novel zákona o veřejných zakázkách řídicí orgán zajišťuje kurzy, během nichž jsou pracovníci s konkrétním obsahem změn seznámeni. </w:t>
            </w:r>
          </w:p>
          <w:p w:rsidR="00381F60" w:rsidRPr="00250A0D" w:rsidRDefault="0033290F" w:rsidP="00B66FDE">
            <w:pPr>
              <w:spacing w:line="276" w:lineRule="auto"/>
              <w:rPr>
                <w:rFonts w:cs="Arial"/>
                <w:sz w:val="20"/>
                <w:szCs w:val="20"/>
              </w:rPr>
            </w:pPr>
            <w:r w:rsidRPr="0033290F">
              <w:rPr>
                <w:sz w:val="20"/>
                <w:szCs w:val="20"/>
              </w:rPr>
              <w:t xml:space="preserve">Řídicí orgán má vlastní tým právníků, kteří zajišťují poskytování konzultací nejen pracovníkům implementační struktury v tématech veřejného zadávání. </w:t>
            </w:r>
          </w:p>
        </w:tc>
      </w:tr>
      <w:tr w:rsidR="00381F60" w:rsidRPr="00250A0D" w:rsidTr="000F2740">
        <w:tc>
          <w:tcPr>
            <w:tcW w:w="1384" w:type="dxa"/>
          </w:tcPr>
          <w:p w:rsidR="00381F60" w:rsidRPr="00250A0D" w:rsidRDefault="00381F60" w:rsidP="00B66FDE">
            <w:pPr>
              <w:spacing w:line="276" w:lineRule="auto"/>
              <w:rPr>
                <w:rFonts w:cs="Arial"/>
                <w:sz w:val="20"/>
                <w:szCs w:val="20"/>
              </w:rPr>
            </w:pPr>
          </w:p>
        </w:tc>
        <w:tc>
          <w:tcPr>
            <w:tcW w:w="1134" w:type="dxa"/>
          </w:tcPr>
          <w:p w:rsidR="00381F60" w:rsidRPr="00250A0D" w:rsidRDefault="00381F60" w:rsidP="00B66FDE">
            <w:pPr>
              <w:spacing w:line="276" w:lineRule="auto"/>
              <w:rPr>
                <w:rFonts w:cs="Arial"/>
                <w:sz w:val="20"/>
                <w:szCs w:val="20"/>
              </w:rPr>
            </w:pPr>
          </w:p>
        </w:tc>
        <w:tc>
          <w:tcPr>
            <w:tcW w:w="851" w:type="dxa"/>
          </w:tcPr>
          <w:p w:rsidR="00381F60" w:rsidRPr="00250A0D" w:rsidRDefault="00381F60" w:rsidP="00B66FDE">
            <w:pPr>
              <w:spacing w:line="276" w:lineRule="auto"/>
              <w:rPr>
                <w:rFonts w:cs="Arial"/>
                <w:sz w:val="20"/>
                <w:szCs w:val="20"/>
              </w:rPr>
            </w:pPr>
          </w:p>
        </w:tc>
        <w:tc>
          <w:tcPr>
            <w:tcW w:w="1701" w:type="dxa"/>
          </w:tcPr>
          <w:p w:rsidR="00381F60" w:rsidRPr="00250A0D" w:rsidRDefault="0033290F" w:rsidP="00B66FDE">
            <w:pPr>
              <w:spacing w:line="276" w:lineRule="auto"/>
              <w:rPr>
                <w:sz w:val="20"/>
                <w:szCs w:val="20"/>
              </w:rPr>
            </w:pPr>
            <w:r w:rsidRPr="0033290F">
              <w:rPr>
                <w:sz w:val="20"/>
                <w:szCs w:val="20"/>
              </w:rPr>
              <w:t>Opatření k </w:t>
            </w:r>
            <w:proofErr w:type="gramStart"/>
            <w:r w:rsidRPr="0033290F">
              <w:rPr>
                <w:sz w:val="20"/>
                <w:szCs w:val="20"/>
              </w:rPr>
              <w:t xml:space="preserve">posílení  </w:t>
            </w:r>
            <w:r w:rsidRPr="0033290F">
              <w:rPr>
                <w:sz w:val="20"/>
                <w:szCs w:val="20"/>
              </w:rPr>
              <w:lastRenderedPageBreak/>
              <w:t>správní</w:t>
            </w:r>
            <w:proofErr w:type="gramEnd"/>
            <w:r w:rsidRPr="0033290F">
              <w:rPr>
                <w:sz w:val="20"/>
                <w:szCs w:val="20"/>
              </w:rPr>
              <w:t xml:space="preserve"> kapacity pro provádění a  uplatňování právních  předpisů Unie o veřejných zakázkách</w:t>
            </w:r>
          </w:p>
          <w:p w:rsidR="00381F60" w:rsidRPr="00250A0D" w:rsidRDefault="00381F60" w:rsidP="00B66FDE">
            <w:pPr>
              <w:spacing w:line="276" w:lineRule="auto"/>
              <w:rPr>
                <w:sz w:val="20"/>
                <w:szCs w:val="20"/>
              </w:rPr>
            </w:pPr>
          </w:p>
        </w:tc>
        <w:tc>
          <w:tcPr>
            <w:tcW w:w="1134" w:type="dxa"/>
          </w:tcPr>
          <w:p w:rsidR="00381F60" w:rsidRPr="00250A0D" w:rsidRDefault="0033290F" w:rsidP="00F306AC">
            <w:pPr>
              <w:spacing w:line="276" w:lineRule="auto"/>
              <w:rPr>
                <w:rFonts w:cs="Arial"/>
                <w:sz w:val="20"/>
                <w:szCs w:val="20"/>
              </w:rPr>
            </w:pPr>
            <w:r w:rsidRPr="0033290F">
              <w:rPr>
                <w:sz w:val="20"/>
                <w:szCs w:val="20"/>
              </w:rPr>
              <w:lastRenderedPageBreak/>
              <w:t>ano</w:t>
            </w:r>
          </w:p>
        </w:tc>
        <w:tc>
          <w:tcPr>
            <w:tcW w:w="2693" w:type="dxa"/>
          </w:tcPr>
          <w:p w:rsidR="00381F60" w:rsidRPr="00250A0D" w:rsidRDefault="0033290F" w:rsidP="00B66FDE">
            <w:pPr>
              <w:spacing w:line="276" w:lineRule="auto"/>
              <w:rPr>
                <w:sz w:val="20"/>
                <w:szCs w:val="20"/>
              </w:rPr>
            </w:pPr>
            <w:r w:rsidRPr="0033290F">
              <w:rPr>
                <w:sz w:val="20"/>
                <w:szCs w:val="20"/>
              </w:rPr>
              <w:t xml:space="preserve">částečné doplnění pracovníků na pracovní </w:t>
            </w:r>
            <w:r w:rsidRPr="0033290F">
              <w:rPr>
                <w:sz w:val="20"/>
                <w:szCs w:val="20"/>
              </w:rPr>
              <w:lastRenderedPageBreak/>
              <w:t xml:space="preserve">pozice v odboru práva veřejných zakázek a koncesí na Ministerstvu pro místní rozvoj ČR </w:t>
            </w:r>
          </w:p>
          <w:p w:rsidR="00381F60" w:rsidRPr="00250A0D" w:rsidRDefault="00381F60" w:rsidP="00B66FDE">
            <w:pPr>
              <w:spacing w:line="276" w:lineRule="auto"/>
              <w:rPr>
                <w:sz w:val="20"/>
                <w:szCs w:val="20"/>
              </w:rPr>
            </w:pPr>
          </w:p>
          <w:p w:rsidR="00381F60" w:rsidRPr="00250A0D" w:rsidRDefault="00381F60" w:rsidP="00B66FDE">
            <w:pPr>
              <w:spacing w:line="276" w:lineRule="auto"/>
              <w:rPr>
                <w:rFonts w:cs="Arial"/>
                <w:sz w:val="20"/>
                <w:szCs w:val="20"/>
              </w:rPr>
            </w:pPr>
          </w:p>
        </w:tc>
        <w:tc>
          <w:tcPr>
            <w:tcW w:w="5245" w:type="dxa"/>
          </w:tcPr>
          <w:p w:rsidR="00381F60" w:rsidRPr="00250A0D" w:rsidRDefault="0033290F" w:rsidP="00B66FDE">
            <w:pPr>
              <w:spacing w:line="276" w:lineRule="auto"/>
              <w:rPr>
                <w:sz w:val="20"/>
                <w:szCs w:val="20"/>
              </w:rPr>
            </w:pPr>
            <w:r w:rsidRPr="0033290F">
              <w:rPr>
                <w:sz w:val="20"/>
                <w:szCs w:val="20"/>
              </w:rPr>
              <w:lastRenderedPageBreak/>
              <w:t xml:space="preserve">Specifické naplňování na národní úrovni je uvedeno v </w:t>
            </w:r>
            <w:r w:rsidRPr="0033290F">
              <w:rPr>
                <w:sz w:val="20"/>
                <w:szCs w:val="20"/>
              </w:rPr>
              <w:lastRenderedPageBreak/>
              <w:t xml:space="preserve">rámci Dohody o partnerství Doplnění ze strany OP ŽP: </w:t>
            </w:r>
          </w:p>
          <w:p w:rsidR="00381F60" w:rsidRPr="00250A0D" w:rsidRDefault="0033290F" w:rsidP="00B66FDE">
            <w:pPr>
              <w:spacing w:line="276" w:lineRule="auto"/>
              <w:rPr>
                <w:sz w:val="20"/>
                <w:szCs w:val="20"/>
              </w:rPr>
            </w:pPr>
            <w:r w:rsidRPr="0033290F">
              <w:rPr>
                <w:sz w:val="20"/>
                <w:szCs w:val="20"/>
              </w:rPr>
              <w:t xml:space="preserve">Řízení lidských zdrojů v implementační struktuře probíhá s ohledem na činnosti, které je nutné zajistit. Dochází k plánování administrativní kapacity s ohledem na počty projektů v administraci i na plánované výzvy a jejich alokace. Řídicí orgán plánuje posílení administrativní kapacity před zahájením implementace OP ŽP. Technická pomoc je na financování potřebných lidských zdrojů využívána v současném období 2007-2013 a bude i v období 2014-2020. </w:t>
            </w:r>
          </w:p>
          <w:p w:rsidR="00381F60" w:rsidRPr="00250A0D" w:rsidRDefault="0033290F" w:rsidP="00F306AC">
            <w:pPr>
              <w:spacing w:line="276" w:lineRule="auto"/>
              <w:rPr>
                <w:rFonts w:cs="Arial"/>
                <w:sz w:val="20"/>
                <w:szCs w:val="20"/>
              </w:rPr>
            </w:pPr>
            <w:r w:rsidRPr="0033290F">
              <w:rPr>
                <w:sz w:val="20"/>
                <w:szCs w:val="20"/>
              </w:rPr>
              <w:t xml:space="preserve"> </w:t>
            </w:r>
          </w:p>
        </w:tc>
      </w:tr>
      <w:tr w:rsidR="00381F60" w:rsidRPr="00250A0D" w:rsidTr="000F2740">
        <w:tc>
          <w:tcPr>
            <w:tcW w:w="1384" w:type="dxa"/>
            <w:vMerge w:val="restart"/>
          </w:tcPr>
          <w:p w:rsidR="00381F60" w:rsidRPr="00250A0D" w:rsidRDefault="0033290F" w:rsidP="00B66FDE">
            <w:pPr>
              <w:spacing w:line="276" w:lineRule="auto"/>
              <w:rPr>
                <w:rFonts w:cs="Arial"/>
                <w:sz w:val="20"/>
                <w:szCs w:val="20"/>
              </w:rPr>
            </w:pPr>
            <w:r w:rsidRPr="0033290F">
              <w:rPr>
                <w:rFonts w:cs="Arial"/>
                <w:sz w:val="20"/>
                <w:szCs w:val="20"/>
              </w:rPr>
              <w:lastRenderedPageBreak/>
              <w:t xml:space="preserve">Č. 5: Existence opatření pro účinné uplatňování právních předpisů Unie pro veřejnou </w:t>
            </w:r>
            <w:r w:rsidRPr="0033290F">
              <w:rPr>
                <w:rFonts w:cs="Arial"/>
                <w:sz w:val="20"/>
                <w:szCs w:val="20"/>
              </w:rPr>
              <w:lastRenderedPageBreak/>
              <w:t xml:space="preserve">podporu v oblasti fondů ESI </w:t>
            </w:r>
          </w:p>
        </w:tc>
        <w:tc>
          <w:tcPr>
            <w:tcW w:w="1134" w:type="dxa"/>
            <w:vMerge w:val="restart"/>
          </w:tcPr>
          <w:p w:rsidR="00381F60" w:rsidRPr="00250A0D" w:rsidRDefault="0033290F" w:rsidP="00B66FDE">
            <w:pPr>
              <w:spacing w:line="276" w:lineRule="auto"/>
              <w:rPr>
                <w:rFonts w:cs="Arial"/>
                <w:sz w:val="20"/>
                <w:szCs w:val="20"/>
              </w:rPr>
            </w:pPr>
            <w:r w:rsidRPr="0033290F">
              <w:rPr>
                <w:rFonts w:cs="Arial"/>
                <w:sz w:val="20"/>
                <w:szCs w:val="20"/>
              </w:rPr>
              <w:lastRenderedPageBreak/>
              <w:t>Všechny PO OP ŽP 2014 – 2020</w:t>
            </w:r>
          </w:p>
        </w:tc>
        <w:tc>
          <w:tcPr>
            <w:tcW w:w="851" w:type="dxa"/>
            <w:vMerge w:val="restart"/>
          </w:tcPr>
          <w:p w:rsidR="00381F60" w:rsidRPr="00250A0D" w:rsidRDefault="0033290F" w:rsidP="00CA225A">
            <w:pPr>
              <w:spacing w:line="276" w:lineRule="auto"/>
              <w:rPr>
                <w:sz w:val="20"/>
                <w:szCs w:val="20"/>
              </w:rPr>
            </w:pPr>
            <w:r w:rsidRPr="0033290F">
              <w:rPr>
                <w:sz w:val="20"/>
                <w:szCs w:val="20"/>
              </w:rPr>
              <w:t xml:space="preserve">Nesplněno plnění probíhá průběžně v závislosti </w:t>
            </w:r>
            <w:r w:rsidRPr="0033290F">
              <w:rPr>
                <w:sz w:val="20"/>
                <w:szCs w:val="20"/>
              </w:rPr>
              <w:lastRenderedPageBreak/>
              <w:t>na schvalování předpisů EK</w:t>
            </w:r>
          </w:p>
        </w:tc>
        <w:tc>
          <w:tcPr>
            <w:tcW w:w="1701" w:type="dxa"/>
          </w:tcPr>
          <w:p w:rsidR="00381F60" w:rsidRPr="00250A0D" w:rsidRDefault="0033290F" w:rsidP="00CA225A">
            <w:pPr>
              <w:spacing w:line="276" w:lineRule="auto"/>
              <w:rPr>
                <w:sz w:val="20"/>
                <w:szCs w:val="20"/>
              </w:rPr>
            </w:pPr>
            <w:r w:rsidRPr="0033290F">
              <w:rPr>
                <w:sz w:val="20"/>
                <w:szCs w:val="20"/>
              </w:rPr>
              <w:lastRenderedPageBreak/>
              <w:t>Opatření pro účinné uplatňování pravidel Unie pro veřejnou podporu</w:t>
            </w:r>
          </w:p>
        </w:tc>
        <w:tc>
          <w:tcPr>
            <w:tcW w:w="1134" w:type="dxa"/>
            <w:tcBorders>
              <w:bottom w:val="single" w:sz="4" w:space="0" w:color="auto"/>
            </w:tcBorders>
          </w:tcPr>
          <w:p w:rsidR="00381F60" w:rsidRPr="00250A0D" w:rsidRDefault="00E83CFC" w:rsidP="00CA225A">
            <w:pPr>
              <w:spacing w:line="276" w:lineRule="auto"/>
              <w:rPr>
                <w:sz w:val="20"/>
                <w:szCs w:val="20"/>
              </w:rPr>
            </w:pPr>
            <w:r w:rsidRPr="00250A0D">
              <w:rPr>
                <w:sz w:val="20"/>
                <w:szCs w:val="20"/>
              </w:rPr>
              <w:t>Nesplněno</w:t>
            </w:r>
          </w:p>
          <w:p w:rsidR="00381F60" w:rsidRPr="00250A0D" w:rsidRDefault="00381F60" w:rsidP="00CA225A">
            <w:pPr>
              <w:rPr>
                <w:sz w:val="20"/>
                <w:szCs w:val="20"/>
              </w:rPr>
            </w:pPr>
          </w:p>
          <w:p w:rsidR="00381F60" w:rsidRPr="00250A0D" w:rsidRDefault="00381F60" w:rsidP="00CA225A">
            <w:pPr>
              <w:spacing w:line="276" w:lineRule="auto"/>
              <w:rPr>
                <w:sz w:val="20"/>
                <w:szCs w:val="20"/>
              </w:rPr>
            </w:pPr>
          </w:p>
          <w:p w:rsidR="00381F60" w:rsidRPr="00250A0D" w:rsidRDefault="00381F60" w:rsidP="00CA225A">
            <w:pPr>
              <w:spacing w:line="276" w:lineRule="auto"/>
              <w:rPr>
                <w:sz w:val="20"/>
                <w:szCs w:val="20"/>
              </w:rPr>
            </w:pPr>
          </w:p>
          <w:p w:rsidR="00381F60" w:rsidRPr="00250A0D" w:rsidRDefault="00381F60" w:rsidP="00CA225A">
            <w:pPr>
              <w:spacing w:line="276" w:lineRule="auto"/>
              <w:rPr>
                <w:sz w:val="20"/>
                <w:szCs w:val="20"/>
              </w:rPr>
            </w:pPr>
          </w:p>
          <w:p w:rsidR="00381F60" w:rsidRPr="00250A0D" w:rsidRDefault="00381F60" w:rsidP="00CA225A">
            <w:pPr>
              <w:spacing w:line="276" w:lineRule="auto"/>
              <w:rPr>
                <w:sz w:val="20"/>
                <w:szCs w:val="20"/>
              </w:rPr>
            </w:pPr>
          </w:p>
          <w:p w:rsidR="00381F60" w:rsidRPr="00250A0D" w:rsidRDefault="00381F60" w:rsidP="00CA225A">
            <w:pPr>
              <w:spacing w:line="276" w:lineRule="auto"/>
              <w:rPr>
                <w:sz w:val="20"/>
                <w:szCs w:val="20"/>
              </w:rPr>
            </w:pPr>
          </w:p>
          <w:p w:rsidR="00381F60" w:rsidRPr="00250A0D" w:rsidRDefault="00381F60" w:rsidP="00CA225A">
            <w:pPr>
              <w:spacing w:line="276" w:lineRule="auto"/>
              <w:rPr>
                <w:sz w:val="20"/>
                <w:szCs w:val="20"/>
              </w:rPr>
            </w:pPr>
          </w:p>
          <w:p w:rsidR="00381F60" w:rsidRPr="00250A0D" w:rsidRDefault="00381F60" w:rsidP="00CA225A">
            <w:pPr>
              <w:spacing w:line="276" w:lineRule="auto"/>
              <w:rPr>
                <w:sz w:val="20"/>
                <w:szCs w:val="20"/>
              </w:rPr>
            </w:pPr>
          </w:p>
          <w:p w:rsidR="00381F60" w:rsidRPr="00250A0D" w:rsidRDefault="00381F60" w:rsidP="00CA225A">
            <w:pPr>
              <w:spacing w:line="276" w:lineRule="auto"/>
              <w:rPr>
                <w:sz w:val="20"/>
                <w:szCs w:val="20"/>
              </w:rPr>
            </w:pPr>
          </w:p>
          <w:p w:rsidR="00381F60" w:rsidRPr="00250A0D" w:rsidRDefault="00381F60" w:rsidP="00CA225A">
            <w:pPr>
              <w:spacing w:line="276" w:lineRule="auto"/>
              <w:rPr>
                <w:sz w:val="20"/>
                <w:szCs w:val="20"/>
              </w:rPr>
            </w:pPr>
          </w:p>
          <w:p w:rsidR="00381F60" w:rsidRPr="00250A0D" w:rsidRDefault="00381F60" w:rsidP="00CA225A">
            <w:pPr>
              <w:spacing w:line="276" w:lineRule="auto"/>
              <w:rPr>
                <w:sz w:val="20"/>
                <w:szCs w:val="20"/>
              </w:rPr>
            </w:pPr>
          </w:p>
        </w:tc>
        <w:tc>
          <w:tcPr>
            <w:tcW w:w="2693" w:type="dxa"/>
            <w:tcBorders>
              <w:bottom w:val="single" w:sz="4" w:space="0" w:color="auto"/>
            </w:tcBorders>
          </w:tcPr>
          <w:p w:rsidR="00381F60" w:rsidRPr="00250A0D" w:rsidRDefault="0033290F" w:rsidP="00B66FDE">
            <w:pPr>
              <w:spacing w:line="276" w:lineRule="auto"/>
              <w:rPr>
                <w:rFonts w:cs="Arial"/>
                <w:sz w:val="20"/>
                <w:szCs w:val="20"/>
              </w:rPr>
            </w:pPr>
            <w:r w:rsidRPr="0033290F">
              <w:rPr>
                <w:rFonts w:cs="Arial"/>
                <w:sz w:val="20"/>
                <w:szCs w:val="20"/>
              </w:rPr>
              <w:lastRenderedPageBreak/>
              <w:t>Zákon č. 215/2004 Sb. O úpravě některých vztahů v oblasti veřejné podpory a o změně zákona o podpoře výzkumu a vývoje (</w:t>
            </w:r>
            <w:hyperlink r:id="rId36" w:history="1">
              <w:r w:rsidRPr="0033290F">
                <w:rPr>
                  <w:sz w:val="20"/>
                  <w:szCs w:val="20"/>
                </w:rPr>
                <w:t>http://www.uohs.cz/cs/legislativa/verejna-podpora.html</w:t>
              </w:r>
            </w:hyperlink>
            <w:r w:rsidRPr="0033290F">
              <w:rPr>
                <w:rFonts w:cs="Arial"/>
                <w:sz w:val="20"/>
                <w:szCs w:val="20"/>
              </w:rPr>
              <w:t>)</w:t>
            </w:r>
          </w:p>
          <w:p w:rsidR="00381F60" w:rsidRPr="00250A0D" w:rsidRDefault="0033290F" w:rsidP="0084063A">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Vyhláška č. 456/2009 Sb. o </w:t>
            </w:r>
            <w:r w:rsidRPr="0033290F">
              <w:rPr>
                <w:rFonts w:ascii="Cambria" w:hAnsi="Cambria"/>
                <w:color w:val="auto"/>
                <w:sz w:val="20"/>
                <w:szCs w:val="20"/>
              </w:rPr>
              <w:lastRenderedPageBreak/>
              <w:t xml:space="preserve">údajích zaznamenávaných do centrálního registru </w:t>
            </w:r>
          </w:p>
          <w:p w:rsidR="00381F60" w:rsidRPr="00250A0D" w:rsidRDefault="00381F60" w:rsidP="0084063A">
            <w:pPr>
              <w:pStyle w:val="Default"/>
              <w:spacing w:afterAutospacing="1"/>
              <w:jc w:val="both"/>
              <w:rPr>
                <w:rFonts w:ascii="Cambria" w:hAnsi="Cambria"/>
                <w:color w:val="auto"/>
                <w:sz w:val="20"/>
                <w:szCs w:val="20"/>
              </w:rPr>
            </w:pPr>
          </w:p>
          <w:p w:rsidR="00381F60" w:rsidRPr="00250A0D" w:rsidRDefault="0033290F" w:rsidP="0084063A">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Zákon č. 218/2000 Sb., o rozpočtových pravidlech a změně některých souvisejících zákonů (ve znění pozdějších předpisů) </w:t>
            </w:r>
          </w:p>
          <w:p w:rsidR="00381F60" w:rsidRPr="005F2A2F" w:rsidRDefault="0033290F" w:rsidP="005F2A2F">
            <w:pPr>
              <w:pStyle w:val="Default"/>
              <w:spacing w:afterAutospacing="1"/>
              <w:jc w:val="both"/>
              <w:rPr>
                <w:rFonts w:ascii="Cambria" w:hAnsi="Cambria"/>
                <w:color w:val="auto"/>
                <w:sz w:val="20"/>
                <w:szCs w:val="20"/>
              </w:rPr>
            </w:pPr>
            <w:r w:rsidRPr="0033290F">
              <w:rPr>
                <w:rFonts w:ascii="Cambria" w:hAnsi="Cambria"/>
                <w:b/>
                <w:color w:val="auto"/>
                <w:sz w:val="20"/>
                <w:szCs w:val="20"/>
              </w:rPr>
              <w:t>Podrobnější specifikace v  příloze č. 8.</w:t>
            </w:r>
          </w:p>
        </w:tc>
        <w:tc>
          <w:tcPr>
            <w:tcW w:w="5245" w:type="dxa"/>
            <w:tcBorders>
              <w:bottom w:val="single" w:sz="4" w:space="0" w:color="auto"/>
            </w:tcBorders>
          </w:tcPr>
          <w:p w:rsidR="00381F60" w:rsidRPr="00250A0D" w:rsidRDefault="0033290F" w:rsidP="00247FCF">
            <w:pPr>
              <w:pStyle w:val="Default"/>
              <w:spacing w:afterAutospacing="1"/>
              <w:jc w:val="both"/>
              <w:rPr>
                <w:rFonts w:ascii="Cambria" w:hAnsi="Cambria"/>
                <w:color w:val="auto"/>
                <w:sz w:val="20"/>
                <w:szCs w:val="20"/>
              </w:rPr>
            </w:pPr>
            <w:r w:rsidRPr="0033290F">
              <w:rPr>
                <w:rFonts w:ascii="Cambria" w:hAnsi="Cambria"/>
                <w:color w:val="auto"/>
                <w:sz w:val="20"/>
                <w:szCs w:val="20"/>
              </w:rPr>
              <w:lastRenderedPageBreak/>
              <w:t>Specifické naplňování na národní úrovni je uvedeno v rámci Dohody o partnerství.</w:t>
            </w:r>
          </w:p>
          <w:p w:rsidR="00C64F85" w:rsidRPr="00250A0D" w:rsidRDefault="0033290F" w:rsidP="00C64F85">
            <w:pPr>
              <w:spacing w:line="276" w:lineRule="auto"/>
              <w:rPr>
                <w:rFonts w:cs="Arial"/>
                <w:sz w:val="20"/>
                <w:szCs w:val="20"/>
              </w:rPr>
            </w:pPr>
            <w:r w:rsidRPr="0033290F">
              <w:rPr>
                <w:rFonts w:cs="Arial"/>
                <w:sz w:val="20"/>
                <w:szCs w:val="20"/>
              </w:rPr>
              <w:t>Doplnění ze strany OP ŽP 2014-2020:</w:t>
            </w:r>
          </w:p>
          <w:p w:rsidR="00C64F85" w:rsidRPr="00250A0D" w:rsidRDefault="0033290F" w:rsidP="00C64F85">
            <w:pPr>
              <w:pStyle w:val="Tabulka"/>
              <w:jc w:val="left"/>
              <w:rPr>
                <w:rFonts w:ascii="Cambria" w:hAnsi="Cambria" w:cs="Times New Roman"/>
                <w:sz w:val="20"/>
                <w:szCs w:val="20"/>
              </w:rPr>
            </w:pPr>
            <w:r w:rsidRPr="0033290F">
              <w:rPr>
                <w:rFonts w:ascii="Cambria" w:hAnsi="Cambria" w:cs="Times New Roman"/>
                <w:sz w:val="20"/>
                <w:szCs w:val="20"/>
              </w:rPr>
              <w:t>Nyní je obsah OP ŽP analyzován z pohledu dostupných návrhů předpisů k VP, jak jsou postupně uvolňovány ze strany EK v rámci veřejných konzultací.</w:t>
            </w:r>
          </w:p>
          <w:p w:rsidR="00C64F85" w:rsidRPr="00250A0D" w:rsidRDefault="0033290F" w:rsidP="00C64F85">
            <w:pPr>
              <w:pStyle w:val="Tabulka"/>
              <w:jc w:val="left"/>
              <w:rPr>
                <w:rFonts w:ascii="Cambria" w:hAnsi="Cambria" w:cs="Times New Roman"/>
                <w:sz w:val="20"/>
                <w:szCs w:val="20"/>
              </w:rPr>
            </w:pPr>
            <w:r w:rsidRPr="0033290F">
              <w:rPr>
                <w:rFonts w:ascii="Cambria" w:hAnsi="Cambria" w:cs="Times New Roman"/>
                <w:sz w:val="20"/>
                <w:szCs w:val="20"/>
              </w:rPr>
              <w:t xml:space="preserve">Pravidla pro veřejnou podporu budou promítnuta do řídicí </w:t>
            </w:r>
            <w:r w:rsidRPr="0033290F">
              <w:rPr>
                <w:rFonts w:ascii="Cambria" w:hAnsi="Cambria" w:cs="Times New Roman"/>
                <w:sz w:val="20"/>
                <w:szCs w:val="20"/>
              </w:rPr>
              <w:lastRenderedPageBreak/>
              <w:t>dokumentace programu, řídicích a kontrolních procesů a výzev a do oblasti finančních nástrojů, až budou k dispozici jejich schválené (finální) verze.</w:t>
            </w:r>
          </w:p>
          <w:p w:rsidR="00C64F85" w:rsidRPr="00250A0D" w:rsidRDefault="0033290F" w:rsidP="00C64F85">
            <w:pPr>
              <w:pStyle w:val="Tabulka"/>
              <w:jc w:val="left"/>
              <w:rPr>
                <w:rFonts w:ascii="Cambria" w:hAnsi="Cambria" w:cs="Times New Roman"/>
                <w:sz w:val="20"/>
                <w:szCs w:val="20"/>
              </w:rPr>
            </w:pPr>
            <w:r w:rsidRPr="0033290F">
              <w:rPr>
                <w:rFonts w:ascii="Cambria" w:hAnsi="Cambria" w:cs="Times New Roman"/>
                <w:sz w:val="20"/>
                <w:szCs w:val="20"/>
              </w:rPr>
              <w:t xml:space="preserve">Kontrola souladu s pravidly VP bude probíhat před poskytnutím podpory na projekt i v průběhu realizace projektu. </w:t>
            </w:r>
          </w:p>
          <w:p w:rsidR="00C64F85" w:rsidRPr="00250A0D" w:rsidRDefault="0033290F" w:rsidP="00C64F85">
            <w:pPr>
              <w:pStyle w:val="Tabulka"/>
              <w:jc w:val="left"/>
              <w:rPr>
                <w:rFonts w:ascii="Cambria" w:hAnsi="Cambria" w:cs="Times New Roman"/>
                <w:sz w:val="20"/>
                <w:szCs w:val="20"/>
              </w:rPr>
            </w:pPr>
            <w:r w:rsidRPr="0033290F">
              <w:rPr>
                <w:rFonts w:ascii="Cambria" w:hAnsi="Cambria" w:cs="Times New Roman"/>
                <w:sz w:val="20"/>
                <w:szCs w:val="20"/>
              </w:rPr>
              <w:t xml:space="preserve">Centrální registr podpor de </w:t>
            </w:r>
            <w:proofErr w:type="spellStart"/>
            <w:r w:rsidRPr="0033290F">
              <w:rPr>
                <w:rFonts w:ascii="Cambria" w:hAnsi="Cambria" w:cs="Times New Roman"/>
                <w:sz w:val="20"/>
                <w:szCs w:val="20"/>
              </w:rPr>
              <w:t>minimis</w:t>
            </w:r>
            <w:proofErr w:type="spellEnd"/>
            <w:r w:rsidRPr="0033290F">
              <w:rPr>
                <w:rFonts w:ascii="Cambria" w:hAnsi="Cambria" w:cs="Times New Roman"/>
                <w:sz w:val="20"/>
                <w:szCs w:val="20"/>
              </w:rPr>
              <w:t xml:space="preserve"> zajišťuje dodržení platného limitu pro podporu de </w:t>
            </w:r>
            <w:proofErr w:type="spellStart"/>
            <w:r w:rsidRPr="0033290F">
              <w:rPr>
                <w:rFonts w:ascii="Cambria" w:hAnsi="Cambria" w:cs="Times New Roman"/>
                <w:sz w:val="20"/>
                <w:szCs w:val="20"/>
              </w:rPr>
              <w:t>minimis</w:t>
            </w:r>
            <w:proofErr w:type="spellEnd"/>
            <w:r w:rsidRPr="0033290F">
              <w:rPr>
                <w:rFonts w:ascii="Cambria" w:hAnsi="Cambria" w:cs="Times New Roman"/>
                <w:sz w:val="20"/>
                <w:szCs w:val="20"/>
              </w:rPr>
              <w:t>.</w:t>
            </w:r>
          </w:p>
          <w:p w:rsidR="00C64F85" w:rsidRPr="00250A0D" w:rsidRDefault="0033290F" w:rsidP="00C64F85">
            <w:pPr>
              <w:pStyle w:val="Tabulka"/>
              <w:jc w:val="left"/>
              <w:rPr>
                <w:rFonts w:ascii="Cambria" w:hAnsi="Cambria" w:cs="Times New Roman"/>
                <w:sz w:val="20"/>
                <w:szCs w:val="20"/>
              </w:rPr>
            </w:pPr>
            <w:r w:rsidRPr="0033290F">
              <w:rPr>
                <w:rFonts w:ascii="Cambria" w:hAnsi="Cambria" w:cs="Times New Roman"/>
                <w:sz w:val="20"/>
                <w:szCs w:val="20"/>
              </w:rPr>
              <w:t xml:space="preserve">Pravidla budou komunikována vůči žadatelům/příjemcům příslušnými kanály (semináře, příručky). </w:t>
            </w:r>
          </w:p>
          <w:p w:rsidR="00C64F85" w:rsidRPr="00250A0D" w:rsidRDefault="0033290F" w:rsidP="00C64F85">
            <w:pPr>
              <w:pStyle w:val="Tabulka"/>
              <w:jc w:val="left"/>
              <w:rPr>
                <w:rFonts w:ascii="Cambria" w:hAnsi="Cambria" w:cs="Times New Roman"/>
                <w:sz w:val="20"/>
                <w:szCs w:val="20"/>
              </w:rPr>
            </w:pPr>
            <w:r w:rsidRPr="0033290F">
              <w:rPr>
                <w:rFonts w:ascii="Cambria" w:hAnsi="Cambria" w:cs="Times New Roman"/>
                <w:sz w:val="20"/>
                <w:szCs w:val="20"/>
              </w:rPr>
              <w:t xml:space="preserve">Výše uvedené postupy jsou již uplatňovány pro OP ŽP. </w:t>
            </w:r>
          </w:p>
          <w:p w:rsidR="00381F60" w:rsidRPr="005F2A2F" w:rsidRDefault="0033290F" w:rsidP="005F2A2F">
            <w:pPr>
              <w:spacing w:line="276" w:lineRule="auto"/>
              <w:rPr>
                <w:rFonts w:cs="Arial"/>
                <w:sz w:val="20"/>
                <w:szCs w:val="20"/>
              </w:rPr>
            </w:pPr>
            <w:r w:rsidRPr="0033290F">
              <w:rPr>
                <w:b/>
                <w:sz w:val="20"/>
                <w:szCs w:val="20"/>
              </w:rPr>
              <w:t>Podrobnější specifikace v  příloze č. 8.</w:t>
            </w:r>
          </w:p>
        </w:tc>
      </w:tr>
      <w:tr w:rsidR="00381F60" w:rsidRPr="00250A0D" w:rsidTr="000F2740">
        <w:tc>
          <w:tcPr>
            <w:tcW w:w="1384" w:type="dxa"/>
            <w:vMerge/>
          </w:tcPr>
          <w:p w:rsidR="00381F60" w:rsidRPr="00250A0D" w:rsidRDefault="00381F60" w:rsidP="00B66FDE">
            <w:pPr>
              <w:spacing w:line="276" w:lineRule="auto"/>
              <w:rPr>
                <w:rFonts w:cs="Arial"/>
                <w:sz w:val="20"/>
                <w:szCs w:val="20"/>
              </w:rPr>
            </w:pPr>
          </w:p>
        </w:tc>
        <w:tc>
          <w:tcPr>
            <w:tcW w:w="1134" w:type="dxa"/>
            <w:vMerge/>
          </w:tcPr>
          <w:p w:rsidR="00381F60" w:rsidRPr="00250A0D" w:rsidRDefault="00381F60" w:rsidP="00B66FDE">
            <w:pPr>
              <w:spacing w:line="276" w:lineRule="auto"/>
              <w:rPr>
                <w:rFonts w:cs="Arial"/>
                <w:sz w:val="20"/>
                <w:szCs w:val="20"/>
              </w:rPr>
            </w:pPr>
          </w:p>
        </w:tc>
        <w:tc>
          <w:tcPr>
            <w:tcW w:w="851" w:type="dxa"/>
            <w:vMerge/>
          </w:tcPr>
          <w:p w:rsidR="00381F60" w:rsidRPr="00250A0D" w:rsidRDefault="00381F60" w:rsidP="00B66FDE">
            <w:pPr>
              <w:spacing w:line="276" w:lineRule="auto"/>
              <w:rPr>
                <w:rFonts w:cs="Arial"/>
                <w:sz w:val="20"/>
                <w:szCs w:val="20"/>
              </w:rPr>
            </w:pPr>
          </w:p>
        </w:tc>
        <w:tc>
          <w:tcPr>
            <w:tcW w:w="1701" w:type="dxa"/>
          </w:tcPr>
          <w:p w:rsidR="00381F60" w:rsidRPr="00250A0D" w:rsidRDefault="0033290F" w:rsidP="00B66FDE">
            <w:pPr>
              <w:spacing w:line="276" w:lineRule="auto"/>
              <w:rPr>
                <w:rFonts w:cs="Arial"/>
                <w:sz w:val="20"/>
                <w:szCs w:val="20"/>
              </w:rPr>
            </w:pPr>
            <w:r w:rsidRPr="0033290F">
              <w:rPr>
                <w:rFonts w:cs="Arial"/>
                <w:sz w:val="20"/>
                <w:szCs w:val="20"/>
              </w:rPr>
              <w:t xml:space="preserve">Opatření pro odbornou přípravu a šíření informací pro zaměstnance podílející se na provádění fondů </w:t>
            </w:r>
            <w:r w:rsidRPr="0033290F">
              <w:rPr>
                <w:rFonts w:cs="Arial"/>
                <w:sz w:val="20"/>
                <w:szCs w:val="20"/>
              </w:rPr>
              <w:lastRenderedPageBreak/>
              <w:t>ESI do implementace fondů</w:t>
            </w:r>
          </w:p>
        </w:tc>
        <w:tc>
          <w:tcPr>
            <w:tcW w:w="1134" w:type="dxa"/>
          </w:tcPr>
          <w:p w:rsidR="00381F60" w:rsidRPr="00250A0D" w:rsidRDefault="0033290F" w:rsidP="00B66FDE">
            <w:pPr>
              <w:spacing w:line="276" w:lineRule="auto"/>
              <w:rPr>
                <w:rFonts w:cs="Arial"/>
                <w:sz w:val="20"/>
                <w:szCs w:val="20"/>
              </w:rPr>
            </w:pPr>
            <w:r w:rsidRPr="0033290F">
              <w:rPr>
                <w:rFonts w:cs="Arial"/>
                <w:sz w:val="20"/>
                <w:szCs w:val="20"/>
              </w:rPr>
              <w:lastRenderedPageBreak/>
              <w:t>Ano</w:t>
            </w:r>
          </w:p>
          <w:p w:rsidR="00381F60" w:rsidRPr="00250A0D" w:rsidRDefault="00381F60" w:rsidP="00B66FDE">
            <w:pPr>
              <w:spacing w:line="276" w:lineRule="auto"/>
              <w:rPr>
                <w:rFonts w:cs="Arial"/>
                <w:sz w:val="20"/>
                <w:szCs w:val="20"/>
              </w:rPr>
            </w:pPr>
          </w:p>
          <w:p w:rsidR="00381F60" w:rsidRPr="00250A0D" w:rsidRDefault="00381F60" w:rsidP="00B66FDE">
            <w:pPr>
              <w:spacing w:line="276" w:lineRule="auto"/>
              <w:rPr>
                <w:rFonts w:cs="Arial"/>
                <w:sz w:val="20"/>
                <w:szCs w:val="20"/>
              </w:rPr>
            </w:pPr>
          </w:p>
          <w:p w:rsidR="00381F60" w:rsidRPr="00250A0D" w:rsidRDefault="00381F60" w:rsidP="00B66FDE">
            <w:pPr>
              <w:spacing w:line="276" w:lineRule="auto"/>
              <w:rPr>
                <w:rFonts w:cs="Arial"/>
                <w:sz w:val="20"/>
                <w:szCs w:val="20"/>
              </w:rPr>
            </w:pPr>
          </w:p>
          <w:p w:rsidR="00381F60" w:rsidRPr="00250A0D" w:rsidRDefault="00381F60" w:rsidP="00B66FDE">
            <w:pPr>
              <w:spacing w:line="276" w:lineRule="auto"/>
              <w:rPr>
                <w:rFonts w:cs="Arial"/>
                <w:sz w:val="20"/>
                <w:szCs w:val="20"/>
              </w:rPr>
            </w:pPr>
          </w:p>
          <w:p w:rsidR="00381F60" w:rsidRPr="00250A0D" w:rsidRDefault="00381F60" w:rsidP="00B66FDE">
            <w:pPr>
              <w:spacing w:line="276" w:lineRule="auto"/>
              <w:rPr>
                <w:rFonts w:cs="Arial"/>
                <w:sz w:val="20"/>
                <w:szCs w:val="20"/>
              </w:rPr>
            </w:pPr>
          </w:p>
          <w:p w:rsidR="00381F60" w:rsidRPr="00250A0D" w:rsidRDefault="00381F60" w:rsidP="00B66FDE">
            <w:pPr>
              <w:spacing w:line="276" w:lineRule="auto"/>
              <w:rPr>
                <w:rFonts w:cs="Arial"/>
                <w:sz w:val="20"/>
                <w:szCs w:val="20"/>
              </w:rPr>
            </w:pPr>
          </w:p>
          <w:p w:rsidR="00381F60" w:rsidRPr="00250A0D" w:rsidRDefault="00381F60" w:rsidP="00B66FDE">
            <w:pPr>
              <w:spacing w:line="276" w:lineRule="auto"/>
              <w:rPr>
                <w:rFonts w:cs="Arial"/>
                <w:sz w:val="20"/>
                <w:szCs w:val="20"/>
              </w:rPr>
            </w:pPr>
          </w:p>
          <w:p w:rsidR="00381F60" w:rsidRPr="00250A0D" w:rsidRDefault="00381F60" w:rsidP="00B66FDE">
            <w:pPr>
              <w:spacing w:line="276" w:lineRule="auto"/>
              <w:rPr>
                <w:rFonts w:cs="Arial"/>
                <w:sz w:val="20"/>
                <w:szCs w:val="20"/>
              </w:rPr>
            </w:pPr>
          </w:p>
        </w:tc>
        <w:tc>
          <w:tcPr>
            <w:tcW w:w="2693" w:type="dxa"/>
          </w:tcPr>
          <w:p w:rsidR="00381F60" w:rsidRPr="00250A0D" w:rsidRDefault="00332B77" w:rsidP="00B66FDE">
            <w:pPr>
              <w:spacing w:line="276" w:lineRule="auto"/>
              <w:rPr>
                <w:sz w:val="20"/>
                <w:szCs w:val="20"/>
              </w:rPr>
            </w:pPr>
            <w:hyperlink r:id="rId37" w:history="1">
              <w:r w:rsidR="0033290F" w:rsidRPr="0033290F">
                <w:rPr>
                  <w:sz w:val="20"/>
                  <w:szCs w:val="20"/>
                </w:rPr>
                <w:t>www.uohs.cz/cs/verejna-podpora/akuality-z-verejne-podpory.html</w:t>
              </w:r>
            </w:hyperlink>
          </w:p>
          <w:p w:rsidR="00674BC9" w:rsidRDefault="00332B77">
            <w:pPr>
              <w:pStyle w:val="Default"/>
              <w:jc w:val="both"/>
              <w:rPr>
                <w:sz w:val="20"/>
                <w:szCs w:val="20"/>
              </w:rPr>
            </w:pPr>
            <w:hyperlink r:id="rId38" w:history="1">
              <w:r w:rsidR="0033290F" w:rsidRPr="0033290F">
                <w:rPr>
                  <w:rStyle w:val="Hypertextovodkaz"/>
                  <w:rFonts w:ascii="Cambria" w:hAnsi="Cambria"/>
                  <w:color w:val="auto"/>
                  <w:sz w:val="20"/>
                  <w:szCs w:val="20"/>
                </w:rPr>
                <w:t>http://www.vzdelavaninsrr.cz/</w:t>
              </w:r>
            </w:hyperlink>
            <w:r w:rsidR="0033290F" w:rsidRPr="0033290F">
              <w:rPr>
                <w:rFonts w:ascii="Cambria" w:hAnsi="Cambria"/>
                <w:color w:val="auto"/>
                <w:sz w:val="20"/>
                <w:szCs w:val="20"/>
              </w:rPr>
              <w:t xml:space="preserve"> </w:t>
            </w:r>
          </w:p>
          <w:p w:rsidR="00674BC9" w:rsidRDefault="00674BC9">
            <w:pPr>
              <w:pStyle w:val="Default"/>
              <w:jc w:val="both"/>
              <w:rPr>
                <w:sz w:val="20"/>
                <w:szCs w:val="20"/>
              </w:rPr>
            </w:pPr>
          </w:p>
          <w:p w:rsidR="00674BC9" w:rsidRDefault="0033290F">
            <w:pPr>
              <w:pStyle w:val="Default"/>
              <w:jc w:val="both"/>
              <w:rPr>
                <w:sz w:val="20"/>
                <w:szCs w:val="20"/>
              </w:rPr>
            </w:pPr>
            <w:proofErr w:type="gramStart"/>
            <w:r w:rsidRPr="0033290F">
              <w:rPr>
                <w:rFonts w:ascii="Cambria" w:hAnsi="Cambria"/>
                <w:color w:val="auto"/>
                <w:sz w:val="20"/>
                <w:szCs w:val="20"/>
              </w:rPr>
              <w:lastRenderedPageBreak/>
              <w:t>www.strukturalni-fondy</w:t>
            </w:r>
            <w:proofErr w:type="gramEnd"/>
            <w:r w:rsidRPr="0033290F">
              <w:rPr>
                <w:rFonts w:ascii="Cambria" w:hAnsi="Cambria"/>
                <w:color w:val="auto"/>
                <w:sz w:val="20"/>
                <w:szCs w:val="20"/>
              </w:rPr>
              <w:t xml:space="preserve">.cz </w:t>
            </w:r>
          </w:p>
        </w:tc>
        <w:tc>
          <w:tcPr>
            <w:tcW w:w="5245" w:type="dxa"/>
          </w:tcPr>
          <w:p w:rsidR="00381F60" w:rsidRPr="00250A0D" w:rsidRDefault="0033290F" w:rsidP="00B66FDE">
            <w:pPr>
              <w:spacing w:line="276" w:lineRule="auto"/>
              <w:rPr>
                <w:sz w:val="20"/>
                <w:szCs w:val="20"/>
              </w:rPr>
            </w:pPr>
            <w:r w:rsidRPr="0033290F">
              <w:rPr>
                <w:rFonts w:cs="Arial"/>
                <w:sz w:val="20"/>
                <w:szCs w:val="20"/>
              </w:rPr>
              <w:lastRenderedPageBreak/>
              <w:t xml:space="preserve">Specifické naplňování na národní úrovni je uvedeno v rámci Dohody o partnerství </w:t>
            </w:r>
            <w:r w:rsidRPr="0033290F">
              <w:rPr>
                <w:sz w:val="20"/>
                <w:szCs w:val="20"/>
              </w:rPr>
              <w:t xml:space="preserve">Doplnění ze strany OP ŽP: </w:t>
            </w:r>
          </w:p>
          <w:p w:rsidR="00C64F85" w:rsidRPr="00250A0D" w:rsidRDefault="0033290F" w:rsidP="00C64F85">
            <w:pPr>
              <w:pStyle w:val="Tabulka"/>
              <w:jc w:val="left"/>
              <w:rPr>
                <w:rFonts w:ascii="Cambria" w:hAnsi="Cambria" w:cs="Times New Roman"/>
                <w:sz w:val="20"/>
                <w:szCs w:val="20"/>
              </w:rPr>
            </w:pPr>
            <w:r w:rsidRPr="0033290F">
              <w:rPr>
                <w:rFonts w:cs="Arial"/>
                <w:sz w:val="20"/>
                <w:szCs w:val="20"/>
              </w:rPr>
              <w:t xml:space="preserve">Pracovníci implementační struktury jsou vzděláváni průběžně dle potřeby. Pravidla veřejné podpory představují stabilní součást základního modulu vzdělávacích akcí určených všem pracovníkům implementační struktury programu. Toto </w:t>
            </w:r>
            <w:r w:rsidRPr="0033290F">
              <w:rPr>
                <w:rFonts w:cs="Arial"/>
                <w:sz w:val="20"/>
                <w:szCs w:val="20"/>
              </w:rPr>
              <w:lastRenderedPageBreak/>
              <w:t xml:space="preserve">vzdělávání je zajištěno řídicím orgánem a doplňuje vzdělávací akce zajišťované MMR-NOK. </w:t>
            </w:r>
            <w:r w:rsidRPr="0033290F">
              <w:rPr>
                <w:rFonts w:ascii="Cambria" w:hAnsi="Cambria" w:cs="Times New Roman"/>
                <w:sz w:val="20"/>
                <w:szCs w:val="20"/>
              </w:rPr>
              <w:t>Zaměstnanci odpovědní za oblast veřejné podpory  v </w:t>
            </w:r>
            <w:proofErr w:type="gramStart"/>
            <w:r w:rsidRPr="0033290F">
              <w:rPr>
                <w:rFonts w:ascii="Cambria" w:hAnsi="Cambria" w:cs="Times New Roman"/>
                <w:sz w:val="20"/>
                <w:szCs w:val="20"/>
              </w:rPr>
              <w:t>OP</w:t>
            </w:r>
            <w:proofErr w:type="gramEnd"/>
            <w:r w:rsidRPr="0033290F">
              <w:rPr>
                <w:rFonts w:ascii="Cambria" w:hAnsi="Cambria" w:cs="Times New Roman"/>
                <w:sz w:val="20"/>
                <w:szCs w:val="20"/>
              </w:rPr>
              <w:t xml:space="preserve"> ŽP  se také účastní různých školení k tomuto tématu, vč. zahraničních. Probíhá aktivní konzultace s ÚOHS a zároveň je zajištěna účast na pracovní skupině MMR k veřejné podpoře.</w:t>
            </w:r>
          </w:p>
          <w:p w:rsidR="00381F60" w:rsidRPr="00250A0D" w:rsidRDefault="0033290F" w:rsidP="00B66FDE">
            <w:pPr>
              <w:spacing w:line="276" w:lineRule="auto"/>
              <w:rPr>
                <w:rFonts w:cs="Arial"/>
                <w:sz w:val="20"/>
                <w:szCs w:val="20"/>
              </w:rPr>
            </w:pPr>
            <w:r w:rsidRPr="0033290F">
              <w:rPr>
                <w:rFonts w:cs="Times New Roman"/>
                <w:sz w:val="20"/>
                <w:szCs w:val="20"/>
              </w:rPr>
              <w:t>V rámci přípravy OP ŽP se problematika veřejné podpory již nyní diskutuje na příslušných pracovních skupinách, které tvoří obsah OP. Byla ustavena PS pro veřejnou podporu jako platforma pro metodické vedení implementační sktruktury, šíření a sdílení znalostí a poznatků, za účasti pracovníka ÚOHS.</w:t>
            </w:r>
          </w:p>
        </w:tc>
      </w:tr>
      <w:tr w:rsidR="00381F60" w:rsidRPr="00250A0D" w:rsidTr="000F2740">
        <w:tc>
          <w:tcPr>
            <w:tcW w:w="1384" w:type="dxa"/>
            <w:vMerge/>
          </w:tcPr>
          <w:p w:rsidR="00381F60" w:rsidRPr="00250A0D" w:rsidRDefault="00381F60" w:rsidP="00B66FDE">
            <w:pPr>
              <w:spacing w:line="276" w:lineRule="auto"/>
              <w:rPr>
                <w:rFonts w:cs="Arial"/>
                <w:sz w:val="20"/>
                <w:szCs w:val="20"/>
              </w:rPr>
            </w:pPr>
          </w:p>
        </w:tc>
        <w:tc>
          <w:tcPr>
            <w:tcW w:w="1134" w:type="dxa"/>
            <w:vMerge/>
          </w:tcPr>
          <w:p w:rsidR="00381F60" w:rsidRPr="00250A0D" w:rsidRDefault="00381F60" w:rsidP="00B66FDE">
            <w:pPr>
              <w:spacing w:line="276" w:lineRule="auto"/>
              <w:rPr>
                <w:rFonts w:cs="Arial"/>
                <w:sz w:val="20"/>
                <w:szCs w:val="20"/>
              </w:rPr>
            </w:pPr>
          </w:p>
        </w:tc>
        <w:tc>
          <w:tcPr>
            <w:tcW w:w="851" w:type="dxa"/>
            <w:vMerge/>
          </w:tcPr>
          <w:p w:rsidR="00381F60" w:rsidRPr="00250A0D" w:rsidRDefault="00381F60" w:rsidP="00B66FDE">
            <w:pPr>
              <w:spacing w:line="276" w:lineRule="auto"/>
              <w:rPr>
                <w:rFonts w:cs="Arial"/>
                <w:sz w:val="20"/>
                <w:szCs w:val="20"/>
              </w:rPr>
            </w:pPr>
          </w:p>
        </w:tc>
        <w:tc>
          <w:tcPr>
            <w:tcW w:w="1701" w:type="dxa"/>
          </w:tcPr>
          <w:p w:rsidR="00381F60" w:rsidRPr="00250A0D" w:rsidRDefault="0033290F" w:rsidP="00B66FDE">
            <w:pPr>
              <w:spacing w:line="276" w:lineRule="auto"/>
              <w:rPr>
                <w:rFonts w:cs="Arial"/>
                <w:sz w:val="20"/>
                <w:szCs w:val="20"/>
              </w:rPr>
            </w:pPr>
            <w:r w:rsidRPr="0033290F">
              <w:rPr>
                <w:rFonts w:cs="Arial"/>
                <w:sz w:val="20"/>
                <w:szCs w:val="20"/>
              </w:rPr>
              <w:t>Opatření pro posílení správní kapacity pro provádění a uplatňování právních předpisů Unie k veřejné podpoře</w:t>
            </w:r>
          </w:p>
        </w:tc>
        <w:tc>
          <w:tcPr>
            <w:tcW w:w="1134" w:type="dxa"/>
          </w:tcPr>
          <w:p w:rsidR="00381F60" w:rsidRPr="00250A0D" w:rsidRDefault="0033290F" w:rsidP="00B66FDE">
            <w:pPr>
              <w:spacing w:line="276" w:lineRule="auto"/>
              <w:rPr>
                <w:rFonts w:cs="Arial"/>
                <w:sz w:val="20"/>
                <w:szCs w:val="20"/>
              </w:rPr>
            </w:pPr>
            <w:r w:rsidRPr="0033290F">
              <w:rPr>
                <w:rFonts w:cs="Arial"/>
                <w:sz w:val="20"/>
                <w:szCs w:val="20"/>
              </w:rPr>
              <w:t>Nesplněno</w:t>
            </w:r>
          </w:p>
          <w:p w:rsidR="00381F60" w:rsidRPr="00250A0D" w:rsidRDefault="00381F60" w:rsidP="00B66FDE">
            <w:pPr>
              <w:spacing w:line="276" w:lineRule="auto"/>
              <w:rPr>
                <w:rFonts w:cs="Arial"/>
                <w:sz w:val="20"/>
                <w:szCs w:val="20"/>
              </w:rPr>
            </w:pPr>
          </w:p>
          <w:p w:rsidR="00381F60" w:rsidRPr="00250A0D" w:rsidRDefault="00381F60" w:rsidP="00B66FDE">
            <w:pPr>
              <w:spacing w:line="276" w:lineRule="auto"/>
              <w:rPr>
                <w:rFonts w:cs="Arial"/>
                <w:sz w:val="20"/>
                <w:szCs w:val="20"/>
              </w:rPr>
            </w:pPr>
          </w:p>
          <w:p w:rsidR="00381F60" w:rsidRPr="00250A0D" w:rsidRDefault="00381F60" w:rsidP="00B66FDE">
            <w:pPr>
              <w:spacing w:line="276" w:lineRule="auto"/>
              <w:rPr>
                <w:rFonts w:cs="Arial"/>
                <w:sz w:val="20"/>
                <w:szCs w:val="20"/>
              </w:rPr>
            </w:pPr>
          </w:p>
        </w:tc>
        <w:tc>
          <w:tcPr>
            <w:tcW w:w="2693" w:type="dxa"/>
          </w:tcPr>
          <w:p w:rsidR="00381F60" w:rsidRPr="00250A0D" w:rsidRDefault="00381F60" w:rsidP="00B66FDE">
            <w:pPr>
              <w:spacing w:line="276" w:lineRule="auto"/>
              <w:rPr>
                <w:rFonts w:cs="Arial"/>
                <w:sz w:val="20"/>
                <w:szCs w:val="20"/>
              </w:rPr>
            </w:pPr>
          </w:p>
        </w:tc>
        <w:tc>
          <w:tcPr>
            <w:tcW w:w="5245" w:type="dxa"/>
          </w:tcPr>
          <w:p w:rsidR="00866866" w:rsidRPr="00250A0D" w:rsidRDefault="0033290F" w:rsidP="00B66FDE">
            <w:pPr>
              <w:spacing w:line="276" w:lineRule="auto"/>
              <w:rPr>
                <w:rFonts w:cs="Arial"/>
                <w:sz w:val="20"/>
                <w:szCs w:val="20"/>
              </w:rPr>
            </w:pPr>
            <w:r w:rsidRPr="0033290F">
              <w:rPr>
                <w:rFonts w:cs="Arial"/>
                <w:sz w:val="20"/>
                <w:szCs w:val="20"/>
              </w:rPr>
              <w:t xml:space="preserve">Specifické naplňování na národní úrovni je uvedeno v rámci Dohody o partnerství </w:t>
            </w:r>
          </w:p>
          <w:p w:rsidR="00866866" w:rsidRPr="00250A0D" w:rsidRDefault="0033290F" w:rsidP="00866866">
            <w:pPr>
              <w:spacing w:line="276" w:lineRule="auto"/>
              <w:rPr>
                <w:sz w:val="20"/>
                <w:szCs w:val="20"/>
              </w:rPr>
            </w:pPr>
            <w:r w:rsidRPr="0033290F">
              <w:rPr>
                <w:sz w:val="20"/>
                <w:szCs w:val="20"/>
              </w:rPr>
              <w:t xml:space="preserve">Doplnění ze strany OP ŽP: </w:t>
            </w:r>
          </w:p>
          <w:p w:rsidR="00866866" w:rsidRPr="00250A0D" w:rsidRDefault="0033290F" w:rsidP="00866866">
            <w:pPr>
              <w:spacing w:line="276" w:lineRule="auto"/>
              <w:rPr>
                <w:rFonts w:cs="Arial"/>
                <w:sz w:val="20"/>
                <w:szCs w:val="20"/>
              </w:rPr>
            </w:pPr>
            <w:r w:rsidRPr="0033290F">
              <w:rPr>
                <w:rFonts w:cs="Arial"/>
                <w:sz w:val="20"/>
                <w:szCs w:val="20"/>
              </w:rPr>
              <w:t xml:space="preserve">Řízení lidských zdrojů v implementační struktuře probíhá s ohledem na činnosti, které je nutné zajistit. Dochází k plánování administrativní kapacity s ohledem na počty projektů v administraci i na plánované výzvy a jejich alokace. Jednotlivé úrovně programu řídicí orgán </w:t>
            </w:r>
            <w:r w:rsidRPr="0033290F">
              <w:rPr>
                <w:rFonts w:cs="Arial"/>
                <w:sz w:val="20"/>
                <w:szCs w:val="20"/>
              </w:rPr>
              <w:lastRenderedPageBreak/>
              <w:t xml:space="preserve">vyhodnocuje z hlediska pravděpodobnosti, v jakých svých částech mohou a za jakých podmínek zakládat veřejnou podporu. Na základě této identifikace dochází k odhadům potřebné kapacity lidských zdrojů. Řídicí orgán plánuje posílení administrativní kapacity před zahájením implementace operačního programu. </w:t>
            </w:r>
          </w:p>
          <w:p w:rsidR="00866866" w:rsidRPr="00250A0D" w:rsidRDefault="0033290F" w:rsidP="00866866">
            <w:pPr>
              <w:spacing w:line="276" w:lineRule="auto"/>
              <w:rPr>
                <w:rFonts w:cs="Times New Roman"/>
                <w:sz w:val="20"/>
                <w:szCs w:val="20"/>
              </w:rPr>
            </w:pPr>
            <w:r w:rsidRPr="0033290F">
              <w:rPr>
                <w:rFonts w:cs="Times New Roman"/>
                <w:sz w:val="20"/>
                <w:szCs w:val="20"/>
              </w:rPr>
              <w:t xml:space="preserve">Na MŽP je v rámci MŽP agenda veřejné podpory v gesci odboru fondů EU. Oblast veřejné podpory je zajišťována stabilním týmem kvalifikovaných zaměstnanců. </w:t>
            </w:r>
          </w:p>
          <w:p w:rsidR="00381F60" w:rsidRPr="00250A0D" w:rsidRDefault="0033290F" w:rsidP="00B66FDE">
            <w:pPr>
              <w:spacing w:line="276" w:lineRule="auto"/>
              <w:rPr>
                <w:rFonts w:cs="Arial"/>
                <w:sz w:val="20"/>
                <w:szCs w:val="20"/>
              </w:rPr>
            </w:pPr>
            <w:r w:rsidRPr="0033290F">
              <w:rPr>
                <w:b/>
                <w:sz w:val="20"/>
                <w:szCs w:val="20"/>
              </w:rPr>
              <w:t>Podrobnější specifikace v  příloze č. 8.</w:t>
            </w:r>
          </w:p>
        </w:tc>
      </w:tr>
      <w:tr w:rsidR="00381F60" w:rsidRPr="00250A0D" w:rsidTr="000F2740">
        <w:tc>
          <w:tcPr>
            <w:tcW w:w="1384" w:type="dxa"/>
            <w:vMerge w:val="restart"/>
          </w:tcPr>
          <w:p w:rsidR="00381F60" w:rsidRPr="00250A0D" w:rsidRDefault="0033290F" w:rsidP="008E618E">
            <w:pPr>
              <w:spacing w:line="276" w:lineRule="auto"/>
              <w:rPr>
                <w:sz w:val="20"/>
                <w:szCs w:val="20"/>
              </w:rPr>
            </w:pPr>
            <w:r w:rsidRPr="0033290F">
              <w:rPr>
                <w:sz w:val="20"/>
                <w:szCs w:val="20"/>
              </w:rPr>
              <w:lastRenderedPageBreak/>
              <w:t xml:space="preserve">Č. 6: Existence opatření pro účinné uplatňování právních předpisů Unie pro oblast životního </w:t>
            </w:r>
            <w:r w:rsidRPr="0033290F">
              <w:rPr>
                <w:sz w:val="20"/>
                <w:szCs w:val="20"/>
              </w:rPr>
              <w:lastRenderedPageBreak/>
              <w:t>prostředí týkajících se EIA a SEA</w:t>
            </w:r>
          </w:p>
        </w:tc>
        <w:tc>
          <w:tcPr>
            <w:tcW w:w="1134" w:type="dxa"/>
            <w:vMerge w:val="restart"/>
          </w:tcPr>
          <w:p w:rsidR="00381F60" w:rsidRPr="00250A0D" w:rsidRDefault="0033290F" w:rsidP="00B66FDE">
            <w:pPr>
              <w:spacing w:line="276" w:lineRule="auto"/>
              <w:rPr>
                <w:sz w:val="20"/>
                <w:szCs w:val="20"/>
              </w:rPr>
            </w:pPr>
            <w:r w:rsidRPr="0033290F">
              <w:rPr>
                <w:sz w:val="20"/>
                <w:szCs w:val="20"/>
              </w:rPr>
              <w:lastRenderedPageBreak/>
              <w:t>Všechny PO OP ŽP 2014 – 2020 a ostatní operační programy</w:t>
            </w:r>
            <w:r w:rsidR="00597D76" w:rsidRPr="00250A0D">
              <w:rPr>
                <w:sz w:val="20"/>
                <w:szCs w:val="20"/>
              </w:rPr>
              <w:t xml:space="preserve"> (vyjma </w:t>
            </w:r>
            <w:proofErr w:type="gramStart"/>
            <w:r w:rsidR="00597D76" w:rsidRPr="00250A0D">
              <w:rPr>
                <w:sz w:val="20"/>
                <w:szCs w:val="20"/>
              </w:rPr>
              <w:t>OP</w:t>
            </w:r>
            <w:proofErr w:type="gramEnd"/>
            <w:r w:rsidR="00597D76" w:rsidRPr="00250A0D">
              <w:rPr>
                <w:sz w:val="20"/>
                <w:szCs w:val="20"/>
              </w:rPr>
              <w:t xml:space="preserve"> TP a OP Z)</w:t>
            </w:r>
          </w:p>
        </w:tc>
        <w:tc>
          <w:tcPr>
            <w:tcW w:w="851" w:type="dxa"/>
            <w:vMerge w:val="restart"/>
          </w:tcPr>
          <w:p w:rsidR="00381F60" w:rsidRPr="00250A0D" w:rsidRDefault="0033290F" w:rsidP="00B66FDE">
            <w:pPr>
              <w:spacing w:line="276" w:lineRule="auto"/>
              <w:rPr>
                <w:sz w:val="20"/>
                <w:szCs w:val="20"/>
              </w:rPr>
            </w:pPr>
            <w:r w:rsidRPr="0033290F">
              <w:rPr>
                <w:sz w:val="20"/>
                <w:szCs w:val="20"/>
              </w:rPr>
              <w:t xml:space="preserve"> </w:t>
            </w:r>
            <w:r w:rsidRPr="0033290F">
              <w:rPr>
                <w:sz w:val="20"/>
                <w:szCs w:val="20"/>
                <w:u w:val="single"/>
              </w:rPr>
              <w:t>Nesplněno</w:t>
            </w:r>
          </w:p>
        </w:tc>
        <w:tc>
          <w:tcPr>
            <w:tcW w:w="1701" w:type="dxa"/>
          </w:tcPr>
          <w:p w:rsidR="00381F60" w:rsidRPr="00250A0D" w:rsidRDefault="0033290F" w:rsidP="00B66FDE">
            <w:pPr>
              <w:spacing w:line="276" w:lineRule="auto"/>
              <w:rPr>
                <w:sz w:val="20"/>
                <w:szCs w:val="20"/>
              </w:rPr>
            </w:pPr>
            <w:r w:rsidRPr="0033290F">
              <w:rPr>
                <w:sz w:val="20"/>
                <w:szCs w:val="20"/>
              </w:rPr>
              <w:t xml:space="preserve">Opatření pro účinné uplatňování směrnice Evropského parlamentu a Rady 2011/92/EU (EIA) a směrnice Evropského </w:t>
            </w:r>
            <w:r w:rsidRPr="0033290F">
              <w:rPr>
                <w:sz w:val="20"/>
                <w:szCs w:val="20"/>
              </w:rPr>
              <w:lastRenderedPageBreak/>
              <w:t>parlamentu a Rady 2001/42/ES (SEA).</w:t>
            </w:r>
          </w:p>
        </w:tc>
        <w:tc>
          <w:tcPr>
            <w:tcW w:w="1134" w:type="dxa"/>
          </w:tcPr>
          <w:p w:rsidR="00381F60" w:rsidRPr="00250A0D" w:rsidRDefault="0033290F" w:rsidP="00B66FDE">
            <w:pPr>
              <w:spacing w:line="276" w:lineRule="auto"/>
              <w:rPr>
                <w:sz w:val="20"/>
                <w:szCs w:val="20"/>
              </w:rPr>
            </w:pPr>
            <w:r w:rsidRPr="0033290F">
              <w:rPr>
                <w:sz w:val="20"/>
                <w:szCs w:val="20"/>
                <w:u w:val="single"/>
              </w:rPr>
              <w:lastRenderedPageBreak/>
              <w:t>Nesplněno</w:t>
            </w:r>
          </w:p>
        </w:tc>
        <w:tc>
          <w:tcPr>
            <w:tcW w:w="2693" w:type="dxa"/>
            <w:tcBorders>
              <w:bottom w:val="single" w:sz="2" w:space="0" w:color="auto"/>
            </w:tcBorders>
          </w:tcPr>
          <w:p w:rsidR="00381F60" w:rsidRPr="00250A0D" w:rsidRDefault="0033290F" w:rsidP="00B66FDE">
            <w:pPr>
              <w:spacing w:line="276" w:lineRule="auto"/>
              <w:rPr>
                <w:sz w:val="20"/>
                <w:szCs w:val="20"/>
              </w:rPr>
            </w:pPr>
            <w:r w:rsidRPr="0033290F">
              <w:rPr>
                <w:sz w:val="20"/>
                <w:szCs w:val="20"/>
              </w:rPr>
              <w:t>Příslušná ustanovení zákona č. 100/2001 Sb., o posuzování vlivů na životní prostředí, týkající se posuzování vlivů koncepcí na životní prostředí.</w:t>
            </w:r>
          </w:p>
          <w:p w:rsidR="00381F60" w:rsidRPr="00250A0D" w:rsidRDefault="00332B77" w:rsidP="00B66FDE">
            <w:pPr>
              <w:spacing w:line="276" w:lineRule="auto"/>
              <w:rPr>
                <w:sz w:val="20"/>
                <w:szCs w:val="20"/>
              </w:rPr>
            </w:pPr>
            <w:hyperlink r:id="rId39" w:history="1">
              <w:r w:rsidR="00227804">
                <w:rPr>
                  <w:rStyle w:val="Hypertextovodkaz"/>
                  <w:color w:val="auto"/>
                  <w:sz w:val="20"/>
                  <w:szCs w:val="20"/>
                </w:rPr>
                <w:t>http://portal.cenia.cz/eiasea/static/sea_legislativa</w:t>
              </w:r>
            </w:hyperlink>
          </w:p>
          <w:p w:rsidR="00381F60" w:rsidRPr="00250A0D" w:rsidRDefault="0033290F" w:rsidP="00B66FDE">
            <w:pPr>
              <w:spacing w:line="276" w:lineRule="auto"/>
              <w:rPr>
                <w:sz w:val="20"/>
                <w:szCs w:val="20"/>
              </w:rPr>
            </w:pPr>
            <w:r w:rsidRPr="0033290F">
              <w:rPr>
                <w:sz w:val="20"/>
                <w:szCs w:val="20"/>
              </w:rPr>
              <w:lastRenderedPageBreak/>
              <w:t>§ 19 zákona č. 100/2001 Sb., o posuzování vlivů na životní prostředí:</w:t>
            </w:r>
          </w:p>
          <w:p w:rsidR="00381F60" w:rsidRPr="00250A0D" w:rsidRDefault="00332B77" w:rsidP="00B66FDE">
            <w:pPr>
              <w:spacing w:line="276" w:lineRule="auto"/>
              <w:rPr>
                <w:sz w:val="20"/>
                <w:szCs w:val="20"/>
              </w:rPr>
            </w:pPr>
            <w:hyperlink r:id="rId40" w:history="1">
              <w:r w:rsidR="0033290F" w:rsidRPr="0033290F">
                <w:rPr>
                  <w:sz w:val="20"/>
                  <w:szCs w:val="20"/>
                </w:rPr>
                <w:t>http://portal.cenia.cz/eiasea/static/eia_legislativa</w:t>
              </w:r>
            </w:hyperlink>
          </w:p>
        </w:tc>
        <w:tc>
          <w:tcPr>
            <w:tcW w:w="5245" w:type="dxa"/>
            <w:tcBorders>
              <w:bottom w:val="single" w:sz="2" w:space="0" w:color="auto"/>
            </w:tcBorders>
          </w:tcPr>
          <w:p w:rsidR="00381F60" w:rsidRPr="00250A0D" w:rsidRDefault="0033290F" w:rsidP="00B66FDE">
            <w:pPr>
              <w:spacing w:line="276" w:lineRule="auto"/>
              <w:rPr>
                <w:sz w:val="20"/>
                <w:szCs w:val="20"/>
              </w:rPr>
            </w:pPr>
            <w:r w:rsidRPr="0033290F">
              <w:rPr>
                <w:sz w:val="20"/>
                <w:szCs w:val="20"/>
              </w:rPr>
              <w:lastRenderedPageBreak/>
              <w:t xml:space="preserve">Všechny požadavky směrnice SEA jsou v českém právním řádu plněny. </w:t>
            </w:r>
          </w:p>
          <w:p w:rsidR="00597D76" w:rsidRPr="00250A0D" w:rsidRDefault="0033290F" w:rsidP="00B66FDE">
            <w:pPr>
              <w:spacing w:line="276" w:lineRule="auto"/>
              <w:rPr>
                <w:sz w:val="20"/>
                <w:szCs w:val="20"/>
              </w:rPr>
            </w:pPr>
            <w:r w:rsidRPr="0033290F">
              <w:rPr>
                <w:b/>
                <w:sz w:val="20"/>
                <w:szCs w:val="20"/>
              </w:rPr>
              <w:t>Naplňování obecné předběžné podmínky 6 je přesně specifikováno v rámci akčního plánu v gesci MŽP v příloze č. 7.</w:t>
            </w:r>
          </w:p>
          <w:p w:rsidR="00674BC9" w:rsidRDefault="00674BC9">
            <w:pPr>
              <w:pStyle w:val="Default"/>
              <w:spacing w:afterAutospacing="1"/>
              <w:jc w:val="both"/>
              <w:rPr>
                <w:sz w:val="20"/>
                <w:szCs w:val="20"/>
              </w:rPr>
            </w:pPr>
          </w:p>
        </w:tc>
      </w:tr>
      <w:tr w:rsidR="00381F60" w:rsidRPr="00250A0D" w:rsidTr="000F2740">
        <w:trPr>
          <w:trHeight w:val="3259"/>
        </w:trPr>
        <w:tc>
          <w:tcPr>
            <w:tcW w:w="1384" w:type="dxa"/>
            <w:vMerge/>
          </w:tcPr>
          <w:p w:rsidR="00381F60" w:rsidRPr="00250A0D" w:rsidRDefault="00381F60" w:rsidP="00B66FDE">
            <w:pPr>
              <w:spacing w:line="276" w:lineRule="auto"/>
              <w:rPr>
                <w:sz w:val="20"/>
                <w:szCs w:val="20"/>
              </w:rPr>
            </w:pPr>
          </w:p>
        </w:tc>
        <w:tc>
          <w:tcPr>
            <w:tcW w:w="1134" w:type="dxa"/>
            <w:vMerge/>
          </w:tcPr>
          <w:p w:rsidR="00381F60" w:rsidRPr="00250A0D" w:rsidRDefault="00381F60" w:rsidP="00B66FDE">
            <w:pPr>
              <w:spacing w:line="276" w:lineRule="auto"/>
              <w:rPr>
                <w:sz w:val="20"/>
                <w:szCs w:val="20"/>
              </w:rPr>
            </w:pPr>
          </w:p>
        </w:tc>
        <w:tc>
          <w:tcPr>
            <w:tcW w:w="851" w:type="dxa"/>
            <w:vMerge/>
          </w:tcPr>
          <w:p w:rsidR="00381F60" w:rsidRPr="00250A0D" w:rsidRDefault="00381F60" w:rsidP="00B66FDE">
            <w:pPr>
              <w:spacing w:line="276" w:lineRule="auto"/>
              <w:rPr>
                <w:sz w:val="20"/>
                <w:szCs w:val="20"/>
              </w:rPr>
            </w:pPr>
          </w:p>
        </w:tc>
        <w:tc>
          <w:tcPr>
            <w:tcW w:w="1701" w:type="dxa"/>
          </w:tcPr>
          <w:p w:rsidR="00381F60" w:rsidRPr="00250A0D" w:rsidRDefault="0033290F" w:rsidP="00B66FDE">
            <w:pPr>
              <w:spacing w:line="276" w:lineRule="auto"/>
              <w:rPr>
                <w:sz w:val="20"/>
                <w:szCs w:val="20"/>
              </w:rPr>
            </w:pPr>
            <w:r w:rsidRPr="0033290F">
              <w:rPr>
                <w:sz w:val="20"/>
                <w:szCs w:val="20"/>
              </w:rPr>
              <w:t>Opatření pro odbornou přípravu a šíření informací pro zaměstnance podílející se na provádění směrnic týkajících se EIA a SEA</w:t>
            </w:r>
          </w:p>
        </w:tc>
        <w:tc>
          <w:tcPr>
            <w:tcW w:w="1134" w:type="dxa"/>
          </w:tcPr>
          <w:p w:rsidR="00381F60" w:rsidRPr="00250A0D" w:rsidRDefault="0033290F" w:rsidP="00B66FDE">
            <w:pPr>
              <w:spacing w:line="276" w:lineRule="auto"/>
              <w:rPr>
                <w:sz w:val="20"/>
                <w:szCs w:val="20"/>
              </w:rPr>
            </w:pPr>
            <w:r w:rsidRPr="0033290F">
              <w:rPr>
                <w:sz w:val="20"/>
                <w:szCs w:val="20"/>
              </w:rPr>
              <w:t>Ano</w:t>
            </w:r>
          </w:p>
        </w:tc>
        <w:tc>
          <w:tcPr>
            <w:tcW w:w="2693" w:type="dxa"/>
            <w:tcBorders>
              <w:top w:val="single" w:sz="2" w:space="0" w:color="auto"/>
            </w:tcBorders>
          </w:tcPr>
          <w:p w:rsidR="00381F60" w:rsidRPr="00250A0D" w:rsidRDefault="0033290F" w:rsidP="00B66FDE">
            <w:pPr>
              <w:spacing w:line="276" w:lineRule="auto"/>
              <w:rPr>
                <w:sz w:val="20"/>
                <w:szCs w:val="20"/>
              </w:rPr>
            </w:pPr>
            <w:r w:rsidRPr="0033290F">
              <w:rPr>
                <w:sz w:val="20"/>
                <w:szCs w:val="20"/>
              </w:rPr>
              <w:t>§21 a 22 zákona č. 100/2001 Sb., o posuzování vlivů na životní prostředí</w:t>
            </w:r>
          </w:p>
          <w:p w:rsidR="00381F60" w:rsidRPr="00250A0D" w:rsidRDefault="0033290F" w:rsidP="00B66FDE">
            <w:pPr>
              <w:spacing w:line="276" w:lineRule="auto"/>
              <w:rPr>
                <w:sz w:val="20"/>
                <w:szCs w:val="20"/>
              </w:rPr>
            </w:pPr>
            <w:r w:rsidRPr="0033290F">
              <w:rPr>
                <w:sz w:val="20"/>
                <w:szCs w:val="20"/>
              </w:rPr>
              <w:t>§21 zákona č. 312/2002 Sb., o úřednících územních samosprávných celků</w:t>
            </w:r>
          </w:p>
          <w:p w:rsidR="00381F60" w:rsidRPr="00250A0D" w:rsidRDefault="0033290F" w:rsidP="00B66FDE">
            <w:pPr>
              <w:spacing w:line="276" w:lineRule="auto"/>
              <w:rPr>
                <w:sz w:val="20"/>
                <w:szCs w:val="20"/>
              </w:rPr>
            </w:pPr>
            <w:r w:rsidRPr="0033290F">
              <w:rPr>
                <w:sz w:val="20"/>
                <w:szCs w:val="20"/>
              </w:rPr>
              <w:t>Usnesení Vlády ČR ze dne 30. listopadu 2005 č. 1542</w:t>
            </w:r>
          </w:p>
          <w:p w:rsidR="00381F60" w:rsidRPr="00250A0D" w:rsidRDefault="00332B77" w:rsidP="00B66FDE">
            <w:pPr>
              <w:spacing w:line="276" w:lineRule="auto"/>
              <w:rPr>
                <w:sz w:val="20"/>
                <w:szCs w:val="20"/>
              </w:rPr>
            </w:pPr>
            <w:hyperlink r:id="rId41" w:history="1">
              <w:r w:rsidR="0033290F" w:rsidRPr="0033290F">
                <w:rPr>
                  <w:sz w:val="20"/>
                  <w:szCs w:val="20"/>
                </w:rPr>
                <w:t>http://www.mzp.cz/cz/posuzovani_vlivu_zivotni_prostredi</w:t>
              </w:r>
            </w:hyperlink>
            <w:r w:rsidR="0033290F" w:rsidRPr="0033290F">
              <w:rPr>
                <w:sz w:val="20"/>
                <w:szCs w:val="20"/>
              </w:rPr>
              <w:t xml:space="preserve"> </w:t>
            </w:r>
          </w:p>
          <w:p w:rsidR="00381F60" w:rsidRPr="00250A0D" w:rsidRDefault="00332B77" w:rsidP="00B66FDE">
            <w:pPr>
              <w:spacing w:line="276" w:lineRule="auto"/>
              <w:rPr>
                <w:sz w:val="20"/>
                <w:szCs w:val="20"/>
              </w:rPr>
            </w:pPr>
            <w:hyperlink r:id="rId42" w:history="1">
              <w:r w:rsidR="0033290F" w:rsidRPr="0033290F">
                <w:rPr>
                  <w:sz w:val="20"/>
                  <w:szCs w:val="20"/>
                </w:rPr>
                <w:t>http://portal.cenia.cz/eiasea</w:t>
              </w:r>
              <w:r w:rsidR="0033290F" w:rsidRPr="0033290F">
                <w:rPr>
                  <w:sz w:val="20"/>
                  <w:szCs w:val="20"/>
                </w:rPr>
                <w:lastRenderedPageBreak/>
                <w:t>/view/eia100_cr</w:t>
              </w:r>
            </w:hyperlink>
            <w:r w:rsidR="0033290F" w:rsidRPr="0033290F">
              <w:rPr>
                <w:sz w:val="20"/>
                <w:szCs w:val="20"/>
              </w:rPr>
              <w:t xml:space="preserve"> (+ záložka legislativa, pokyny a sdělení atd.)</w:t>
            </w:r>
          </w:p>
          <w:p w:rsidR="00381F60" w:rsidRPr="00250A0D" w:rsidRDefault="00332B77" w:rsidP="00B66FDE">
            <w:pPr>
              <w:spacing w:line="276" w:lineRule="auto"/>
              <w:rPr>
                <w:sz w:val="20"/>
                <w:szCs w:val="20"/>
              </w:rPr>
            </w:pPr>
            <w:hyperlink r:id="rId43" w:history="1">
              <w:r w:rsidR="0033290F" w:rsidRPr="0033290F">
                <w:rPr>
                  <w:sz w:val="20"/>
                  <w:szCs w:val="20"/>
                </w:rPr>
                <w:t>http://portal.cenia.cz/eiasea/view/SEA100_koncepce</w:t>
              </w:r>
            </w:hyperlink>
            <w:r w:rsidR="0033290F" w:rsidRPr="0033290F">
              <w:rPr>
                <w:sz w:val="20"/>
                <w:szCs w:val="20"/>
              </w:rPr>
              <w:t xml:space="preserve"> (+ záložka legislativa, pokyny a sdělení</w:t>
            </w:r>
          </w:p>
        </w:tc>
        <w:tc>
          <w:tcPr>
            <w:tcW w:w="5245" w:type="dxa"/>
            <w:tcBorders>
              <w:top w:val="single" w:sz="2" w:space="0" w:color="auto"/>
            </w:tcBorders>
          </w:tcPr>
          <w:p w:rsidR="00381F60" w:rsidRPr="00250A0D" w:rsidRDefault="0033290F" w:rsidP="00B66FDE">
            <w:pPr>
              <w:spacing w:line="276" w:lineRule="auto"/>
              <w:rPr>
                <w:sz w:val="20"/>
                <w:szCs w:val="20"/>
              </w:rPr>
            </w:pPr>
            <w:r w:rsidRPr="0033290F">
              <w:rPr>
                <w:b/>
                <w:sz w:val="20"/>
                <w:szCs w:val="20"/>
              </w:rPr>
              <w:lastRenderedPageBreak/>
              <w:t>Naplňování obecné předběžné podmínky 6 je přesně specifikováno v rámci akčního plánu v gesci MŽP v příloze č. 7.</w:t>
            </w:r>
          </w:p>
        </w:tc>
      </w:tr>
      <w:tr w:rsidR="00381F60" w:rsidRPr="00250A0D" w:rsidTr="000F2740">
        <w:tc>
          <w:tcPr>
            <w:tcW w:w="1384" w:type="dxa"/>
            <w:vMerge/>
          </w:tcPr>
          <w:p w:rsidR="00381F60" w:rsidRPr="00250A0D" w:rsidRDefault="00381F60" w:rsidP="00B66FDE">
            <w:pPr>
              <w:spacing w:line="276" w:lineRule="auto"/>
              <w:rPr>
                <w:sz w:val="20"/>
                <w:szCs w:val="20"/>
              </w:rPr>
            </w:pPr>
          </w:p>
        </w:tc>
        <w:tc>
          <w:tcPr>
            <w:tcW w:w="1134" w:type="dxa"/>
            <w:vMerge/>
          </w:tcPr>
          <w:p w:rsidR="00381F60" w:rsidRPr="00250A0D" w:rsidRDefault="00381F60" w:rsidP="00B66FDE">
            <w:pPr>
              <w:spacing w:line="276" w:lineRule="auto"/>
              <w:rPr>
                <w:sz w:val="20"/>
                <w:szCs w:val="20"/>
              </w:rPr>
            </w:pPr>
          </w:p>
        </w:tc>
        <w:tc>
          <w:tcPr>
            <w:tcW w:w="851" w:type="dxa"/>
            <w:vMerge/>
          </w:tcPr>
          <w:p w:rsidR="00381F60" w:rsidRPr="00250A0D" w:rsidRDefault="00381F60" w:rsidP="00B66FDE">
            <w:pPr>
              <w:spacing w:line="276" w:lineRule="auto"/>
              <w:rPr>
                <w:sz w:val="20"/>
                <w:szCs w:val="20"/>
              </w:rPr>
            </w:pPr>
          </w:p>
        </w:tc>
        <w:tc>
          <w:tcPr>
            <w:tcW w:w="1701" w:type="dxa"/>
          </w:tcPr>
          <w:p w:rsidR="00381F60" w:rsidRPr="00250A0D" w:rsidRDefault="0033290F" w:rsidP="00B66FDE">
            <w:pPr>
              <w:spacing w:line="276" w:lineRule="auto"/>
              <w:rPr>
                <w:sz w:val="20"/>
                <w:szCs w:val="20"/>
              </w:rPr>
            </w:pPr>
            <w:r w:rsidRPr="0033290F">
              <w:rPr>
                <w:sz w:val="20"/>
                <w:szCs w:val="20"/>
              </w:rPr>
              <w:t>Opatření k zajištění dostatečné správní kapacity</w:t>
            </w:r>
          </w:p>
        </w:tc>
        <w:tc>
          <w:tcPr>
            <w:tcW w:w="1134" w:type="dxa"/>
          </w:tcPr>
          <w:p w:rsidR="00674BC9" w:rsidRDefault="0033290F">
            <w:pPr>
              <w:rPr>
                <w:sz w:val="20"/>
                <w:szCs w:val="20"/>
              </w:rPr>
            </w:pPr>
            <w:r w:rsidRPr="0033290F">
              <w:rPr>
                <w:sz w:val="20"/>
                <w:szCs w:val="20"/>
              </w:rPr>
              <w:t>Ano</w:t>
            </w:r>
          </w:p>
        </w:tc>
        <w:tc>
          <w:tcPr>
            <w:tcW w:w="2693" w:type="dxa"/>
          </w:tcPr>
          <w:p w:rsidR="00674BC9" w:rsidRDefault="0033290F">
            <w:pPr>
              <w:rPr>
                <w:sz w:val="20"/>
                <w:szCs w:val="20"/>
              </w:rPr>
            </w:pPr>
            <w:r w:rsidRPr="0033290F">
              <w:rPr>
                <w:sz w:val="20"/>
                <w:szCs w:val="20"/>
              </w:rPr>
              <w:t>§21 a 22 zákona č. 100/2001 Sb., o posuzování vlivů na životní prostředí</w:t>
            </w:r>
          </w:p>
          <w:p w:rsidR="00674BC9" w:rsidRDefault="0033290F">
            <w:pPr>
              <w:rPr>
                <w:sz w:val="20"/>
                <w:szCs w:val="20"/>
              </w:rPr>
            </w:pPr>
            <w:r w:rsidRPr="0033290F">
              <w:rPr>
                <w:sz w:val="20"/>
                <w:szCs w:val="20"/>
              </w:rPr>
              <w:t>§21 zákona č. 312/2002 Sb., o úřednících územních samosprávných celků</w:t>
            </w:r>
          </w:p>
          <w:p w:rsidR="00674BC9" w:rsidRDefault="0033290F">
            <w:pPr>
              <w:rPr>
                <w:sz w:val="20"/>
                <w:szCs w:val="20"/>
              </w:rPr>
            </w:pPr>
            <w:r w:rsidRPr="0033290F">
              <w:rPr>
                <w:sz w:val="20"/>
                <w:szCs w:val="20"/>
              </w:rPr>
              <w:t>Usnesení Vlády ČR ze dne 30. listopadu 2005 č. 1542</w:t>
            </w:r>
          </w:p>
          <w:p w:rsidR="00674BC9" w:rsidRDefault="0033290F">
            <w:pPr>
              <w:rPr>
                <w:sz w:val="20"/>
                <w:szCs w:val="20"/>
              </w:rPr>
            </w:pPr>
            <w:r w:rsidRPr="0033290F">
              <w:rPr>
                <w:sz w:val="20"/>
                <w:szCs w:val="20"/>
              </w:rPr>
              <w:t xml:space="preserve">Zákon č. 111/2009 Sb., </w:t>
            </w:r>
            <w:r w:rsidRPr="0033290F">
              <w:rPr>
                <w:sz w:val="20"/>
                <w:szCs w:val="20"/>
              </w:rPr>
              <w:lastRenderedPageBreak/>
              <w:t>o základních registrech</w:t>
            </w:r>
          </w:p>
          <w:p w:rsidR="00674BC9" w:rsidRDefault="00332B77">
            <w:pPr>
              <w:rPr>
                <w:sz w:val="20"/>
                <w:szCs w:val="20"/>
              </w:rPr>
            </w:pPr>
            <w:hyperlink r:id="rId44" w:history="1">
              <w:r w:rsidR="0033290F" w:rsidRPr="0033290F">
                <w:rPr>
                  <w:sz w:val="20"/>
                  <w:szCs w:val="20"/>
                </w:rPr>
                <w:t>http://www.mzp.cz/cz/posuzovani_vlivu_zivotni_prostredi</w:t>
              </w:r>
            </w:hyperlink>
            <w:r w:rsidR="0033290F" w:rsidRPr="0033290F">
              <w:rPr>
                <w:sz w:val="20"/>
                <w:szCs w:val="20"/>
              </w:rPr>
              <w:t xml:space="preserve"> </w:t>
            </w:r>
          </w:p>
          <w:p w:rsidR="00381F60" w:rsidRPr="00250A0D" w:rsidRDefault="00332B77" w:rsidP="00CB4B11">
            <w:pPr>
              <w:spacing w:line="276" w:lineRule="auto"/>
              <w:rPr>
                <w:sz w:val="20"/>
                <w:szCs w:val="20"/>
              </w:rPr>
            </w:pPr>
            <w:hyperlink r:id="rId45" w:history="1">
              <w:r w:rsidR="0033290F" w:rsidRPr="0033290F">
                <w:rPr>
                  <w:sz w:val="20"/>
                  <w:szCs w:val="20"/>
                </w:rPr>
                <w:t>http://portal.cenia.cz/eiasea/view/eia100_cr</w:t>
              </w:r>
            </w:hyperlink>
            <w:r w:rsidR="0033290F" w:rsidRPr="0033290F">
              <w:rPr>
                <w:sz w:val="20"/>
                <w:szCs w:val="20"/>
              </w:rPr>
              <w:t xml:space="preserve"> (+ záložka legislativa, pokyny a sdělení atd.)</w:t>
            </w:r>
          </w:p>
          <w:p w:rsidR="00381F60" w:rsidRPr="00250A0D" w:rsidRDefault="00332B77" w:rsidP="00CB4B11">
            <w:pPr>
              <w:spacing w:line="276" w:lineRule="auto"/>
              <w:rPr>
                <w:sz w:val="20"/>
                <w:szCs w:val="20"/>
              </w:rPr>
            </w:pPr>
            <w:hyperlink r:id="rId46" w:history="1">
              <w:r w:rsidR="0033290F" w:rsidRPr="0033290F">
                <w:rPr>
                  <w:sz w:val="20"/>
                  <w:szCs w:val="20"/>
                </w:rPr>
                <w:t>http://portal.cenia.cz/eiasea/view/SEA100_koncepce</w:t>
              </w:r>
            </w:hyperlink>
            <w:r w:rsidR="0033290F" w:rsidRPr="0033290F">
              <w:rPr>
                <w:sz w:val="20"/>
                <w:szCs w:val="20"/>
              </w:rPr>
              <w:t xml:space="preserve"> (+ záložka legislativa, pokyny a sdělení</w:t>
            </w:r>
          </w:p>
          <w:p w:rsidR="00866866" w:rsidRPr="00250A0D" w:rsidRDefault="00866866" w:rsidP="00CB4B11">
            <w:pPr>
              <w:spacing w:line="276" w:lineRule="auto"/>
              <w:rPr>
                <w:sz w:val="20"/>
                <w:szCs w:val="20"/>
              </w:rPr>
            </w:pPr>
          </w:p>
        </w:tc>
        <w:tc>
          <w:tcPr>
            <w:tcW w:w="5245" w:type="dxa"/>
          </w:tcPr>
          <w:p w:rsidR="00674BC9" w:rsidRDefault="0033290F">
            <w:pPr>
              <w:rPr>
                <w:sz w:val="20"/>
                <w:szCs w:val="20"/>
              </w:rPr>
            </w:pPr>
            <w:r w:rsidRPr="0033290F">
              <w:rPr>
                <w:b/>
                <w:sz w:val="20"/>
                <w:szCs w:val="20"/>
              </w:rPr>
              <w:lastRenderedPageBreak/>
              <w:t>Naplňování obecné předběžné podmínky 6 je přesně specifikováno v rámci akčního plánu v gesci MŽP v příloze č. 7.</w:t>
            </w:r>
          </w:p>
        </w:tc>
      </w:tr>
      <w:tr w:rsidR="00381F60" w:rsidRPr="00250A0D" w:rsidTr="000F2740">
        <w:tc>
          <w:tcPr>
            <w:tcW w:w="1384" w:type="dxa"/>
            <w:vMerge w:val="restart"/>
          </w:tcPr>
          <w:p w:rsidR="00381F60" w:rsidRPr="00250A0D" w:rsidRDefault="0033290F" w:rsidP="00B66FDE">
            <w:pPr>
              <w:spacing w:line="276" w:lineRule="auto"/>
              <w:rPr>
                <w:sz w:val="20"/>
                <w:szCs w:val="20"/>
              </w:rPr>
            </w:pPr>
            <w:r w:rsidRPr="0033290F">
              <w:rPr>
                <w:sz w:val="20"/>
                <w:szCs w:val="20"/>
              </w:rPr>
              <w:lastRenderedPageBreak/>
              <w:t xml:space="preserve">Č. 7 a: </w:t>
            </w:r>
          </w:p>
          <w:p w:rsidR="00381F60" w:rsidRPr="00250A0D" w:rsidRDefault="0033290F" w:rsidP="00B66FDE">
            <w:pPr>
              <w:spacing w:line="276" w:lineRule="auto"/>
              <w:rPr>
                <w:sz w:val="20"/>
                <w:szCs w:val="20"/>
              </w:rPr>
            </w:pPr>
            <w:r w:rsidRPr="0033290F">
              <w:rPr>
                <w:sz w:val="20"/>
                <w:szCs w:val="20"/>
              </w:rPr>
              <w:t xml:space="preserve">Existence statistického základu </w:t>
            </w:r>
            <w:r w:rsidRPr="0033290F">
              <w:rPr>
                <w:sz w:val="20"/>
                <w:szCs w:val="20"/>
              </w:rPr>
              <w:lastRenderedPageBreak/>
              <w:t>nezbytného k provádění hodnocení za účelem posouzení účinnosti a dopadu programů.</w:t>
            </w:r>
          </w:p>
        </w:tc>
        <w:tc>
          <w:tcPr>
            <w:tcW w:w="1134" w:type="dxa"/>
            <w:vMerge w:val="restart"/>
          </w:tcPr>
          <w:p w:rsidR="00381F60" w:rsidRPr="00250A0D" w:rsidRDefault="00381F60" w:rsidP="00B66FDE">
            <w:pPr>
              <w:spacing w:line="276" w:lineRule="auto"/>
              <w:rPr>
                <w:sz w:val="20"/>
                <w:szCs w:val="20"/>
              </w:rPr>
            </w:pPr>
          </w:p>
        </w:tc>
        <w:tc>
          <w:tcPr>
            <w:tcW w:w="851" w:type="dxa"/>
            <w:vMerge w:val="restart"/>
          </w:tcPr>
          <w:p w:rsidR="00381F60" w:rsidRPr="00250A0D" w:rsidRDefault="0033290F" w:rsidP="00B66FDE">
            <w:pPr>
              <w:spacing w:line="276" w:lineRule="auto"/>
              <w:rPr>
                <w:sz w:val="20"/>
                <w:szCs w:val="20"/>
              </w:rPr>
            </w:pPr>
            <w:r w:rsidRPr="0033290F">
              <w:rPr>
                <w:sz w:val="20"/>
                <w:szCs w:val="20"/>
              </w:rPr>
              <w:t>Nesplněno</w:t>
            </w:r>
          </w:p>
        </w:tc>
        <w:tc>
          <w:tcPr>
            <w:tcW w:w="1701" w:type="dxa"/>
          </w:tcPr>
          <w:p w:rsidR="00381F60" w:rsidRPr="00250A0D" w:rsidRDefault="0033290F" w:rsidP="00B66FDE">
            <w:pPr>
              <w:spacing w:line="276" w:lineRule="auto"/>
              <w:rPr>
                <w:sz w:val="20"/>
                <w:szCs w:val="20"/>
              </w:rPr>
            </w:pPr>
            <w:r w:rsidRPr="0033290F">
              <w:rPr>
                <w:sz w:val="20"/>
                <w:szCs w:val="20"/>
              </w:rPr>
              <w:t xml:space="preserve">Opatření pro včasný sběr a agregaci statistických údajů, který obsahuje tyto </w:t>
            </w:r>
            <w:r w:rsidRPr="0033290F">
              <w:rPr>
                <w:sz w:val="20"/>
                <w:szCs w:val="20"/>
              </w:rPr>
              <w:lastRenderedPageBreak/>
              <w:t xml:space="preserve">prvky: </w:t>
            </w:r>
          </w:p>
        </w:tc>
        <w:tc>
          <w:tcPr>
            <w:tcW w:w="1134" w:type="dxa"/>
          </w:tcPr>
          <w:p w:rsidR="00381F60" w:rsidRPr="00250A0D" w:rsidRDefault="0033290F" w:rsidP="00CB4B11">
            <w:pPr>
              <w:spacing w:line="276" w:lineRule="auto"/>
              <w:rPr>
                <w:sz w:val="20"/>
                <w:szCs w:val="20"/>
              </w:rPr>
            </w:pPr>
            <w:r w:rsidRPr="0033290F">
              <w:rPr>
                <w:sz w:val="20"/>
                <w:szCs w:val="20"/>
              </w:rPr>
              <w:lastRenderedPageBreak/>
              <w:t xml:space="preserve">Nesplněno </w:t>
            </w:r>
          </w:p>
          <w:p w:rsidR="00381F60" w:rsidRPr="00250A0D" w:rsidRDefault="00381F60" w:rsidP="00CB4B11">
            <w:pPr>
              <w:spacing w:line="276" w:lineRule="auto"/>
              <w:rPr>
                <w:sz w:val="20"/>
                <w:szCs w:val="20"/>
              </w:rPr>
            </w:pPr>
          </w:p>
        </w:tc>
        <w:tc>
          <w:tcPr>
            <w:tcW w:w="2693" w:type="dxa"/>
          </w:tcPr>
          <w:p w:rsidR="00381F60" w:rsidRPr="00250A0D" w:rsidRDefault="00381F60" w:rsidP="00CB4B11">
            <w:pPr>
              <w:spacing w:line="276" w:lineRule="auto"/>
              <w:rPr>
                <w:sz w:val="20"/>
                <w:szCs w:val="20"/>
              </w:rPr>
            </w:pPr>
          </w:p>
        </w:tc>
        <w:tc>
          <w:tcPr>
            <w:tcW w:w="5245" w:type="dxa"/>
          </w:tcPr>
          <w:p w:rsidR="00381F60" w:rsidRPr="00250A0D" w:rsidRDefault="0033290F" w:rsidP="00950E42">
            <w:pPr>
              <w:spacing w:line="276" w:lineRule="auto"/>
              <w:rPr>
                <w:sz w:val="20"/>
                <w:szCs w:val="20"/>
              </w:rPr>
            </w:pPr>
            <w:r w:rsidRPr="0033290F">
              <w:rPr>
                <w:sz w:val="20"/>
                <w:szCs w:val="20"/>
              </w:rPr>
              <w:t xml:space="preserve">Specifické naplňování na národní úrovni je uvedeno v rámci Dohody o partnerství  </w:t>
            </w:r>
          </w:p>
        </w:tc>
      </w:tr>
      <w:tr w:rsidR="00381F60" w:rsidRPr="00250A0D" w:rsidTr="000F2740">
        <w:tc>
          <w:tcPr>
            <w:tcW w:w="1384" w:type="dxa"/>
            <w:vMerge/>
          </w:tcPr>
          <w:p w:rsidR="00381F60" w:rsidRPr="00250A0D" w:rsidRDefault="00381F60" w:rsidP="00B66FDE">
            <w:pPr>
              <w:spacing w:line="276" w:lineRule="auto"/>
              <w:rPr>
                <w:sz w:val="20"/>
                <w:szCs w:val="20"/>
              </w:rPr>
            </w:pPr>
          </w:p>
        </w:tc>
        <w:tc>
          <w:tcPr>
            <w:tcW w:w="1134" w:type="dxa"/>
            <w:vMerge/>
          </w:tcPr>
          <w:p w:rsidR="00381F60" w:rsidRPr="00250A0D" w:rsidRDefault="00381F60" w:rsidP="00B66FDE">
            <w:pPr>
              <w:spacing w:line="276" w:lineRule="auto"/>
              <w:rPr>
                <w:sz w:val="20"/>
                <w:szCs w:val="20"/>
              </w:rPr>
            </w:pPr>
          </w:p>
        </w:tc>
        <w:tc>
          <w:tcPr>
            <w:tcW w:w="851" w:type="dxa"/>
            <w:vMerge/>
          </w:tcPr>
          <w:p w:rsidR="00381F60" w:rsidRPr="00250A0D" w:rsidRDefault="00381F60" w:rsidP="00B66FDE">
            <w:pPr>
              <w:spacing w:line="276" w:lineRule="auto"/>
              <w:rPr>
                <w:sz w:val="20"/>
                <w:szCs w:val="20"/>
              </w:rPr>
            </w:pPr>
          </w:p>
        </w:tc>
        <w:tc>
          <w:tcPr>
            <w:tcW w:w="1701" w:type="dxa"/>
          </w:tcPr>
          <w:p w:rsidR="00381F60" w:rsidRPr="00250A0D" w:rsidRDefault="0033290F" w:rsidP="00B66FDE">
            <w:pPr>
              <w:spacing w:line="276" w:lineRule="auto"/>
              <w:rPr>
                <w:sz w:val="20"/>
                <w:szCs w:val="20"/>
              </w:rPr>
            </w:pPr>
            <w:r w:rsidRPr="0033290F">
              <w:rPr>
                <w:sz w:val="20"/>
                <w:szCs w:val="20"/>
              </w:rPr>
              <w:t xml:space="preserve">určení zdrojů a mechanismů pro zajištění statistické validace, </w:t>
            </w:r>
          </w:p>
          <w:p w:rsidR="00381F60" w:rsidRPr="00250A0D" w:rsidRDefault="00381F60" w:rsidP="00B66FDE">
            <w:pPr>
              <w:spacing w:line="276" w:lineRule="auto"/>
              <w:rPr>
                <w:sz w:val="20"/>
                <w:szCs w:val="20"/>
              </w:rPr>
            </w:pPr>
          </w:p>
        </w:tc>
        <w:tc>
          <w:tcPr>
            <w:tcW w:w="1134" w:type="dxa"/>
          </w:tcPr>
          <w:p w:rsidR="00381F60" w:rsidRPr="00250A0D" w:rsidRDefault="0033290F" w:rsidP="00B66FDE">
            <w:pPr>
              <w:spacing w:line="276" w:lineRule="auto"/>
              <w:rPr>
                <w:sz w:val="20"/>
                <w:szCs w:val="20"/>
              </w:rPr>
            </w:pPr>
            <w:r w:rsidRPr="0033290F">
              <w:rPr>
                <w:sz w:val="20"/>
                <w:szCs w:val="20"/>
              </w:rPr>
              <w:t>Nesplněno</w:t>
            </w:r>
          </w:p>
          <w:p w:rsidR="00381F60" w:rsidRPr="00250A0D" w:rsidRDefault="00381F60" w:rsidP="00B66FDE">
            <w:pPr>
              <w:spacing w:line="276" w:lineRule="auto"/>
              <w:rPr>
                <w:sz w:val="20"/>
                <w:szCs w:val="20"/>
              </w:rPr>
            </w:pPr>
          </w:p>
        </w:tc>
        <w:tc>
          <w:tcPr>
            <w:tcW w:w="2693" w:type="dxa"/>
          </w:tcPr>
          <w:p w:rsidR="00381F60" w:rsidRPr="00250A0D" w:rsidRDefault="00381F60" w:rsidP="00B66FDE">
            <w:pPr>
              <w:spacing w:line="276" w:lineRule="auto"/>
              <w:rPr>
                <w:sz w:val="20"/>
                <w:szCs w:val="20"/>
              </w:rPr>
            </w:pPr>
          </w:p>
        </w:tc>
        <w:tc>
          <w:tcPr>
            <w:tcW w:w="5245" w:type="dxa"/>
          </w:tcPr>
          <w:p w:rsidR="00674BC9" w:rsidRDefault="0033290F">
            <w:pPr>
              <w:pStyle w:val="Default"/>
              <w:jc w:val="both"/>
              <w:rPr>
                <w:rFonts w:ascii="Cambria" w:eastAsia="Times New Roman" w:hAnsi="Cambria" w:cs="Times New Roman"/>
                <w:b/>
                <w:sz w:val="20"/>
                <w:szCs w:val="20"/>
                <w:lang w:val="en-GB" w:eastAsia="fr-BE"/>
              </w:rPr>
            </w:pPr>
            <w:r w:rsidRPr="0033290F">
              <w:rPr>
                <w:rFonts w:ascii="Cambria" w:hAnsi="Cambria"/>
                <w:color w:val="auto"/>
                <w:sz w:val="20"/>
                <w:szCs w:val="20"/>
              </w:rPr>
              <w:t xml:space="preserve">Specifické naplňování na národní úrovni je uvedeno v rámci Dohody o partnerství </w:t>
            </w:r>
          </w:p>
        </w:tc>
      </w:tr>
      <w:tr w:rsidR="00381F60" w:rsidRPr="00250A0D" w:rsidTr="000F2740">
        <w:tc>
          <w:tcPr>
            <w:tcW w:w="1384" w:type="dxa"/>
            <w:vMerge/>
            <w:tcBorders>
              <w:bottom w:val="single" w:sz="4" w:space="0" w:color="auto"/>
            </w:tcBorders>
          </w:tcPr>
          <w:p w:rsidR="00381F60" w:rsidRPr="00250A0D" w:rsidRDefault="00381F60" w:rsidP="00B66FDE">
            <w:pPr>
              <w:spacing w:line="276" w:lineRule="auto"/>
              <w:rPr>
                <w:sz w:val="20"/>
                <w:szCs w:val="20"/>
              </w:rPr>
            </w:pPr>
          </w:p>
        </w:tc>
        <w:tc>
          <w:tcPr>
            <w:tcW w:w="1134" w:type="dxa"/>
            <w:vMerge/>
            <w:tcBorders>
              <w:bottom w:val="single" w:sz="4" w:space="0" w:color="auto"/>
            </w:tcBorders>
          </w:tcPr>
          <w:p w:rsidR="00381F60" w:rsidRPr="00250A0D" w:rsidRDefault="00381F60" w:rsidP="00B66FDE">
            <w:pPr>
              <w:spacing w:line="276" w:lineRule="auto"/>
              <w:rPr>
                <w:sz w:val="20"/>
                <w:szCs w:val="20"/>
              </w:rPr>
            </w:pPr>
          </w:p>
        </w:tc>
        <w:tc>
          <w:tcPr>
            <w:tcW w:w="851" w:type="dxa"/>
            <w:vMerge/>
            <w:tcBorders>
              <w:bottom w:val="single" w:sz="4" w:space="0" w:color="auto"/>
            </w:tcBorders>
          </w:tcPr>
          <w:p w:rsidR="00381F60" w:rsidRPr="00250A0D" w:rsidRDefault="00381F60" w:rsidP="00B66FDE">
            <w:pPr>
              <w:spacing w:line="276" w:lineRule="auto"/>
              <w:rPr>
                <w:sz w:val="20"/>
                <w:szCs w:val="20"/>
              </w:rPr>
            </w:pPr>
          </w:p>
        </w:tc>
        <w:tc>
          <w:tcPr>
            <w:tcW w:w="1701" w:type="dxa"/>
            <w:tcBorders>
              <w:bottom w:val="single" w:sz="4" w:space="0" w:color="auto"/>
            </w:tcBorders>
          </w:tcPr>
          <w:p w:rsidR="00381F60" w:rsidRPr="00250A0D" w:rsidRDefault="0033290F" w:rsidP="00B66FDE">
            <w:pPr>
              <w:spacing w:line="276" w:lineRule="auto"/>
              <w:rPr>
                <w:sz w:val="20"/>
                <w:szCs w:val="20"/>
              </w:rPr>
            </w:pPr>
            <w:r w:rsidRPr="0033290F">
              <w:rPr>
                <w:sz w:val="20"/>
                <w:szCs w:val="20"/>
              </w:rPr>
              <w:t xml:space="preserve">opatření pro zveřejňování a zpřístupňování agregovaných dat veřejnosti, </w:t>
            </w:r>
          </w:p>
          <w:p w:rsidR="00381F60" w:rsidRPr="00250A0D" w:rsidRDefault="00381F60" w:rsidP="00B66FDE">
            <w:pPr>
              <w:spacing w:line="276" w:lineRule="auto"/>
              <w:rPr>
                <w:sz w:val="20"/>
                <w:szCs w:val="20"/>
              </w:rPr>
            </w:pPr>
          </w:p>
        </w:tc>
        <w:tc>
          <w:tcPr>
            <w:tcW w:w="1134" w:type="dxa"/>
            <w:tcBorders>
              <w:bottom w:val="single" w:sz="4" w:space="0" w:color="auto"/>
            </w:tcBorders>
          </w:tcPr>
          <w:p w:rsidR="00381F60" w:rsidRPr="00250A0D" w:rsidRDefault="0033290F" w:rsidP="00B66FDE">
            <w:pPr>
              <w:spacing w:line="276" w:lineRule="auto"/>
              <w:rPr>
                <w:sz w:val="20"/>
                <w:szCs w:val="20"/>
              </w:rPr>
            </w:pPr>
            <w:r w:rsidRPr="0033290F">
              <w:rPr>
                <w:sz w:val="20"/>
                <w:szCs w:val="20"/>
              </w:rPr>
              <w:t>Nesplněno</w:t>
            </w:r>
          </w:p>
          <w:p w:rsidR="00381F60" w:rsidRPr="00250A0D" w:rsidRDefault="00381F60" w:rsidP="00B66FDE">
            <w:pPr>
              <w:spacing w:line="276" w:lineRule="auto"/>
              <w:rPr>
                <w:sz w:val="20"/>
                <w:szCs w:val="20"/>
              </w:rPr>
            </w:pPr>
          </w:p>
        </w:tc>
        <w:tc>
          <w:tcPr>
            <w:tcW w:w="2693" w:type="dxa"/>
            <w:tcBorders>
              <w:bottom w:val="single" w:sz="4" w:space="0" w:color="auto"/>
            </w:tcBorders>
          </w:tcPr>
          <w:p w:rsidR="00381F60" w:rsidRPr="00250A0D" w:rsidRDefault="00381F60" w:rsidP="00B66FDE">
            <w:pPr>
              <w:spacing w:line="276" w:lineRule="auto"/>
              <w:rPr>
                <w:sz w:val="20"/>
                <w:szCs w:val="20"/>
              </w:rPr>
            </w:pPr>
          </w:p>
        </w:tc>
        <w:tc>
          <w:tcPr>
            <w:tcW w:w="5245" w:type="dxa"/>
            <w:tcBorders>
              <w:bottom w:val="single" w:sz="4" w:space="0" w:color="auto"/>
            </w:tcBorders>
          </w:tcPr>
          <w:p w:rsidR="00674BC9" w:rsidRDefault="0033290F">
            <w:pPr>
              <w:pStyle w:val="Default"/>
              <w:jc w:val="both"/>
              <w:rPr>
                <w:sz w:val="20"/>
                <w:szCs w:val="20"/>
              </w:rPr>
            </w:pPr>
            <w:r w:rsidRPr="0033290F">
              <w:rPr>
                <w:color w:val="auto"/>
                <w:sz w:val="20"/>
                <w:szCs w:val="20"/>
              </w:rPr>
              <w:t xml:space="preserve">Specifické naplňování na národní úrovni je uvedeno v rámci Dohody o partnerství </w:t>
            </w:r>
            <w:r w:rsidRPr="0033290F">
              <w:rPr>
                <w:rFonts w:ascii="Cambria" w:hAnsi="Cambria"/>
                <w:color w:val="auto"/>
                <w:sz w:val="20"/>
                <w:szCs w:val="20"/>
              </w:rPr>
              <w:t xml:space="preserve"> </w:t>
            </w:r>
          </w:p>
        </w:tc>
      </w:tr>
      <w:tr w:rsidR="00381F60" w:rsidRPr="00250A0D" w:rsidTr="000F2740">
        <w:tc>
          <w:tcPr>
            <w:tcW w:w="1384" w:type="dxa"/>
            <w:vMerge w:val="restart"/>
          </w:tcPr>
          <w:p w:rsidR="00381F60" w:rsidRPr="00250A0D" w:rsidRDefault="0033290F" w:rsidP="00B66FDE">
            <w:pPr>
              <w:spacing w:line="276" w:lineRule="auto"/>
              <w:rPr>
                <w:sz w:val="20"/>
                <w:szCs w:val="20"/>
              </w:rPr>
            </w:pPr>
            <w:r w:rsidRPr="0033290F">
              <w:rPr>
                <w:sz w:val="20"/>
                <w:szCs w:val="20"/>
              </w:rPr>
              <w:t xml:space="preserve">Č. 7b : </w:t>
            </w:r>
          </w:p>
          <w:p w:rsidR="00381F60" w:rsidRPr="00250A0D" w:rsidRDefault="0033290F" w:rsidP="00911D36">
            <w:pPr>
              <w:spacing w:line="276" w:lineRule="auto"/>
              <w:rPr>
                <w:sz w:val="20"/>
                <w:szCs w:val="20"/>
              </w:rPr>
            </w:pPr>
            <w:r w:rsidRPr="0033290F">
              <w:rPr>
                <w:sz w:val="20"/>
                <w:szCs w:val="20"/>
              </w:rPr>
              <w:t xml:space="preserve">Existence systému ukazatele výsledků nezbytného k </w:t>
            </w:r>
            <w:r w:rsidRPr="0033290F">
              <w:rPr>
                <w:sz w:val="20"/>
                <w:szCs w:val="20"/>
              </w:rPr>
              <w:lastRenderedPageBreak/>
              <w:t>výběru opatření, jež budou nejúčinněji přispívat k dosahování požadovaných výsledků, k </w:t>
            </w:r>
            <w:proofErr w:type="gramStart"/>
            <w:r w:rsidRPr="0033290F">
              <w:rPr>
                <w:sz w:val="20"/>
                <w:szCs w:val="20"/>
              </w:rPr>
              <w:t>sledování  pokroku</w:t>
            </w:r>
            <w:proofErr w:type="gramEnd"/>
            <w:r w:rsidRPr="0033290F">
              <w:rPr>
                <w:sz w:val="20"/>
                <w:szCs w:val="20"/>
              </w:rPr>
              <w:t xml:space="preserve"> při plnění cílů a k provedení posouzení dopadů </w:t>
            </w:r>
          </w:p>
        </w:tc>
        <w:tc>
          <w:tcPr>
            <w:tcW w:w="1134" w:type="dxa"/>
            <w:vMerge w:val="restart"/>
          </w:tcPr>
          <w:p w:rsidR="00381F60" w:rsidRPr="00250A0D" w:rsidRDefault="00381F60" w:rsidP="00B66FDE">
            <w:pPr>
              <w:spacing w:line="276" w:lineRule="auto"/>
              <w:rPr>
                <w:sz w:val="20"/>
                <w:szCs w:val="20"/>
              </w:rPr>
            </w:pPr>
          </w:p>
        </w:tc>
        <w:tc>
          <w:tcPr>
            <w:tcW w:w="851" w:type="dxa"/>
            <w:vMerge w:val="restart"/>
          </w:tcPr>
          <w:p w:rsidR="00381F60" w:rsidRPr="00250A0D" w:rsidRDefault="0033290F" w:rsidP="00B66FDE">
            <w:pPr>
              <w:spacing w:line="276" w:lineRule="auto"/>
              <w:rPr>
                <w:sz w:val="20"/>
                <w:szCs w:val="20"/>
              </w:rPr>
            </w:pPr>
            <w:r w:rsidRPr="0033290F">
              <w:rPr>
                <w:sz w:val="20"/>
                <w:szCs w:val="20"/>
              </w:rPr>
              <w:t>Nesplněno</w:t>
            </w:r>
          </w:p>
          <w:p w:rsidR="00381F60" w:rsidRPr="00250A0D" w:rsidRDefault="00381F60" w:rsidP="00B66FDE">
            <w:pPr>
              <w:spacing w:line="276" w:lineRule="auto"/>
              <w:rPr>
                <w:sz w:val="20"/>
                <w:szCs w:val="20"/>
              </w:rPr>
            </w:pPr>
          </w:p>
        </w:tc>
        <w:tc>
          <w:tcPr>
            <w:tcW w:w="1701" w:type="dxa"/>
          </w:tcPr>
          <w:p w:rsidR="00381F60" w:rsidRPr="00250A0D" w:rsidRDefault="0033290F" w:rsidP="00B66FDE">
            <w:pPr>
              <w:spacing w:line="276" w:lineRule="auto"/>
              <w:rPr>
                <w:sz w:val="20"/>
                <w:szCs w:val="20"/>
              </w:rPr>
            </w:pPr>
            <w:r w:rsidRPr="0033290F">
              <w:rPr>
                <w:sz w:val="20"/>
                <w:szCs w:val="20"/>
              </w:rPr>
              <w:t xml:space="preserve">Účinný systém ukazatelů výsledků, včetně: </w:t>
            </w:r>
          </w:p>
        </w:tc>
        <w:tc>
          <w:tcPr>
            <w:tcW w:w="1134" w:type="dxa"/>
          </w:tcPr>
          <w:p w:rsidR="00381F60" w:rsidRPr="00250A0D" w:rsidRDefault="0033290F" w:rsidP="00B66FDE">
            <w:pPr>
              <w:spacing w:line="276" w:lineRule="auto"/>
              <w:rPr>
                <w:sz w:val="20"/>
                <w:szCs w:val="20"/>
              </w:rPr>
            </w:pPr>
            <w:r w:rsidRPr="0033290F">
              <w:rPr>
                <w:sz w:val="20"/>
                <w:szCs w:val="20"/>
              </w:rPr>
              <w:t xml:space="preserve">Nesplněno </w:t>
            </w:r>
          </w:p>
          <w:p w:rsidR="00381F60" w:rsidRPr="00250A0D" w:rsidRDefault="00381F60" w:rsidP="00B66FDE">
            <w:pPr>
              <w:spacing w:line="276" w:lineRule="auto"/>
              <w:rPr>
                <w:sz w:val="20"/>
                <w:szCs w:val="20"/>
              </w:rPr>
            </w:pPr>
          </w:p>
        </w:tc>
        <w:tc>
          <w:tcPr>
            <w:tcW w:w="2693" w:type="dxa"/>
          </w:tcPr>
          <w:p w:rsidR="00381F60" w:rsidRPr="00250A0D" w:rsidRDefault="00381F60" w:rsidP="00B66FDE">
            <w:pPr>
              <w:spacing w:line="276" w:lineRule="auto"/>
              <w:rPr>
                <w:sz w:val="20"/>
                <w:szCs w:val="20"/>
              </w:rPr>
            </w:pPr>
          </w:p>
        </w:tc>
        <w:tc>
          <w:tcPr>
            <w:tcW w:w="5245" w:type="dxa"/>
          </w:tcPr>
          <w:p w:rsidR="00381F60" w:rsidRPr="00250A0D" w:rsidRDefault="0033290F" w:rsidP="00911D36">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Specifické naplňování na národní úrovni je uvedeno v rámci Dohody o partnerství </w:t>
            </w:r>
          </w:p>
          <w:p w:rsidR="00381F60" w:rsidRPr="00250A0D" w:rsidRDefault="00381F60" w:rsidP="00B66FDE">
            <w:pPr>
              <w:spacing w:line="276" w:lineRule="auto"/>
              <w:rPr>
                <w:sz w:val="20"/>
                <w:szCs w:val="20"/>
              </w:rPr>
            </w:pPr>
          </w:p>
        </w:tc>
      </w:tr>
      <w:tr w:rsidR="00381F60" w:rsidRPr="00250A0D" w:rsidTr="000F2740">
        <w:tc>
          <w:tcPr>
            <w:tcW w:w="1384" w:type="dxa"/>
            <w:vMerge/>
          </w:tcPr>
          <w:p w:rsidR="00381F60" w:rsidRPr="00250A0D" w:rsidRDefault="00381F60" w:rsidP="00B66FDE">
            <w:pPr>
              <w:spacing w:line="276" w:lineRule="auto"/>
              <w:rPr>
                <w:sz w:val="20"/>
                <w:szCs w:val="20"/>
              </w:rPr>
            </w:pPr>
          </w:p>
        </w:tc>
        <w:tc>
          <w:tcPr>
            <w:tcW w:w="1134" w:type="dxa"/>
            <w:vMerge/>
          </w:tcPr>
          <w:p w:rsidR="00381F60" w:rsidRPr="00250A0D" w:rsidRDefault="00381F60" w:rsidP="00B66FDE">
            <w:pPr>
              <w:spacing w:line="276" w:lineRule="auto"/>
              <w:rPr>
                <w:sz w:val="20"/>
                <w:szCs w:val="20"/>
              </w:rPr>
            </w:pPr>
          </w:p>
        </w:tc>
        <w:tc>
          <w:tcPr>
            <w:tcW w:w="851" w:type="dxa"/>
            <w:vMerge/>
          </w:tcPr>
          <w:p w:rsidR="00381F60" w:rsidRPr="00250A0D" w:rsidRDefault="00381F60" w:rsidP="00B66FDE">
            <w:pPr>
              <w:spacing w:line="276" w:lineRule="auto"/>
              <w:rPr>
                <w:sz w:val="20"/>
                <w:szCs w:val="20"/>
              </w:rPr>
            </w:pPr>
          </w:p>
        </w:tc>
        <w:tc>
          <w:tcPr>
            <w:tcW w:w="1701" w:type="dxa"/>
          </w:tcPr>
          <w:p w:rsidR="00381F60" w:rsidRPr="00250A0D" w:rsidRDefault="0033290F" w:rsidP="00B66FDE">
            <w:pPr>
              <w:spacing w:line="276" w:lineRule="auto"/>
              <w:rPr>
                <w:sz w:val="20"/>
                <w:szCs w:val="20"/>
              </w:rPr>
            </w:pPr>
            <w:r w:rsidRPr="0033290F">
              <w:rPr>
                <w:sz w:val="20"/>
                <w:szCs w:val="20"/>
              </w:rPr>
              <w:t xml:space="preserve">výběru ukazatelů výsledku pro každý program, jež </w:t>
            </w:r>
            <w:r w:rsidRPr="0033290F">
              <w:rPr>
                <w:sz w:val="20"/>
                <w:szCs w:val="20"/>
              </w:rPr>
              <w:lastRenderedPageBreak/>
              <w:t xml:space="preserve">budou vypovídat o motivaci k výběru </w:t>
            </w:r>
            <w:proofErr w:type="spellStart"/>
            <w:r w:rsidRPr="0033290F">
              <w:rPr>
                <w:sz w:val="20"/>
                <w:szCs w:val="20"/>
              </w:rPr>
              <w:t>strategikých</w:t>
            </w:r>
            <w:proofErr w:type="spellEnd"/>
            <w:r w:rsidRPr="0033290F">
              <w:rPr>
                <w:sz w:val="20"/>
                <w:szCs w:val="20"/>
              </w:rPr>
              <w:t xml:space="preserve"> kroků financovaných z programů, </w:t>
            </w:r>
          </w:p>
        </w:tc>
        <w:tc>
          <w:tcPr>
            <w:tcW w:w="1134" w:type="dxa"/>
          </w:tcPr>
          <w:p w:rsidR="00674BC9" w:rsidRDefault="0033290F">
            <w:pPr>
              <w:rPr>
                <w:sz w:val="20"/>
                <w:szCs w:val="20"/>
              </w:rPr>
            </w:pPr>
            <w:r w:rsidRPr="0033290F">
              <w:rPr>
                <w:sz w:val="20"/>
                <w:szCs w:val="20"/>
              </w:rPr>
              <w:lastRenderedPageBreak/>
              <w:t>Nesplněno</w:t>
            </w:r>
          </w:p>
        </w:tc>
        <w:tc>
          <w:tcPr>
            <w:tcW w:w="2693" w:type="dxa"/>
          </w:tcPr>
          <w:p w:rsidR="00381F60" w:rsidRPr="00250A0D" w:rsidRDefault="00381F60" w:rsidP="00B66FDE">
            <w:pPr>
              <w:spacing w:line="276" w:lineRule="auto"/>
              <w:rPr>
                <w:sz w:val="20"/>
                <w:szCs w:val="20"/>
              </w:rPr>
            </w:pPr>
          </w:p>
        </w:tc>
        <w:tc>
          <w:tcPr>
            <w:tcW w:w="5245" w:type="dxa"/>
          </w:tcPr>
          <w:p w:rsidR="00381F60" w:rsidRPr="00250A0D" w:rsidRDefault="0033290F" w:rsidP="00911D36">
            <w:pPr>
              <w:spacing w:line="276" w:lineRule="auto"/>
              <w:rPr>
                <w:sz w:val="20"/>
                <w:szCs w:val="20"/>
              </w:rPr>
            </w:pPr>
            <w:r w:rsidRPr="0033290F">
              <w:rPr>
                <w:sz w:val="20"/>
                <w:szCs w:val="20"/>
              </w:rPr>
              <w:t xml:space="preserve">Specifické naplňování na národní úrovni je uvedeno v rámci Dohody o partnerství </w:t>
            </w:r>
          </w:p>
        </w:tc>
      </w:tr>
      <w:tr w:rsidR="00381F60" w:rsidRPr="00250A0D" w:rsidTr="000F2740">
        <w:tc>
          <w:tcPr>
            <w:tcW w:w="1384" w:type="dxa"/>
            <w:vMerge/>
          </w:tcPr>
          <w:p w:rsidR="00381F60" w:rsidRPr="00250A0D" w:rsidRDefault="00381F60" w:rsidP="00B66FDE">
            <w:pPr>
              <w:spacing w:line="276" w:lineRule="auto"/>
              <w:rPr>
                <w:sz w:val="20"/>
                <w:szCs w:val="20"/>
              </w:rPr>
            </w:pPr>
          </w:p>
        </w:tc>
        <w:tc>
          <w:tcPr>
            <w:tcW w:w="1134" w:type="dxa"/>
            <w:vMerge/>
            <w:tcBorders>
              <w:bottom w:val="single" w:sz="4" w:space="0" w:color="auto"/>
            </w:tcBorders>
          </w:tcPr>
          <w:p w:rsidR="00381F60" w:rsidRPr="00250A0D" w:rsidRDefault="00381F60" w:rsidP="00B66FDE">
            <w:pPr>
              <w:spacing w:line="276" w:lineRule="auto"/>
              <w:rPr>
                <w:sz w:val="20"/>
                <w:szCs w:val="20"/>
              </w:rPr>
            </w:pPr>
          </w:p>
        </w:tc>
        <w:tc>
          <w:tcPr>
            <w:tcW w:w="851" w:type="dxa"/>
            <w:vMerge/>
            <w:tcBorders>
              <w:bottom w:val="single" w:sz="4" w:space="0" w:color="auto"/>
            </w:tcBorders>
          </w:tcPr>
          <w:p w:rsidR="00381F60" w:rsidRPr="00250A0D" w:rsidRDefault="00381F60" w:rsidP="00B66FDE">
            <w:pPr>
              <w:spacing w:line="276" w:lineRule="auto"/>
              <w:rPr>
                <w:sz w:val="20"/>
                <w:szCs w:val="20"/>
              </w:rPr>
            </w:pPr>
          </w:p>
        </w:tc>
        <w:tc>
          <w:tcPr>
            <w:tcW w:w="1701" w:type="dxa"/>
            <w:tcBorders>
              <w:bottom w:val="single" w:sz="4" w:space="0" w:color="auto"/>
            </w:tcBorders>
          </w:tcPr>
          <w:p w:rsidR="00381F60" w:rsidRPr="00250A0D" w:rsidRDefault="0033290F" w:rsidP="00B66FDE">
            <w:pPr>
              <w:spacing w:line="276" w:lineRule="auto"/>
              <w:rPr>
                <w:sz w:val="20"/>
                <w:szCs w:val="20"/>
              </w:rPr>
            </w:pPr>
            <w:r w:rsidRPr="0033290F">
              <w:rPr>
                <w:sz w:val="20"/>
                <w:szCs w:val="20"/>
              </w:rPr>
              <w:t xml:space="preserve">vytyčení cílů pro tyto ukazatele, </w:t>
            </w:r>
          </w:p>
          <w:p w:rsidR="00381F60" w:rsidRPr="00250A0D" w:rsidRDefault="00381F60" w:rsidP="00B66FDE">
            <w:pPr>
              <w:spacing w:line="276" w:lineRule="auto"/>
              <w:rPr>
                <w:sz w:val="20"/>
                <w:szCs w:val="20"/>
              </w:rPr>
            </w:pPr>
          </w:p>
        </w:tc>
        <w:tc>
          <w:tcPr>
            <w:tcW w:w="1134" w:type="dxa"/>
          </w:tcPr>
          <w:p w:rsidR="00381F60" w:rsidRPr="00250A0D" w:rsidRDefault="0033290F" w:rsidP="00B66FDE">
            <w:pPr>
              <w:spacing w:line="276" w:lineRule="auto"/>
              <w:rPr>
                <w:sz w:val="20"/>
                <w:szCs w:val="20"/>
              </w:rPr>
            </w:pPr>
            <w:r w:rsidRPr="0033290F">
              <w:rPr>
                <w:sz w:val="20"/>
                <w:szCs w:val="20"/>
              </w:rPr>
              <w:t>Nesplněno</w:t>
            </w:r>
          </w:p>
        </w:tc>
        <w:tc>
          <w:tcPr>
            <w:tcW w:w="2693" w:type="dxa"/>
          </w:tcPr>
          <w:p w:rsidR="00381F60" w:rsidRPr="00250A0D" w:rsidRDefault="00381F60" w:rsidP="00B66FDE">
            <w:pPr>
              <w:spacing w:line="276" w:lineRule="auto"/>
              <w:rPr>
                <w:sz w:val="20"/>
                <w:szCs w:val="20"/>
              </w:rPr>
            </w:pPr>
          </w:p>
        </w:tc>
        <w:tc>
          <w:tcPr>
            <w:tcW w:w="5245" w:type="dxa"/>
          </w:tcPr>
          <w:p w:rsidR="00674BC9" w:rsidRDefault="0033290F">
            <w:pPr>
              <w:pStyle w:val="Default"/>
              <w:jc w:val="both"/>
              <w:rPr>
                <w:rFonts w:ascii="Cambria" w:eastAsia="Times New Roman" w:hAnsi="Cambria" w:cs="Times New Roman"/>
                <w:b/>
                <w:sz w:val="20"/>
                <w:szCs w:val="20"/>
                <w:lang w:val="en-GB" w:eastAsia="fr-BE"/>
              </w:rPr>
            </w:pPr>
            <w:r w:rsidRPr="0033290F">
              <w:rPr>
                <w:rFonts w:ascii="Cambria" w:hAnsi="Cambria"/>
                <w:color w:val="auto"/>
                <w:sz w:val="20"/>
                <w:szCs w:val="20"/>
              </w:rPr>
              <w:t xml:space="preserve">Specifické naplňování na národní úrovni je uvedeno v rámci Dohody o partnerství </w:t>
            </w:r>
          </w:p>
        </w:tc>
      </w:tr>
      <w:tr w:rsidR="00381F60" w:rsidRPr="00250A0D" w:rsidTr="000F2740">
        <w:tc>
          <w:tcPr>
            <w:tcW w:w="1384" w:type="dxa"/>
            <w:vMerge/>
          </w:tcPr>
          <w:p w:rsidR="00381F60" w:rsidRPr="00250A0D" w:rsidRDefault="00381F60" w:rsidP="00B66FDE">
            <w:pPr>
              <w:spacing w:line="276" w:lineRule="auto"/>
              <w:rPr>
                <w:sz w:val="20"/>
                <w:szCs w:val="20"/>
              </w:rPr>
            </w:pPr>
          </w:p>
        </w:tc>
        <w:tc>
          <w:tcPr>
            <w:tcW w:w="1134" w:type="dxa"/>
            <w:vMerge/>
          </w:tcPr>
          <w:p w:rsidR="00381F60" w:rsidRPr="00250A0D" w:rsidRDefault="00381F60" w:rsidP="00B66FDE">
            <w:pPr>
              <w:spacing w:line="276" w:lineRule="auto"/>
              <w:rPr>
                <w:sz w:val="20"/>
                <w:szCs w:val="20"/>
              </w:rPr>
            </w:pPr>
          </w:p>
        </w:tc>
        <w:tc>
          <w:tcPr>
            <w:tcW w:w="851" w:type="dxa"/>
            <w:vMerge/>
          </w:tcPr>
          <w:p w:rsidR="00381F60" w:rsidRPr="00250A0D" w:rsidRDefault="00381F60" w:rsidP="00B66FDE">
            <w:pPr>
              <w:spacing w:line="276" w:lineRule="auto"/>
              <w:rPr>
                <w:sz w:val="20"/>
                <w:szCs w:val="20"/>
              </w:rPr>
            </w:pPr>
          </w:p>
        </w:tc>
        <w:tc>
          <w:tcPr>
            <w:tcW w:w="1701" w:type="dxa"/>
          </w:tcPr>
          <w:p w:rsidR="00381F60" w:rsidRPr="00250A0D" w:rsidRDefault="0033290F" w:rsidP="00B66FDE">
            <w:pPr>
              <w:spacing w:line="276" w:lineRule="auto"/>
              <w:rPr>
                <w:sz w:val="20"/>
                <w:szCs w:val="20"/>
              </w:rPr>
            </w:pPr>
            <w:r w:rsidRPr="0033290F">
              <w:rPr>
                <w:sz w:val="20"/>
                <w:szCs w:val="20"/>
              </w:rPr>
              <w:t xml:space="preserve">každý ukazatel musí splňovat tyto podmínky: robustnost a statistickou validaci, jasný normativní výklad, soulad se strategiemi, včasný sběr </w:t>
            </w:r>
            <w:r w:rsidRPr="0033290F">
              <w:rPr>
                <w:sz w:val="20"/>
                <w:szCs w:val="20"/>
              </w:rPr>
              <w:lastRenderedPageBreak/>
              <w:t xml:space="preserve">údajů, </w:t>
            </w:r>
          </w:p>
          <w:p w:rsidR="00381F60" w:rsidRPr="00250A0D" w:rsidRDefault="00381F60" w:rsidP="00B66FDE">
            <w:pPr>
              <w:spacing w:line="276" w:lineRule="auto"/>
              <w:rPr>
                <w:sz w:val="20"/>
                <w:szCs w:val="20"/>
              </w:rPr>
            </w:pPr>
          </w:p>
        </w:tc>
        <w:tc>
          <w:tcPr>
            <w:tcW w:w="1134" w:type="dxa"/>
          </w:tcPr>
          <w:p w:rsidR="00381F60" w:rsidRPr="00250A0D" w:rsidRDefault="0033290F" w:rsidP="00B66FDE">
            <w:pPr>
              <w:spacing w:line="276" w:lineRule="auto"/>
              <w:rPr>
                <w:sz w:val="20"/>
                <w:szCs w:val="20"/>
              </w:rPr>
            </w:pPr>
            <w:r w:rsidRPr="0033290F">
              <w:rPr>
                <w:sz w:val="20"/>
                <w:szCs w:val="20"/>
              </w:rPr>
              <w:lastRenderedPageBreak/>
              <w:t>Nesplněno</w:t>
            </w:r>
          </w:p>
          <w:p w:rsidR="00381F60" w:rsidRPr="00250A0D" w:rsidRDefault="00381F60" w:rsidP="00B66FDE">
            <w:pPr>
              <w:spacing w:line="276" w:lineRule="auto"/>
              <w:rPr>
                <w:sz w:val="20"/>
                <w:szCs w:val="20"/>
              </w:rPr>
            </w:pPr>
          </w:p>
        </w:tc>
        <w:tc>
          <w:tcPr>
            <w:tcW w:w="2693" w:type="dxa"/>
          </w:tcPr>
          <w:p w:rsidR="00381F60" w:rsidRPr="00250A0D" w:rsidRDefault="00381F60" w:rsidP="00B66FDE">
            <w:pPr>
              <w:spacing w:line="276" w:lineRule="auto"/>
              <w:rPr>
                <w:sz w:val="20"/>
                <w:szCs w:val="20"/>
              </w:rPr>
            </w:pPr>
          </w:p>
        </w:tc>
        <w:tc>
          <w:tcPr>
            <w:tcW w:w="5245" w:type="dxa"/>
          </w:tcPr>
          <w:p w:rsidR="00674BC9" w:rsidRDefault="0033290F">
            <w:pPr>
              <w:pStyle w:val="Default"/>
              <w:jc w:val="both"/>
              <w:rPr>
                <w:rFonts w:ascii="Cambria" w:eastAsia="Times New Roman" w:hAnsi="Cambria" w:cs="Times New Roman"/>
                <w:b/>
                <w:sz w:val="20"/>
                <w:szCs w:val="20"/>
                <w:lang w:val="en-GB" w:eastAsia="fr-BE"/>
              </w:rPr>
            </w:pPr>
            <w:r w:rsidRPr="0033290F">
              <w:rPr>
                <w:rFonts w:ascii="Cambria" w:hAnsi="Cambria"/>
                <w:color w:val="auto"/>
                <w:sz w:val="20"/>
                <w:szCs w:val="20"/>
              </w:rPr>
              <w:t xml:space="preserve">Specifické naplňování na národní úrovni je uvedeno v rámci Dohody o partnerství </w:t>
            </w:r>
          </w:p>
        </w:tc>
      </w:tr>
      <w:tr w:rsidR="00381F60" w:rsidRPr="00250A0D" w:rsidTr="000F2740">
        <w:tc>
          <w:tcPr>
            <w:tcW w:w="1384" w:type="dxa"/>
            <w:vMerge/>
          </w:tcPr>
          <w:p w:rsidR="00381F60" w:rsidRPr="00250A0D" w:rsidRDefault="00381F60" w:rsidP="00B66FDE">
            <w:pPr>
              <w:spacing w:line="276" w:lineRule="auto"/>
              <w:rPr>
                <w:sz w:val="20"/>
                <w:szCs w:val="20"/>
              </w:rPr>
            </w:pPr>
          </w:p>
        </w:tc>
        <w:tc>
          <w:tcPr>
            <w:tcW w:w="1134" w:type="dxa"/>
          </w:tcPr>
          <w:p w:rsidR="00381F60" w:rsidRPr="00250A0D" w:rsidRDefault="00381F60" w:rsidP="00B66FDE">
            <w:pPr>
              <w:spacing w:line="276" w:lineRule="auto"/>
              <w:rPr>
                <w:sz w:val="20"/>
                <w:szCs w:val="20"/>
              </w:rPr>
            </w:pPr>
          </w:p>
        </w:tc>
        <w:tc>
          <w:tcPr>
            <w:tcW w:w="851" w:type="dxa"/>
          </w:tcPr>
          <w:p w:rsidR="00381F60" w:rsidRPr="00250A0D" w:rsidRDefault="00381F60" w:rsidP="00B66FDE">
            <w:pPr>
              <w:spacing w:line="276" w:lineRule="auto"/>
              <w:rPr>
                <w:sz w:val="20"/>
                <w:szCs w:val="20"/>
              </w:rPr>
            </w:pPr>
          </w:p>
        </w:tc>
        <w:tc>
          <w:tcPr>
            <w:tcW w:w="1701" w:type="dxa"/>
          </w:tcPr>
          <w:p w:rsidR="00381F60" w:rsidRPr="00250A0D" w:rsidRDefault="0033290F" w:rsidP="00B66FDE">
            <w:pPr>
              <w:spacing w:line="276" w:lineRule="auto"/>
              <w:rPr>
                <w:sz w:val="20"/>
                <w:szCs w:val="20"/>
              </w:rPr>
            </w:pPr>
            <w:r w:rsidRPr="0033290F">
              <w:rPr>
                <w:sz w:val="20"/>
                <w:szCs w:val="20"/>
              </w:rPr>
              <w:t xml:space="preserve">postupy zajišťující, aby všechny operace financované z programu používaly účinný systém ukazatelů. </w:t>
            </w:r>
          </w:p>
        </w:tc>
        <w:tc>
          <w:tcPr>
            <w:tcW w:w="1134" w:type="dxa"/>
          </w:tcPr>
          <w:p w:rsidR="00381F60" w:rsidRPr="00250A0D" w:rsidRDefault="0033290F" w:rsidP="00B66FDE">
            <w:pPr>
              <w:spacing w:line="276" w:lineRule="auto"/>
              <w:rPr>
                <w:sz w:val="20"/>
                <w:szCs w:val="20"/>
              </w:rPr>
            </w:pPr>
            <w:r w:rsidRPr="0033290F">
              <w:rPr>
                <w:sz w:val="20"/>
                <w:szCs w:val="20"/>
              </w:rPr>
              <w:t>Nesplněno</w:t>
            </w:r>
          </w:p>
          <w:p w:rsidR="00381F60" w:rsidRPr="00250A0D" w:rsidRDefault="00381F60" w:rsidP="00B66FDE">
            <w:pPr>
              <w:spacing w:line="276" w:lineRule="auto"/>
              <w:rPr>
                <w:sz w:val="20"/>
                <w:szCs w:val="20"/>
              </w:rPr>
            </w:pPr>
          </w:p>
        </w:tc>
        <w:tc>
          <w:tcPr>
            <w:tcW w:w="2693" w:type="dxa"/>
          </w:tcPr>
          <w:p w:rsidR="00381F60" w:rsidRPr="00250A0D" w:rsidRDefault="00381F60" w:rsidP="00B66FDE">
            <w:pPr>
              <w:spacing w:line="276" w:lineRule="auto"/>
              <w:rPr>
                <w:sz w:val="20"/>
                <w:szCs w:val="20"/>
              </w:rPr>
            </w:pPr>
          </w:p>
        </w:tc>
        <w:tc>
          <w:tcPr>
            <w:tcW w:w="5245" w:type="dxa"/>
          </w:tcPr>
          <w:p w:rsidR="00381F60" w:rsidRPr="00250A0D" w:rsidRDefault="0033290F" w:rsidP="00B66FDE">
            <w:pPr>
              <w:spacing w:line="276" w:lineRule="auto"/>
              <w:rPr>
                <w:sz w:val="20"/>
                <w:szCs w:val="20"/>
              </w:rPr>
            </w:pPr>
            <w:r w:rsidRPr="0033290F">
              <w:rPr>
                <w:sz w:val="20"/>
                <w:szCs w:val="20"/>
              </w:rPr>
              <w:t>Specifické naplňování na národní úrovni je uvedeno v rámci Dohody o partnerství</w:t>
            </w:r>
          </w:p>
          <w:p w:rsidR="00674BC9" w:rsidRDefault="00674BC9">
            <w:pPr>
              <w:pStyle w:val="Default"/>
              <w:jc w:val="both"/>
              <w:rPr>
                <w:sz w:val="20"/>
                <w:szCs w:val="20"/>
              </w:rPr>
            </w:pPr>
          </w:p>
        </w:tc>
      </w:tr>
    </w:tbl>
    <w:p w:rsidR="00EB1839" w:rsidRPr="00CC4B5F" w:rsidRDefault="00EB1839" w:rsidP="00B66FDE"/>
    <w:p w:rsidR="00260C67" w:rsidRDefault="00260C67" w:rsidP="00B66FDE"/>
    <w:p w:rsidR="009E5E7B" w:rsidRDefault="009E5E7B" w:rsidP="00B66FDE"/>
    <w:p w:rsidR="009E5E7B" w:rsidRDefault="009E5E7B" w:rsidP="00B66FDE"/>
    <w:p w:rsidR="009E5E7B" w:rsidRDefault="009E5E7B" w:rsidP="00B66FDE"/>
    <w:p w:rsidR="009E5E7B" w:rsidRPr="00CC4B5F" w:rsidRDefault="009E5E7B" w:rsidP="00B66FDE"/>
    <w:p w:rsidR="00AA4FC7" w:rsidRPr="00CC4B5F" w:rsidRDefault="00D70CCA" w:rsidP="00CC4B5F">
      <w:pPr>
        <w:pStyle w:val="Titulek"/>
      </w:pPr>
      <w:bookmarkStart w:id="3468" w:name="_Toc384907552"/>
      <w:r w:rsidRPr="00CC4B5F">
        <w:lastRenderedPageBreak/>
        <w:t>Určení příslušných předběžných podmínek a posouzení jejich plnění</w:t>
      </w:r>
      <w:bookmarkEnd w:id="3468"/>
    </w:p>
    <w:tbl>
      <w:tblPr>
        <w:tblStyle w:val="Mkatabulky"/>
        <w:tblW w:w="14142" w:type="dxa"/>
        <w:tblLayout w:type="fixed"/>
        <w:tblLook w:val="04A0" w:firstRow="1" w:lastRow="0" w:firstColumn="1" w:lastColumn="0" w:noHBand="0" w:noVBand="1"/>
      </w:tblPr>
      <w:tblGrid>
        <w:gridCol w:w="1384"/>
        <w:gridCol w:w="1134"/>
        <w:gridCol w:w="1134"/>
        <w:gridCol w:w="1418"/>
        <w:gridCol w:w="1134"/>
        <w:gridCol w:w="3118"/>
        <w:gridCol w:w="4820"/>
      </w:tblGrid>
      <w:tr w:rsidR="00555763" w:rsidRPr="00250A0D" w:rsidTr="009E5E7B">
        <w:trPr>
          <w:tblHeader/>
        </w:trPr>
        <w:tc>
          <w:tcPr>
            <w:tcW w:w="1384" w:type="dxa"/>
            <w:tcBorders>
              <w:bottom w:val="single" w:sz="12" w:space="0" w:color="auto"/>
            </w:tcBorders>
            <w:shd w:val="clear" w:color="auto" w:fill="A6A6A6" w:themeFill="background1" w:themeFillShade="A6"/>
          </w:tcPr>
          <w:p w:rsidR="00555763" w:rsidRPr="00250A0D" w:rsidRDefault="0033290F" w:rsidP="00B66FDE">
            <w:pPr>
              <w:spacing w:line="276" w:lineRule="auto"/>
              <w:rPr>
                <w:b/>
                <w:sz w:val="20"/>
                <w:szCs w:val="20"/>
              </w:rPr>
            </w:pPr>
            <w:r w:rsidRPr="0033290F">
              <w:rPr>
                <w:b/>
                <w:sz w:val="20"/>
                <w:szCs w:val="20"/>
              </w:rPr>
              <w:t>Předběžná podmínka</w:t>
            </w:r>
          </w:p>
        </w:tc>
        <w:tc>
          <w:tcPr>
            <w:tcW w:w="1134" w:type="dxa"/>
            <w:tcBorders>
              <w:bottom w:val="single" w:sz="12" w:space="0" w:color="auto"/>
            </w:tcBorders>
            <w:shd w:val="clear" w:color="auto" w:fill="A6A6A6" w:themeFill="background1" w:themeFillShade="A6"/>
          </w:tcPr>
          <w:p w:rsidR="00555763" w:rsidRPr="00250A0D" w:rsidRDefault="0033290F" w:rsidP="00D70CCA">
            <w:pPr>
              <w:spacing w:line="276" w:lineRule="auto"/>
              <w:rPr>
                <w:b/>
                <w:sz w:val="20"/>
                <w:szCs w:val="20"/>
              </w:rPr>
            </w:pPr>
            <w:r w:rsidRPr="0033290F">
              <w:rPr>
                <w:b/>
                <w:sz w:val="20"/>
                <w:szCs w:val="20"/>
              </w:rPr>
              <w:t xml:space="preserve">Prioritní osy, kterých se podmínka týká </w:t>
            </w:r>
          </w:p>
        </w:tc>
        <w:tc>
          <w:tcPr>
            <w:tcW w:w="1134" w:type="dxa"/>
            <w:tcBorders>
              <w:bottom w:val="single" w:sz="12" w:space="0" w:color="auto"/>
            </w:tcBorders>
            <w:shd w:val="clear" w:color="auto" w:fill="A6A6A6" w:themeFill="background1" w:themeFillShade="A6"/>
          </w:tcPr>
          <w:p w:rsidR="00555763" w:rsidRPr="00250A0D" w:rsidRDefault="0033290F" w:rsidP="00B66FDE">
            <w:pPr>
              <w:spacing w:line="276" w:lineRule="auto"/>
              <w:rPr>
                <w:b/>
                <w:sz w:val="20"/>
                <w:szCs w:val="20"/>
              </w:rPr>
            </w:pPr>
            <w:r w:rsidRPr="0033290F">
              <w:rPr>
                <w:b/>
                <w:sz w:val="20"/>
                <w:szCs w:val="20"/>
              </w:rPr>
              <w:t>Předběžná podmínka splněna: ano/ne/částečně</w:t>
            </w:r>
          </w:p>
        </w:tc>
        <w:tc>
          <w:tcPr>
            <w:tcW w:w="1418" w:type="dxa"/>
            <w:tcBorders>
              <w:bottom w:val="single" w:sz="12" w:space="0" w:color="auto"/>
            </w:tcBorders>
            <w:shd w:val="clear" w:color="auto" w:fill="A6A6A6" w:themeFill="background1" w:themeFillShade="A6"/>
          </w:tcPr>
          <w:p w:rsidR="00555763" w:rsidRPr="00250A0D" w:rsidRDefault="0033290F" w:rsidP="00D70CCA">
            <w:pPr>
              <w:spacing w:line="276" w:lineRule="auto"/>
              <w:rPr>
                <w:b/>
                <w:sz w:val="20"/>
                <w:szCs w:val="20"/>
              </w:rPr>
            </w:pPr>
            <w:r w:rsidRPr="0033290F">
              <w:rPr>
                <w:b/>
                <w:sz w:val="20"/>
                <w:szCs w:val="20"/>
              </w:rPr>
              <w:t xml:space="preserve">Kritéria </w:t>
            </w:r>
          </w:p>
        </w:tc>
        <w:tc>
          <w:tcPr>
            <w:tcW w:w="1134" w:type="dxa"/>
            <w:tcBorders>
              <w:bottom w:val="single" w:sz="12" w:space="0" w:color="auto"/>
            </w:tcBorders>
            <w:shd w:val="clear" w:color="auto" w:fill="A6A6A6" w:themeFill="background1" w:themeFillShade="A6"/>
          </w:tcPr>
          <w:p w:rsidR="00555763" w:rsidRPr="00250A0D" w:rsidRDefault="0033290F" w:rsidP="00B66FDE">
            <w:pPr>
              <w:spacing w:line="276" w:lineRule="auto"/>
              <w:rPr>
                <w:b/>
                <w:sz w:val="20"/>
                <w:szCs w:val="20"/>
              </w:rPr>
            </w:pPr>
            <w:r w:rsidRPr="0033290F">
              <w:rPr>
                <w:b/>
                <w:sz w:val="20"/>
                <w:szCs w:val="20"/>
              </w:rPr>
              <w:t>Kritéria splněna ano/ne</w:t>
            </w:r>
          </w:p>
        </w:tc>
        <w:tc>
          <w:tcPr>
            <w:tcW w:w="3118" w:type="dxa"/>
            <w:tcBorders>
              <w:bottom w:val="single" w:sz="12" w:space="0" w:color="auto"/>
            </w:tcBorders>
            <w:shd w:val="clear" w:color="auto" w:fill="A6A6A6" w:themeFill="background1" w:themeFillShade="A6"/>
          </w:tcPr>
          <w:p w:rsidR="00555763" w:rsidRPr="00250A0D" w:rsidRDefault="0033290F" w:rsidP="00D70CCA">
            <w:pPr>
              <w:spacing w:line="276" w:lineRule="auto"/>
              <w:rPr>
                <w:b/>
                <w:sz w:val="20"/>
                <w:szCs w:val="20"/>
              </w:rPr>
            </w:pPr>
            <w:r w:rsidRPr="0033290F">
              <w:rPr>
                <w:b/>
                <w:sz w:val="20"/>
                <w:szCs w:val="20"/>
              </w:rPr>
              <w:t xml:space="preserve">Odkaz (odkaz na strategie, právní akt nebo jiné relevantní dokumenty, včetně odkazů na příslušné oddíly, články či odstavce, doplněné o internetové odkazy nebo přístup k celému znění) </w:t>
            </w:r>
          </w:p>
        </w:tc>
        <w:tc>
          <w:tcPr>
            <w:tcW w:w="4820" w:type="dxa"/>
            <w:tcBorders>
              <w:bottom w:val="single" w:sz="12" w:space="0" w:color="auto"/>
            </w:tcBorders>
            <w:shd w:val="clear" w:color="auto" w:fill="A6A6A6" w:themeFill="background1" w:themeFillShade="A6"/>
          </w:tcPr>
          <w:p w:rsidR="00555763" w:rsidRPr="00250A0D" w:rsidRDefault="0033290F" w:rsidP="00B66FDE">
            <w:pPr>
              <w:spacing w:line="276" w:lineRule="auto"/>
              <w:rPr>
                <w:b/>
                <w:sz w:val="20"/>
                <w:szCs w:val="20"/>
              </w:rPr>
            </w:pPr>
            <w:r w:rsidRPr="0033290F">
              <w:rPr>
                <w:b/>
                <w:sz w:val="20"/>
                <w:szCs w:val="20"/>
              </w:rPr>
              <w:t xml:space="preserve">Vysvětlení </w:t>
            </w:r>
          </w:p>
        </w:tc>
      </w:tr>
      <w:tr w:rsidR="00555763" w:rsidRPr="00250A0D" w:rsidTr="000F2740">
        <w:tc>
          <w:tcPr>
            <w:tcW w:w="1384" w:type="dxa"/>
            <w:tcBorders>
              <w:top w:val="single" w:sz="12" w:space="0" w:color="auto"/>
            </w:tcBorders>
          </w:tcPr>
          <w:p w:rsidR="00555763" w:rsidRPr="00250A0D" w:rsidRDefault="0033290F" w:rsidP="00B66FDE">
            <w:pPr>
              <w:spacing w:line="276" w:lineRule="auto"/>
              <w:rPr>
                <w:sz w:val="20"/>
                <w:szCs w:val="20"/>
              </w:rPr>
            </w:pPr>
            <w:r w:rsidRPr="0033290F">
              <w:rPr>
                <w:sz w:val="20"/>
                <w:szCs w:val="20"/>
              </w:rPr>
              <w:t>4.1. Byla provedena opatření na podporu nákladově efektivního zvyšování energetické účinnosti u koncového uživatele a nákladově efektivních investic do energetické účinnosti při výstavbě a renovaci budov.</w:t>
            </w:r>
          </w:p>
        </w:tc>
        <w:tc>
          <w:tcPr>
            <w:tcW w:w="1134" w:type="dxa"/>
            <w:tcBorders>
              <w:top w:val="single" w:sz="12" w:space="0" w:color="auto"/>
            </w:tcBorders>
          </w:tcPr>
          <w:p w:rsidR="00555763" w:rsidRPr="00250A0D" w:rsidRDefault="0033290F" w:rsidP="00B66FDE">
            <w:pPr>
              <w:spacing w:line="276" w:lineRule="auto"/>
              <w:rPr>
                <w:sz w:val="20"/>
                <w:szCs w:val="20"/>
              </w:rPr>
            </w:pPr>
            <w:r w:rsidRPr="0033290F">
              <w:rPr>
                <w:sz w:val="20"/>
                <w:szCs w:val="20"/>
              </w:rPr>
              <w:t>Prioritní osa 5: Energetické úspory</w:t>
            </w:r>
          </w:p>
        </w:tc>
        <w:tc>
          <w:tcPr>
            <w:tcW w:w="1134" w:type="dxa"/>
            <w:vMerge w:val="restart"/>
            <w:tcBorders>
              <w:top w:val="single" w:sz="12" w:space="0" w:color="auto"/>
            </w:tcBorders>
          </w:tcPr>
          <w:p w:rsidR="00555763" w:rsidRPr="00250A0D" w:rsidRDefault="005A5987" w:rsidP="00B66FDE">
            <w:pPr>
              <w:spacing w:line="276" w:lineRule="auto"/>
              <w:rPr>
                <w:sz w:val="20"/>
                <w:szCs w:val="20"/>
              </w:rPr>
            </w:pPr>
            <w:r w:rsidRPr="00250A0D">
              <w:rPr>
                <w:sz w:val="20"/>
                <w:szCs w:val="20"/>
              </w:rPr>
              <w:t>Nesplněno</w:t>
            </w:r>
          </w:p>
        </w:tc>
        <w:tc>
          <w:tcPr>
            <w:tcW w:w="1418" w:type="dxa"/>
            <w:tcBorders>
              <w:top w:val="single" w:sz="12" w:space="0" w:color="auto"/>
            </w:tcBorders>
          </w:tcPr>
          <w:p w:rsidR="00555763" w:rsidRPr="00250A0D" w:rsidRDefault="0033290F" w:rsidP="00B66FDE">
            <w:pPr>
              <w:spacing w:line="276" w:lineRule="auto"/>
              <w:rPr>
                <w:sz w:val="20"/>
                <w:szCs w:val="20"/>
              </w:rPr>
            </w:pPr>
            <w:r w:rsidRPr="0033290F">
              <w:rPr>
                <w:sz w:val="20"/>
                <w:szCs w:val="20"/>
              </w:rPr>
              <w:t>,</w:t>
            </w:r>
          </w:p>
          <w:p w:rsidR="006F4AAD" w:rsidRPr="00250A0D" w:rsidRDefault="0033290F" w:rsidP="00B66FDE">
            <w:pPr>
              <w:spacing w:line="276" w:lineRule="auto"/>
              <w:rPr>
                <w:sz w:val="20"/>
                <w:szCs w:val="20"/>
              </w:rPr>
            </w:pPr>
            <w:r w:rsidRPr="0033290F">
              <w:rPr>
                <w:sz w:val="20"/>
                <w:szCs w:val="20"/>
              </w:rPr>
              <w:t>Těmito opatřeními jsou: opatření k zajištění minimálních požadavků týkajících se energetické náročnosti budov v souladu s články 3, 4 a 5 směrnice 2010/31/EU,</w:t>
            </w:r>
          </w:p>
        </w:tc>
        <w:tc>
          <w:tcPr>
            <w:tcW w:w="1134" w:type="dxa"/>
            <w:tcBorders>
              <w:top w:val="single" w:sz="12" w:space="0" w:color="auto"/>
            </w:tcBorders>
          </w:tcPr>
          <w:p w:rsidR="00555763" w:rsidRPr="00250A0D" w:rsidRDefault="0033290F" w:rsidP="00B66FDE">
            <w:pPr>
              <w:spacing w:line="276" w:lineRule="auto"/>
              <w:rPr>
                <w:sz w:val="20"/>
                <w:szCs w:val="20"/>
              </w:rPr>
            </w:pPr>
            <w:r w:rsidRPr="0033290F">
              <w:rPr>
                <w:sz w:val="20"/>
                <w:szCs w:val="20"/>
              </w:rPr>
              <w:t>Nesplněno</w:t>
            </w:r>
          </w:p>
        </w:tc>
        <w:tc>
          <w:tcPr>
            <w:tcW w:w="3118" w:type="dxa"/>
            <w:tcBorders>
              <w:top w:val="single" w:sz="12" w:space="0" w:color="auto"/>
            </w:tcBorders>
          </w:tcPr>
          <w:p w:rsidR="00555763" w:rsidRPr="00250A0D" w:rsidRDefault="0033290F" w:rsidP="00B66FDE">
            <w:pPr>
              <w:spacing w:line="276" w:lineRule="auto"/>
              <w:rPr>
                <w:sz w:val="20"/>
                <w:szCs w:val="20"/>
              </w:rPr>
            </w:pPr>
            <w:r w:rsidRPr="0033290F">
              <w:rPr>
                <w:rFonts w:cstheme="minorHAnsi"/>
                <w:sz w:val="20"/>
                <w:szCs w:val="20"/>
              </w:rPr>
              <w:t>zákon č. 406/2000 Sb. o hospodaření energií, konkrétně novela zákona č. 318/2012 Sb.</w:t>
            </w:r>
          </w:p>
        </w:tc>
        <w:tc>
          <w:tcPr>
            <w:tcW w:w="4820" w:type="dxa"/>
            <w:tcBorders>
              <w:top w:val="single" w:sz="12" w:space="0" w:color="auto"/>
            </w:tcBorders>
          </w:tcPr>
          <w:p w:rsidR="00555763" w:rsidRPr="00250A0D" w:rsidRDefault="0033290F" w:rsidP="00821031">
            <w:pPr>
              <w:spacing w:line="276" w:lineRule="auto"/>
              <w:rPr>
                <w:rFonts w:eastAsiaTheme="minorHAnsi" w:cs="Helv"/>
                <w:sz w:val="20"/>
                <w:szCs w:val="20"/>
                <w:lang w:eastAsia="en-US"/>
              </w:rPr>
            </w:pPr>
            <w:r w:rsidRPr="0033290F">
              <w:rPr>
                <w:rFonts w:cs="Arial"/>
                <w:sz w:val="20"/>
                <w:szCs w:val="20"/>
              </w:rPr>
              <w:t>T</w:t>
            </w:r>
            <w:r w:rsidRPr="0033290F">
              <w:rPr>
                <w:rFonts w:eastAsiaTheme="minorHAnsi" w:cs="Helv"/>
                <w:sz w:val="20"/>
                <w:szCs w:val="20"/>
                <w:lang w:eastAsia="en-US"/>
              </w:rPr>
              <w:t>ranspozice směrnice byla provedena implementaci do zákona č. 406/2000 Sb. o hospodaření energií, konkrétně novelou zákona č. 318/2012 Sb. ze dne 24. října 2012.</w:t>
            </w:r>
          </w:p>
          <w:p w:rsidR="00A20B63" w:rsidRPr="00250A0D" w:rsidDel="00A20B63" w:rsidRDefault="0033290F" w:rsidP="00821031">
            <w:pPr>
              <w:spacing w:line="276" w:lineRule="auto"/>
              <w:rPr>
                <w:rFonts w:eastAsiaTheme="minorHAnsi" w:cs="Helv"/>
                <w:sz w:val="20"/>
                <w:szCs w:val="20"/>
                <w:lang w:eastAsia="en-US"/>
              </w:rPr>
            </w:pPr>
            <w:r w:rsidRPr="0033290F">
              <w:rPr>
                <w:rFonts w:eastAsiaTheme="minorHAnsi" w:cs="Helv"/>
                <w:sz w:val="20"/>
                <w:szCs w:val="20"/>
                <w:lang w:eastAsia="en-US"/>
              </w:rPr>
              <w:t xml:space="preserve">V současné době je s ČR vedeno řízení pro porušení Smlouvy – řízení o </w:t>
            </w:r>
            <w:proofErr w:type="spellStart"/>
            <w:r w:rsidRPr="0033290F">
              <w:rPr>
                <w:rFonts w:eastAsiaTheme="minorHAnsi" w:cs="Helv"/>
                <w:sz w:val="20"/>
                <w:szCs w:val="20"/>
                <w:lang w:eastAsia="en-US"/>
              </w:rPr>
              <w:t>nenotifikaci</w:t>
            </w:r>
            <w:proofErr w:type="spellEnd"/>
            <w:r w:rsidRPr="0033290F">
              <w:rPr>
                <w:rFonts w:eastAsiaTheme="minorHAnsi" w:cs="Helv"/>
                <w:sz w:val="20"/>
                <w:szCs w:val="20"/>
                <w:lang w:eastAsia="en-US"/>
              </w:rPr>
              <w:t xml:space="preserve"> č. 2012/0335(zahájeno 25. 9. 2012). ČR na formální upozornění odpověděla dne 31. 10. 2012. Dne18.10.2013 bylo ČR zasláno odůvodněné stanovisko EK. Odpověď ČR na odůvodněné stanovisko byla odeslána </w:t>
            </w:r>
            <w:proofErr w:type="gramStart"/>
            <w:r w:rsidRPr="0033290F">
              <w:rPr>
                <w:rFonts w:eastAsiaTheme="minorHAnsi" w:cs="Helv"/>
                <w:sz w:val="20"/>
                <w:szCs w:val="20"/>
                <w:lang w:eastAsia="en-US"/>
              </w:rPr>
              <w:t>20.12.2013</w:t>
            </w:r>
            <w:proofErr w:type="gramEnd"/>
            <w:r w:rsidRPr="0033290F">
              <w:rPr>
                <w:rFonts w:eastAsiaTheme="minorHAnsi" w:cs="Helv"/>
                <w:sz w:val="20"/>
                <w:szCs w:val="20"/>
                <w:lang w:eastAsia="en-US"/>
              </w:rPr>
              <w:t>.</w:t>
            </w:r>
          </w:p>
          <w:p w:rsidR="00A20B63" w:rsidRPr="00250A0D" w:rsidRDefault="0033290F" w:rsidP="00A20B63">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MPO zpracovalo akční plán k plnění podmínky a zahájilo jednání s EK k řešení případu řízení o porušení Smlouvy. </w:t>
            </w:r>
          </w:p>
          <w:p w:rsidR="00555763" w:rsidRPr="00250A0D" w:rsidRDefault="00555763" w:rsidP="00821031">
            <w:pPr>
              <w:spacing w:line="276" w:lineRule="auto"/>
              <w:rPr>
                <w:sz w:val="20"/>
                <w:szCs w:val="20"/>
              </w:rPr>
            </w:pPr>
          </w:p>
        </w:tc>
      </w:tr>
      <w:tr w:rsidR="00555763" w:rsidRPr="00250A0D" w:rsidTr="000F2740">
        <w:tc>
          <w:tcPr>
            <w:tcW w:w="1384" w:type="dxa"/>
          </w:tcPr>
          <w:p w:rsidR="00555763" w:rsidRPr="00250A0D" w:rsidRDefault="00555763" w:rsidP="00B66FDE">
            <w:pPr>
              <w:spacing w:line="276" w:lineRule="auto"/>
              <w:rPr>
                <w:sz w:val="20"/>
                <w:szCs w:val="20"/>
              </w:rPr>
            </w:pPr>
          </w:p>
        </w:tc>
        <w:tc>
          <w:tcPr>
            <w:tcW w:w="1134" w:type="dxa"/>
          </w:tcPr>
          <w:p w:rsidR="00555763" w:rsidRPr="00250A0D" w:rsidRDefault="00555763" w:rsidP="00B66FDE">
            <w:pPr>
              <w:spacing w:line="276" w:lineRule="auto"/>
              <w:rPr>
                <w:sz w:val="20"/>
                <w:szCs w:val="20"/>
              </w:rPr>
            </w:pPr>
          </w:p>
        </w:tc>
        <w:tc>
          <w:tcPr>
            <w:tcW w:w="1134" w:type="dxa"/>
            <w:vMerge/>
          </w:tcPr>
          <w:p w:rsidR="00555763" w:rsidRPr="00250A0D" w:rsidRDefault="00555763" w:rsidP="00B66FDE">
            <w:pPr>
              <w:spacing w:line="276" w:lineRule="auto"/>
              <w:rPr>
                <w:sz w:val="20"/>
                <w:szCs w:val="20"/>
              </w:rPr>
            </w:pPr>
          </w:p>
        </w:tc>
        <w:tc>
          <w:tcPr>
            <w:tcW w:w="1418" w:type="dxa"/>
          </w:tcPr>
          <w:p w:rsidR="00555763" w:rsidRPr="00250A0D" w:rsidRDefault="0033290F" w:rsidP="00B66FDE">
            <w:pPr>
              <w:spacing w:line="276" w:lineRule="auto"/>
              <w:rPr>
                <w:sz w:val="20"/>
                <w:szCs w:val="20"/>
              </w:rPr>
            </w:pPr>
            <w:r w:rsidRPr="0033290F">
              <w:rPr>
                <w:sz w:val="20"/>
                <w:szCs w:val="20"/>
              </w:rPr>
              <w:t xml:space="preserve">Opatření nezbytná pro zavedení systému certifikace </w:t>
            </w:r>
            <w:r w:rsidRPr="0033290F">
              <w:rPr>
                <w:sz w:val="20"/>
                <w:szCs w:val="20"/>
              </w:rPr>
              <w:lastRenderedPageBreak/>
              <w:t>energetické náročnosti budov v souladu s článkem 11 směrnice 2010/31/EU,</w:t>
            </w:r>
          </w:p>
        </w:tc>
        <w:tc>
          <w:tcPr>
            <w:tcW w:w="1134" w:type="dxa"/>
          </w:tcPr>
          <w:p w:rsidR="00555763" w:rsidRPr="00250A0D" w:rsidRDefault="0033290F" w:rsidP="00B66FDE">
            <w:pPr>
              <w:spacing w:line="276" w:lineRule="auto"/>
              <w:rPr>
                <w:sz w:val="20"/>
                <w:szCs w:val="20"/>
              </w:rPr>
            </w:pPr>
            <w:r w:rsidRPr="0033290F">
              <w:rPr>
                <w:sz w:val="20"/>
                <w:szCs w:val="20"/>
              </w:rPr>
              <w:lastRenderedPageBreak/>
              <w:t>Nesplněno</w:t>
            </w:r>
          </w:p>
        </w:tc>
        <w:tc>
          <w:tcPr>
            <w:tcW w:w="3118" w:type="dxa"/>
          </w:tcPr>
          <w:p w:rsidR="00555763" w:rsidRPr="00250A0D" w:rsidRDefault="0033290F" w:rsidP="00B66FDE">
            <w:pPr>
              <w:spacing w:line="276" w:lineRule="auto"/>
              <w:rPr>
                <w:sz w:val="20"/>
                <w:szCs w:val="20"/>
              </w:rPr>
            </w:pPr>
            <w:r w:rsidRPr="0033290F">
              <w:rPr>
                <w:rFonts w:cstheme="minorHAnsi"/>
                <w:sz w:val="20"/>
                <w:szCs w:val="20"/>
              </w:rPr>
              <w:t>zákon č. 406/2000 Sb. o hospodaření energií, konkrétně novela zákona č. 318/2012 Sb.</w:t>
            </w:r>
          </w:p>
        </w:tc>
        <w:tc>
          <w:tcPr>
            <w:tcW w:w="4820" w:type="dxa"/>
          </w:tcPr>
          <w:p w:rsidR="0031502D" w:rsidRPr="00250A0D" w:rsidRDefault="0033290F" w:rsidP="0031502D">
            <w:pPr>
              <w:spacing w:line="276" w:lineRule="auto"/>
              <w:rPr>
                <w:rFonts w:eastAsiaTheme="minorHAnsi" w:cs="Helv"/>
                <w:sz w:val="20"/>
                <w:szCs w:val="20"/>
                <w:lang w:eastAsia="en-US"/>
              </w:rPr>
            </w:pPr>
            <w:r w:rsidRPr="0033290F">
              <w:rPr>
                <w:rFonts w:eastAsiaTheme="minorHAnsi" w:cs="Helv"/>
                <w:sz w:val="20"/>
                <w:szCs w:val="20"/>
                <w:lang w:eastAsia="en-US"/>
              </w:rPr>
              <w:t xml:space="preserve">V současné době je s ČR vedeno řízení pro porušení Smlouvy – řízení o </w:t>
            </w:r>
            <w:proofErr w:type="spellStart"/>
            <w:r w:rsidRPr="0033290F">
              <w:rPr>
                <w:rFonts w:eastAsiaTheme="minorHAnsi" w:cs="Helv"/>
                <w:sz w:val="20"/>
                <w:szCs w:val="20"/>
                <w:lang w:eastAsia="en-US"/>
              </w:rPr>
              <w:t>nenotifikaci</w:t>
            </w:r>
            <w:proofErr w:type="spellEnd"/>
            <w:r w:rsidRPr="0033290F">
              <w:rPr>
                <w:rFonts w:eastAsiaTheme="minorHAnsi" w:cs="Helv"/>
                <w:sz w:val="20"/>
                <w:szCs w:val="20"/>
                <w:lang w:eastAsia="en-US"/>
              </w:rPr>
              <w:t xml:space="preserve"> č. 2012/0335(zahájeno 25. 9. 2012). ČR na formální upozornění odpověděla dne 31. 10. 2012 (viz též výše). Dne18.10.2013 bylo ČR zasláno odůvodněné </w:t>
            </w:r>
            <w:r w:rsidRPr="0033290F">
              <w:rPr>
                <w:rFonts w:eastAsiaTheme="minorHAnsi" w:cs="Helv"/>
                <w:sz w:val="20"/>
                <w:szCs w:val="20"/>
                <w:lang w:eastAsia="en-US"/>
              </w:rPr>
              <w:lastRenderedPageBreak/>
              <w:t xml:space="preserve">stanovisko EK. Odpověď ČR na odůvodněné stanovisko byla odeslána </w:t>
            </w:r>
            <w:proofErr w:type="gramStart"/>
            <w:r w:rsidRPr="0033290F">
              <w:rPr>
                <w:rFonts w:eastAsiaTheme="minorHAnsi" w:cs="Helv"/>
                <w:sz w:val="20"/>
                <w:szCs w:val="20"/>
                <w:lang w:eastAsia="en-US"/>
              </w:rPr>
              <w:t>20.12.2013</w:t>
            </w:r>
            <w:proofErr w:type="gramEnd"/>
            <w:r w:rsidRPr="0033290F">
              <w:rPr>
                <w:rFonts w:eastAsiaTheme="minorHAnsi" w:cs="Helv"/>
                <w:sz w:val="20"/>
                <w:szCs w:val="20"/>
                <w:lang w:eastAsia="en-US"/>
              </w:rPr>
              <w:t>.</w:t>
            </w:r>
          </w:p>
          <w:p w:rsidR="0031502D" w:rsidRPr="00250A0D" w:rsidRDefault="0033290F" w:rsidP="0031502D">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MPO zpracovalo akční plán k plnění podmínky a zahájilo jednání s EK k řešení případu řízení o porušení Smlouvy. </w:t>
            </w:r>
          </w:p>
          <w:p w:rsidR="0031502D" w:rsidRPr="00250A0D" w:rsidDel="00A20B63" w:rsidRDefault="0031502D" w:rsidP="0031502D">
            <w:pPr>
              <w:spacing w:line="276" w:lineRule="auto"/>
              <w:rPr>
                <w:rFonts w:eastAsiaTheme="minorHAnsi" w:cs="Helv"/>
                <w:sz w:val="20"/>
                <w:szCs w:val="20"/>
                <w:lang w:eastAsia="en-US"/>
              </w:rPr>
            </w:pPr>
          </w:p>
          <w:p w:rsidR="00555763" w:rsidRPr="00250A0D" w:rsidRDefault="00555763" w:rsidP="00821031">
            <w:pPr>
              <w:spacing w:line="276" w:lineRule="auto"/>
              <w:rPr>
                <w:sz w:val="20"/>
                <w:szCs w:val="20"/>
              </w:rPr>
            </w:pPr>
          </w:p>
        </w:tc>
      </w:tr>
      <w:tr w:rsidR="00FC4EC4" w:rsidRPr="00250A0D" w:rsidTr="000F2740">
        <w:tc>
          <w:tcPr>
            <w:tcW w:w="1384" w:type="dxa"/>
          </w:tcPr>
          <w:p w:rsidR="00FC4EC4" w:rsidRPr="00250A0D" w:rsidRDefault="00FC4EC4" w:rsidP="00B66FDE">
            <w:pPr>
              <w:spacing w:line="276" w:lineRule="auto"/>
              <w:rPr>
                <w:sz w:val="20"/>
                <w:szCs w:val="20"/>
              </w:rPr>
            </w:pPr>
          </w:p>
        </w:tc>
        <w:tc>
          <w:tcPr>
            <w:tcW w:w="1134" w:type="dxa"/>
          </w:tcPr>
          <w:p w:rsidR="00FC4EC4" w:rsidRPr="00250A0D" w:rsidRDefault="00FC4EC4" w:rsidP="00B66FDE">
            <w:pPr>
              <w:spacing w:line="276" w:lineRule="auto"/>
              <w:rPr>
                <w:sz w:val="20"/>
                <w:szCs w:val="20"/>
              </w:rPr>
            </w:pPr>
          </w:p>
        </w:tc>
        <w:tc>
          <w:tcPr>
            <w:tcW w:w="1134" w:type="dxa"/>
            <w:vMerge w:val="restart"/>
          </w:tcPr>
          <w:p w:rsidR="00FC4EC4" w:rsidRPr="00250A0D" w:rsidRDefault="00FC4EC4" w:rsidP="00B66FDE">
            <w:pPr>
              <w:spacing w:line="276" w:lineRule="auto"/>
              <w:rPr>
                <w:sz w:val="20"/>
                <w:szCs w:val="20"/>
              </w:rPr>
            </w:pPr>
          </w:p>
        </w:tc>
        <w:tc>
          <w:tcPr>
            <w:tcW w:w="1418" w:type="dxa"/>
          </w:tcPr>
          <w:p w:rsidR="00FC4EC4" w:rsidRPr="00250A0D" w:rsidRDefault="0033290F" w:rsidP="00FC4EC4">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opatření k zajištění strategického plánování v oblasti energetické účinnosti v souladu s čl. 3 směrnice Evropského parlamentu a Rady 2012/27/EU. </w:t>
            </w:r>
          </w:p>
          <w:p w:rsidR="00FC4EC4" w:rsidRPr="00250A0D" w:rsidRDefault="00FC4EC4" w:rsidP="00B66FDE">
            <w:pPr>
              <w:spacing w:line="276" w:lineRule="auto"/>
              <w:rPr>
                <w:sz w:val="20"/>
                <w:szCs w:val="20"/>
              </w:rPr>
            </w:pPr>
          </w:p>
        </w:tc>
        <w:tc>
          <w:tcPr>
            <w:tcW w:w="1134" w:type="dxa"/>
          </w:tcPr>
          <w:p w:rsidR="00FC4EC4" w:rsidRPr="00250A0D" w:rsidRDefault="0033290F" w:rsidP="00B66FDE">
            <w:pPr>
              <w:spacing w:line="276" w:lineRule="auto"/>
              <w:rPr>
                <w:sz w:val="20"/>
                <w:szCs w:val="20"/>
              </w:rPr>
            </w:pPr>
            <w:r w:rsidRPr="0033290F">
              <w:rPr>
                <w:sz w:val="20"/>
                <w:szCs w:val="20"/>
              </w:rPr>
              <w:t>ano</w:t>
            </w:r>
          </w:p>
        </w:tc>
        <w:tc>
          <w:tcPr>
            <w:tcW w:w="3118" w:type="dxa"/>
          </w:tcPr>
          <w:p w:rsidR="00FC4EC4" w:rsidRPr="00250A0D" w:rsidRDefault="0033290F" w:rsidP="00FC4EC4">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1. Zpráva o pokroku v oblasti plnění vnitrostátních cílů energetické účinnosti v ČR </w:t>
            </w:r>
          </w:p>
          <w:p w:rsidR="00FC4EC4" w:rsidRPr="00250A0D" w:rsidRDefault="00FC4EC4" w:rsidP="00B66FDE">
            <w:pPr>
              <w:spacing w:line="276" w:lineRule="auto"/>
              <w:rPr>
                <w:rFonts w:cstheme="minorHAnsi"/>
                <w:sz w:val="20"/>
                <w:szCs w:val="20"/>
              </w:rPr>
            </w:pPr>
          </w:p>
        </w:tc>
        <w:tc>
          <w:tcPr>
            <w:tcW w:w="4820" w:type="dxa"/>
          </w:tcPr>
          <w:p w:rsidR="00FC4EC4" w:rsidRPr="00250A0D" w:rsidRDefault="0033290F" w:rsidP="00FC4EC4">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Zpráva byla zaslána Evropské komisi. </w:t>
            </w:r>
          </w:p>
          <w:p w:rsidR="00FC4EC4" w:rsidRPr="00250A0D" w:rsidRDefault="00FC4EC4" w:rsidP="00FC4EC4">
            <w:pPr>
              <w:spacing w:line="276" w:lineRule="auto"/>
              <w:rPr>
                <w:rFonts w:eastAsiaTheme="minorHAnsi" w:cs="Helv"/>
                <w:sz w:val="20"/>
                <w:szCs w:val="20"/>
                <w:lang w:eastAsia="en-US"/>
              </w:rPr>
            </w:pPr>
          </w:p>
        </w:tc>
      </w:tr>
      <w:tr w:rsidR="00FC4EC4" w:rsidRPr="00250A0D" w:rsidTr="000F2740">
        <w:tc>
          <w:tcPr>
            <w:tcW w:w="1384" w:type="dxa"/>
          </w:tcPr>
          <w:p w:rsidR="00FC4EC4" w:rsidRPr="00250A0D" w:rsidRDefault="00FC4EC4" w:rsidP="00514D81">
            <w:pPr>
              <w:spacing w:line="276" w:lineRule="auto"/>
              <w:rPr>
                <w:sz w:val="20"/>
                <w:szCs w:val="20"/>
              </w:rPr>
            </w:pPr>
          </w:p>
        </w:tc>
        <w:tc>
          <w:tcPr>
            <w:tcW w:w="1134" w:type="dxa"/>
          </w:tcPr>
          <w:p w:rsidR="00FC4EC4" w:rsidRPr="00250A0D" w:rsidRDefault="00FC4EC4" w:rsidP="00514D81">
            <w:pPr>
              <w:spacing w:line="276" w:lineRule="auto"/>
              <w:rPr>
                <w:sz w:val="20"/>
                <w:szCs w:val="20"/>
              </w:rPr>
            </w:pPr>
          </w:p>
        </w:tc>
        <w:tc>
          <w:tcPr>
            <w:tcW w:w="1134" w:type="dxa"/>
            <w:vMerge/>
          </w:tcPr>
          <w:p w:rsidR="00FC4EC4" w:rsidRPr="00250A0D" w:rsidRDefault="00FC4EC4" w:rsidP="00514D81">
            <w:pPr>
              <w:spacing w:line="276" w:lineRule="auto"/>
              <w:rPr>
                <w:sz w:val="20"/>
                <w:szCs w:val="20"/>
              </w:rPr>
            </w:pPr>
          </w:p>
        </w:tc>
        <w:tc>
          <w:tcPr>
            <w:tcW w:w="1418" w:type="dxa"/>
          </w:tcPr>
          <w:p w:rsidR="00FC4EC4" w:rsidRPr="00250A0D" w:rsidRDefault="0033290F" w:rsidP="00FC4EC4">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Opatření v souladu s </w:t>
            </w:r>
            <w:r w:rsidRPr="0033290F">
              <w:rPr>
                <w:rFonts w:ascii="Cambria" w:hAnsi="Cambria"/>
                <w:color w:val="auto"/>
                <w:sz w:val="20"/>
                <w:szCs w:val="20"/>
              </w:rPr>
              <w:lastRenderedPageBreak/>
              <w:t xml:space="preserve">článkem 13 směrnice Evropského parlamentu a Rady 2006/32/ES, zajišťující, aby pokud je to technicky možné, finančně únosné a úměrné potenciálním úsporám energie, byli koneční zákazníci vybaveni individuálními měřiči. </w:t>
            </w:r>
          </w:p>
          <w:p w:rsidR="00FC4EC4" w:rsidRPr="00250A0D" w:rsidRDefault="00FC4EC4" w:rsidP="00514D81">
            <w:pPr>
              <w:spacing w:line="276" w:lineRule="auto"/>
              <w:rPr>
                <w:sz w:val="20"/>
                <w:szCs w:val="20"/>
              </w:rPr>
            </w:pPr>
          </w:p>
        </w:tc>
        <w:tc>
          <w:tcPr>
            <w:tcW w:w="1134" w:type="dxa"/>
          </w:tcPr>
          <w:p w:rsidR="00FC4EC4" w:rsidRPr="00250A0D" w:rsidRDefault="00C60A68" w:rsidP="00514D81">
            <w:pPr>
              <w:spacing w:line="276" w:lineRule="auto"/>
              <w:rPr>
                <w:sz w:val="20"/>
                <w:szCs w:val="20"/>
              </w:rPr>
            </w:pPr>
            <w:r w:rsidRPr="00250A0D">
              <w:rPr>
                <w:sz w:val="20"/>
                <w:szCs w:val="20"/>
              </w:rPr>
              <w:lastRenderedPageBreak/>
              <w:t>Nesplněno</w:t>
            </w:r>
          </w:p>
        </w:tc>
        <w:tc>
          <w:tcPr>
            <w:tcW w:w="3118" w:type="dxa"/>
          </w:tcPr>
          <w:p w:rsidR="00FC4EC4" w:rsidRPr="00250A0D" w:rsidRDefault="0033290F" w:rsidP="00FC4EC4">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zákon č. 406/2000 Sb. o hospodaření energií a zákon č. </w:t>
            </w:r>
            <w:r w:rsidRPr="0033290F">
              <w:rPr>
                <w:rFonts w:ascii="Cambria" w:hAnsi="Cambria"/>
                <w:color w:val="auto"/>
                <w:sz w:val="20"/>
                <w:szCs w:val="20"/>
              </w:rPr>
              <w:lastRenderedPageBreak/>
              <w:t xml:space="preserve">458/2000 Sb. a jeho prováděcí vyhlášky </w:t>
            </w:r>
          </w:p>
          <w:p w:rsidR="00FC4EC4" w:rsidRPr="00250A0D" w:rsidRDefault="00FC4EC4" w:rsidP="00514D81">
            <w:pPr>
              <w:spacing w:line="276" w:lineRule="auto"/>
              <w:rPr>
                <w:sz w:val="20"/>
                <w:szCs w:val="20"/>
              </w:rPr>
            </w:pPr>
          </w:p>
        </w:tc>
        <w:tc>
          <w:tcPr>
            <w:tcW w:w="4820" w:type="dxa"/>
          </w:tcPr>
          <w:p w:rsidR="00FC4EC4" w:rsidRPr="00250A0D" w:rsidRDefault="0033290F" w:rsidP="00FC4EC4">
            <w:pPr>
              <w:pStyle w:val="Default"/>
              <w:spacing w:afterAutospacing="1"/>
              <w:jc w:val="both"/>
              <w:rPr>
                <w:rFonts w:ascii="Cambria" w:hAnsi="Cambria"/>
                <w:color w:val="auto"/>
                <w:sz w:val="20"/>
                <w:szCs w:val="20"/>
              </w:rPr>
            </w:pPr>
            <w:r w:rsidRPr="0033290F">
              <w:rPr>
                <w:rFonts w:ascii="Cambria" w:hAnsi="Cambria"/>
                <w:color w:val="auto"/>
                <w:sz w:val="20"/>
                <w:szCs w:val="20"/>
              </w:rPr>
              <w:lastRenderedPageBreak/>
              <w:t xml:space="preserve">V současné době je s ČR vedeno řízení pro porušení Smlouvy – věcné řízení z důvodu namítané nesprávné </w:t>
            </w:r>
            <w:r w:rsidRPr="0033290F">
              <w:rPr>
                <w:rFonts w:ascii="Cambria" w:hAnsi="Cambria"/>
                <w:color w:val="auto"/>
                <w:sz w:val="20"/>
                <w:szCs w:val="20"/>
              </w:rPr>
              <w:lastRenderedPageBreak/>
              <w:t xml:space="preserve">transpozice čl. 13 směrnice 2006/32/ES (směrnice o energetické účinnosti u konečného uživatele a o energetických službách), které bylo zahájeno </w:t>
            </w:r>
            <w:proofErr w:type="gramStart"/>
            <w:r w:rsidRPr="0033290F">
              <w:rPr>
                <w:rFonts w:ascii="Cambria" w:hAnsi="Cambria"/>
                <w:color w:val="auto"/>
                <w:sz w:val="20"/>
                <w:szCs w:val="20"/>
              </w:rPr>
              <w:t>22.3.2013</w:t>
            </w:r>
            <w:proofErr w:type="gramEnd"/>
            <w:r w:rsidRPr="0033290F">
              <w:rPr>
                <w:rFonts w:ascii="Cambria" w:hAnsi="Cambria"/>
                <w:color w:val="auto"/>
                <w:sz w:val="20"/>
                <w:szCs w:val="20"/>
              </w:rPr>
              <w:t xml:space="preserve"> (řízení č. 2013/4007). Řízení je ve fázi odůvodněného stanoviska, odpověď na odůvodněné stanovisko byla odeslána </w:t>
            </w:r>
            <w:proofErr w:type="gramStart"/>
            <w:r w:rsidRPr="0033290F">
              <w:rPr>
                <w:rFonts w:ascii="Cambria" w:hAnsi="Cambria"/>
                <w:color w:val="auto"/>
                <w:sz w:val="20"/>
                <w:szCs w:val="20"/>
              </w:rPr>
              <w:t>27.3.2014</w:t>
            </w:r>
            <w:proofErr w:type="gramEnd"/>
            <w:r w:rsidRPr="0033290F">
              <w:rPr>
                <w:rFonts w:ascii="Cambria" w:hAnsi="Cambria"/>
                <w:color w:val="auto"/>
                <w:sz w:val="20"/>
                <w:szCs w:val="20"/>
              </w:rPr>
              <w:t xml:space="preserve">. </w:t>
            </w:r>
          </w:p>
          <w:p w:rsidR="00FC4EC4" w:rsidRPr="00250A0D" w:rsidRDefault="0033290F" w:rsidP="00FC4EC4">
            <w:pPr>
              <w:spacing w:line="276" w:lineRule="auto"/>
              <w:rPr>
                <w:sz w:val="20"/>
                <w:szCs w:val="20"/>
              </w:rPr>
            </w:pPr>
            <w:r w:rsidRPr="0033290F">
              <w:rPr>
                <w:sz w:val="20"/>
                <w:szCs w:val="20"/>
              </w:rPr>
              <w:t xml:space="preserve">MPO zpracovalo akční plán k plnění podmínky a zahájilo jednání s EK k řešení případu řízení o porušení Smlouvy. </w:t>
            </w:r>
          </w:p>
        </w:tc>
      </w:tr>
      <w:tr w:rsidR="00E136E3" w:rsidRPr="00250A0D" w:rsidTr="000F2740">
        <w:tc>
          <w:tcPr>
            <w:tcW w:w="1384" w:type="dxa"/>
          </w:tcPr>
          <w:p w:rsidR="00E136E3" w:rsidRPr="00250A0D" w:rsidRDefault="0033290F" w:rsidP="00B66FDE">
            <w:pPr>
              <w:spacing w:line="276" w:lineRule="auto"/>
              <w:rPr>
                <w:sz w:val="20"/>
                <w:szCs w:val="20"/>
              </w:rPr>
            </w:pPr>
            <w:r w:rsidRPr="0033290F">
              <w:rPr>
                <w:sz w:val="20"/>
                <w:szCs w:val="20"/>
              </w:rPr>
              <w:lastRenderedPageBreak/>
              <w:t xml:space="preserve">4.3. Byla provedena opatření na podporu </w:t>
            </w:r>
            <w:r w:rsidRPr="0033290F">
              <w:rPr>
                <w:sz w:val="20"/>
                <w:szCs w:val="20"/>
              </w:rPr>
              <w:lastRenderedPageBreak/>
              <w:t>výroby a distribuce energie z obnovitelných zdrojů.</w:t>
            </w:r>
          </w:p>
        </w:tc>
        <w:tc>
          <w:tcPr>
            <w:tcW w:w="1134" w:type="dxa"/>
          </w:tcPr>
          <w:p w:rsidR="00E136E3" w:rsidRPr="00250A0D" w:rsidRDefault="0033290F" w:rsidP="00B66FDE">
            <w:pPr>
              <w:spacing w:line="276" w:lineRule="auto"/>
              <w:rPr>
                <w:sz w:val="20"/>
                <w:szCs w:val="20"/>
              </w:rPr>
            </w:pPr>
            <w:r w:rsidRPr="0033290F">
              <w:rPr>
                <w:sz w:val="20"/>
                <w:szCs w:val="20"/>
              </w:rPr>
              <w:lastRenderedPageBreak/>
              <w:t>Prioritní osa 5: Energetické úspory</w:t>
            </w:r>
          </w:p>
        </w:tc>
        <w:tc>
          <w:tcPr>
            <w:tcW w:w="1134" w:type="dxa"/>
          </w:tcPr>
          <w:p w:rsidR="00E136E3" w:rsidRPr="00250A0D" w:rsidRDefault="0033290F" w:rsidP="00B66FDE">
            <w:pPr>
              <w:spacing w:line="276" w:lineRule="auto"/>
              <w:rPr>
                <w:sz w:val="20"/>
                <w:szCs w:val="20"/>
              </w:rPr>
            </w:pPr>
            <w:r w:rsidRPr="0033290F">
              <w:rPr>
                <w:sz w:val="20"/>
                <w:szCs w:val="20"/>
              </w:rPr>
              <w:t>Ano</w:t>
            </w:r>
          </w:p>
        </w:tc>
        <w:tc>
          <w:tcPr>
            <w:tcW w:w="1418" w:type="dxa"/>
          </w:tcPr>
          <w:p w:rsidR="00674BC9" w:rsidRDefault="0033290F">
            <w:pPr>
              <w:rPr>
                <w:sz w:val="20"/>
                <w:szCs w:val="20"/>
              </w:rPr>
            </w:pPr>
            <w:r w:rsidRPr="0033290F">
              <w:rPr>
                <w:sz w:val="20"/>
                <w:szCs w:val="20"/>
              </w:rPr>
              <w:t xml:space="preserve">V souladu s čl. 14 odst. 1, čl. 16 odst. 2 a 3 směrnice Evropského </w:t>
            </w:r>
            <w:r w:rsidRPr="0033290F">
              <w:rPr>
                <w:sz w:val="20"/>
                <w:szCs w:val="20"/>
              </w:rPr>
              <w:lastRenderedPageBreak/>
              <w:t xml:space="preserve">parlamentu a Rady 2009/28/ES jsou k dispozici transparentní režimy podpory, přednostní přístup k distribuční soustavě či zaručený přístup a přednost při spouštění zařízení, jakož i jednotná pravidla pro hrazení a sdílení nákladů na technické úpravy, jež byla zveřejněna. </w:t>
            </w:r>
          </w:p>
          <w:p w:rsidR="0081416A" w:rsidRPr="00250A0D" w:rsidRDefault="0081416A" w:rsidP="0081416A">
            <w:pPr>
              <w:pStyle w:val="Default"/>
              <w:spacing w:afterAutospacing="1"/>
              <w:jc w:val="both"/>
              <w:rPr>
                <w:rFonts w:ascii="Cambria" w:hAnsi="Cambria"/>
                <w:color w:val="auto"/>
                <w:sz w:val="20"/>
                <w:szCs w:val="20"/>
              </w:rPr>
            </w:pPr>
          </w:p>
          <w:p w:rsidR="00E136E3" w:rsidRPr="00250A0D" w:rsidRDefault="00E136E3" w:rsidP="00B66FDE">
            <w:pPr>
              <w:spacing w:line="276" w:lineRule="auto"/>
              <w:rPr>
                <w:sz w:val="20"/>
                <w:szCs w:val="20"/>
              </w:rPr>
            </w:pPr>
          </w:p>
        </w:tc>
        <w:tc>
          <w:tcPr>
            <w:tcW w:w="1134" w:type="dxa"/>
          </w:tcPr>
          <w:p w:rsidR="00E136E3" w:rsidRPr="00250A0D" w:rsidRDefault="0033290F" w:rsidP="00B66FDE">
            <w:pPr>
              <w:spacing w:line="276" w:lineRule="auto"/>
              <w:rPr>
                <w:sz w:val="20"/>
                <w:szCs w:val="20"/>
              </w:rPr>
            </w:pPr>
            <w:r w:rsidRPr="0033290F">
              <w:rPr>
                <w:sz w:val="20"/>
                <w:szCs w:val="20"/>
              </w:rPr>
              <w:lastRenderedPageBreak/>
              <w:t>Ano</w:t>
            </w:r>
          </w:p>
        </w:tc>
        <w:tc>
          <w:tcPr>
            <w:tcW w:w="3118" w:type="dxa"/>
          </w:tcPr>
          <w:p w:rsidR="00674BC9" w:rsidRDefault="00674BC9">
            <w:pPr>
              <w:rPr>
                <w:sz w:val="20"/>
                <w:szCs w:val="20"/>
              </w:rPr>
            </w:pPr>
          </w:p>
          <w:p w:rsidR="00674BC9" w:rsidRDefault="0033290F">
            <w:pPr>
              <w:rPr>
                <w:sz w:val="20"/>
                <w:szCs w:val="20"/>
              </w:rPr>
            </w:pPr>
            <w:r w:rsidRPr="0033290F">
              <w:rPr>
                <w:sz w:val="20"/>
                <w:szCs w:val="20"/>
              </w:rPr>
              <w:t xml:space="preserve">zákon č. 165/2012 Sb., o podporovaných zdrojích energie </w:t>
            </w:r>
            <w:r w:rsidRPr="0033290F">
              <w:rPr>
                <w:sz w:val="20"/>
                <w:szCs w:val="20"/>
              </w:rPr>
              <w:lastRenderedPageBreak/>
              <w:t xml:space="preserve">a prováděcí právní předpisy </w:t>
            </w:r>
          </w:p>
          <w:p w:rsidR="0081416A" w:rsidRPr="00250A0D" w:rsidRDefault="0081416A" w:rsidP="00B66FDE">
            <w:pPr>
              <w:spacing w:line="276" w:lineRule="auto"/>
              <w:rPr>
                <w:sz w:val="20"/>
                <w:szCs w:val="20"/>
              </w:rPr>
            </w:pPr>
          </w:p>
        </w:tc>
        <w:tc>
          <w:tcPr>
            <w:tcW w:w="4820" w:type="dxa"/>
          </w:tcPr>
          <w:p w:rsidR="00E136E3" w:rsidRPr="00250A0D" w:rsidRDefault="00E136E3" w:rsidP="00821031">
            <w:pPr>
              <w:spacing w:line="276" w:lineRule="auto"/>
              <w:rPr>
                <w:sz w:val="20"/>
                <w:szCs w:val="20"/>
              </w:rPr>
            </w:pPr>
          </w:p>
          <w:p w:rsidR="00674BC9" w:rsidRDefault="00674BC9">
            <w:pPr>
              <w:rPr>
                <w:sz w:val="20"/>
                <w:szCs w:val="20"/>
              </w:rPr>
            </w:pPr>
          </w:p>
        </w:tc>
      </w:tr>
      <w:tr w:rsidR="0081416A" w:rsidRPr="00250A0D" w:rsidTr="000F2740">
        <w:tc>
          <w:tcPr>
            <w:tcW w:w="1384" w:type="dxa"/>
          </w:tcPr>
          <w:p w:rsidR="0081416A" w:rsidRPr="00250A0D" w:rsidRDefault="0081416A" w:rsidP="0081416A">
            <w:pPr>
              <w:spacing w:line="276" w:lineRule="auto"/>
              <w:rPr>
                <w:sz w:val="20"/>
                <w:szCs w:val="20"/>
              </w:rPr>
            </w:pPr>
          </w:p>
        </w:tc>
        <w:tc>
          <w:tcPr>
            <w:tcW w:w="1134" w:type="dxa"/>
          </w:tcPr>
          <w:p w:rsidR="0081416A" w:rsidRPr="00250A0D" w:rsidRDefault="0081416A" w:rsidP="00514D81">
            <w:pPr>
              <w:spacing w:line="276" w:lineRule="auto"/>
              <w:rPr>
                <w:sz w:val="20"/>
                <w:szCs w:val="20"/>
              </w:rPr>
            </w:pPr>
          </w:p>
        </w:tc>
        <w:tc>
          <w:tcPr>
            <w:tcW w:w="1134" w:type="dxa"/>
          </w:tcPr>
          <w:p w:rsidR="0081416A" w:rsidRPr="00250A0D" w:rsidRDefault="00C60A68" w:rsidP="00514D81">
            <w:pPr>
              <w:spacing w:line="276" w:lineRule="auto"/>
              <w:rPr>
                <w:sz w:val="20"/>
                <w:szCs w:val="20"/>
              </w:rPr>
            </w:pPr>
            <w:r w:rsidRPr="00250A0D">
              <w:rPr>
                <w:sz w:val="20"/>
                <w:szCs w:val="20"/>
              </w:rPr>
              <w:t>Ano</w:t>
            </w:r>
          </w:p>
        </w:tc>
        <w:tc>
          <w:tcPr>
            <w:tcW w:w="1418" w:type="dxa"/>
          </w:tcPr>
          <w:p w:rsidR="0081416A" w:rsidRPr="00250A0D" w:rsidRDefault="0033290F" w:rsidP="00514D81">
            <w:pPr>
              <w:spacing w:line="276" w:lineRule="auto"/>
              <w:rPr>
                <w:sz w:val="20"/>
                <w:szCs w:val="20"/>
              </w:rPr>
            </w:pPr>
            <w:r w:rsidRPr="0033290F">
              <w:rPr>
                <w:sz w:val="20"/>
                <w:szCs w:val="20"/>
              </w:rPr>
              <w:t>Členský stát přijal národní akční plán pro energii z obnovitelných zdrojů shodně s článkem 4 směrnice 2009/28/ES.</w:t>
            </w:r>
          </w:p>
        </w:tc>
        <w:tc>
          <w:tcPr>
            <w:tcW w:w="1134" w:type="dxa"/>
          </w:tcPr>
          <w:p w:rsidR="0081416A" w:rsidRPr="00250A0D" w:rsidRDefault="0033290F" w:rsidP="00514D81">
            <w:pPr>
              <w:spacing w:line="276" w:lineRule="auto"/>
              <w:rPr>
                <w:sz w:val="20"/>
                <w:szCs w:val="20"/>
              </w:rPr>
            </w:pPr>
            <w:r w:rsidRPr="0033290F">
              <w:rPr>
                <w:sz w:val="20"/>
                <w:szCs w:val="20"/>
              </w:rPr>
              <w:t>ano</w:t>
            </w:r>
          </w:p>
        </w:tc>
        <w:tc>
          <w:tcPr>
            <w:tcW w:w="3118" w:type="dxa"/>
          </w:tcPr>
          <w:p w:rsidR="0081416A" w:rsidRPr="00250A0D" w:rsidRDefault="00332B77" w:rsidP="00514D81">
            <w:pPr>
              <w:spacing w:line="276" w:lineRule="auto"/>
              <w:rPr>
                <w:sz w:val="20"/>
                <w:szCs w:val="20"/>
              </w:rPr>
            </w:pPr>
            <w:hyperlink r:id="rId47" w:history="1">
              <w:r w:rsidR="0033290F" w:rsidRPr="0033290F">
                <w:rPr>
                  <w:sz w:val="20"/>
                  <w:szCs w:val="20"/>
                </w:rPr>
                <w:t>Národní akční plán ČR pro energii z obnovitelných zdrojů 2010-2020</w:t>
              </w:r>
            </w:hyperlink>
          </w:p>
        </w:tc>
        <w:tc>
          <w:tcPr>
            <w:tcW w:w="4820" w:type="dxa"/>
          </w:tcPr>
          <w:p w:rsidR="0081416A" w:rsidRPr="00250A0D" w:rsidRDefault="0081416A" w:rsidP="00514D81">
            <w:pPr>
              <w:spacing w:line="276" w:lineRule="auto"/>
              <w:rPr>
                <w:sz w:val="20"/>
                <w:szCs w:val="20"/>
              </w:rPr>
            </w:pPr>
          </w:p>
        </w:tc>
      </w:tr>
      <w:tr w:rsidR="0081416A" w:rsidRPr="00250A0D" w:rsidTr="000F2740">
        <w:tc>
          <w:tcPr>
            <w:tcW w:w="1384" w:type="dxa"/>
            <w:vMerge w:val="restart"/>
          </w:tcPr>
          <w:p w:rsidR="0081416A" w:rsidRPr="00250A0D" w:rsidRDefault="0033290F" w:rsidP="00B66FDE">
            <w:pPr>
              <w:spacing w:line="276" w:lineRule="auto"/>
              <w:rPr>
                <w:sz w:val="20"/>
                <w:szCs w:val="20"/>
              </w:rPr>
            </w:pPr>
            <w:r w:rsidRPr="0033290F">
              <w:rPr>
                <w:sz w:val="20"/>
                <w:szCs w:val="20"/>
              </w:rPr>
              <w:t xml:space="preserve">5.1. </w:t>
            </w:r>
            <w:r w:rsidRPr="0033290F">
              <w:rPr>
                <w:rFonts w:cs="Arial"/>
                <w:bCs/>
                <w:sz w:val="20"/>
                <w:szCs w:val="20"/>
              </w:rPr>
              <w:t xml:space="preserve">Předcházení riziku a jeho řízení: Existence vnitrostátního nebo regionálního posuzování rizik pro zvládání </w:t>
            </w:r>
            <w:r w:rsidRPr="0033290F">
              <w:rPr>
                <w:rFonts w:cs="Arial"/>
                <w:bCs/>
                <w:sz w:val="20"/>
                <w:szCs w:val="20"/>
              </w:rPr>
              <w:lastRenderedPageBreak/>
              <w:t>katastrof s ohledem na přizpůsobení se změně klimatu</w:t>
            </w:r>
          </w:p>
        </w:tc>
        <w:tc>
          <w:tcPr>
            <w:tcW w:w="1134" w:type="dxa"/>
            <w:vMerge w:val="restart"/>
          </w:tcPr>
          <w:p w:rsidR="0081416A" w:rsidRPr="00250A0D" w:rsidRDefault="0033290F" w:rsidP="00B66FDE">
            <w:pPr>
              <w:spacing w:line="276" w:lineRule="auto"/>
              <w:rPr>
                <w:sz w:val="20"/>
                <w:szCs w:val="20"/>
              </w:rPr>
            </w:pPr>
            <w:r w:rsidRPr="0033290F">
              <w:rPr>
                <w:sz w:val="20"/>
                <w:szCs w:val="20"/>
              </w:rPr>
              <w:lastRenderedPageBreak/>
              <w:t xml:space="preserve">Prioritní osa 1: Zlepšování kvality vody a snižování rizika povodní; </w:t>
            </w:r>
          </w:p>
          <w:p w:rsidR="0081416A" w:rsidRPr="00250A0D" w:rsidRDefault="0033290F" w:rsidP="00B66FDE">
            <w:pPr>
              <w:spacing w:line="276" w:lineRule="auto"/>
              <w:rPr>
                <w:sz w:val="20"/>
                <w:szCs w:val="20"/>
              </w:rPr>
            </w:pPr>
            <w:r w:rsidRPr="0033290F">
              <w:rPr>
                <w:sz w:val="20"/>
                <w:szCs w:val="20"/>
              </w:rPr>
              <w:t xml:space="preserve">Prioritní osa 4: </w:t>
            </w:r>
            <w:r w:rsidRPr="0033290F">
              <w:rPr>
                <w:sz w:val="20"/>
                <w:szCs w:val="20"/>
              </w:rPr>
              <w:lastRenderedPageBreak/>
              <w:t>Ochrana a péče o přírodu a krajinu</w:t>
            </w:r>
          </w:p>
        </w:tc>
        <w:tc>
          <w:tcPr>
            <w:tcW w:w="1134" w:type="dxa"/>
            <w:vMerge w:val="restart"/>
          </w:tcPr>
          <w:p w:rsidR="0081416A" w:rsidRPr="00250A0D" w:rsidRDefault="0081416A" w:rsidP="00B66FDE">
            <w:pPr>
              <w:spacing w:line="276" w:lineRule="auto"/>
              <w:rPr>
                <w:sz w:val="20"/>
                <w:szCs w:val="20"/>
                <w:u w:val="single"/>
              </w:rPr>
            </w:pPr>
          </w:p>
          <w:p w:rsidR="00C60A68" w:rsidRPr="005A07F1" w:rsidRDefault="0033290F" w:rsidP="00B66FDE">
            <w:pPr>
              <w:spacing w:line="276" w:lineRule="auto"/>
              <w:rPr>
                <w:sz w:val="20"/>
                <w:szCs w:val="20"/>
              </w:rPr>
            </w:pPr>
            <w:r w:rsidRPr="005A07F1">
              <w:rPr>
                <w:sz w:val="20"/>
                <w:szCs w:val="20"/>
              </w:rPr>
              <w:t>Nesplněno</w:t>
            </w:r>
          </w:p>
        </w:tc>
        <w:tc>
          <w:tcPr>
            <w:tcW w:w="1418" w:type="dxa"/>
          </w:tcPr>
          <w:p w:rsidR="0081416A" w:rsidRPr="00250A0D" w:rsidRDefault="0033290F" w:rsidP="00B66FDE">
            <w:pPr>
              <w:spacing w:line="276" w:lineRule="auto"/>
              <w:rPr>
                <w:sz w:val="20"/>
                <w:szCs w:val="20"/>
              </w:rPr>
            </w:pPr>
            <w:r w:rsidRPr="0033290F">
              <w:rPr>
                <w:sz w:val="20"/>
                <w:szCs w:val="20"/>
              </w:rPr>
              <w:t>Existuje vnitrostátní nebo regionální posouzení rizik obsahující tyto prvky:</w:t>
            </w:r>
          </w:p>
        </w:tc>
        <w:tc>
          <w:tcPr>
            <w:tcW w:w="1134" w:type="dxa"/>
          </w:tcPr>
          <w:p w:rsidR="0081416A" w:rsidRPr="00250A0D" w:rsidRDefault="0081416A" w:rsidP="00B66FDE">
            <w:pPr>
              <w:spacing w:line="276" w:lineRule="auto"/>
              <w:rPr>
                <w:sz w:val="20"/>
                <w:szCs w:val="20"/>
              </w:rPr>
            </w:pPr>
          </w:p>
          <w:p w:rsidR="00C60A68" w:rsidRPr="00250A0D" w:rsidRDefault="0033290F" w:rsidP="00B66FDE">
            <w:pPr>
              <w:spacing w:line="276" w:lineRule="auto"/>
              <w:rPr>
                <w:sz w:val="20"/>
                <w:szCs w:val="20"/>
              </w:rPr>
            </w:pPr>
            <w:r w:rsidRPr="0033290F">
              <w:rPr>
                <w:sz w:val="20"/>
                <w:szCs w:val="20"/>
              </w:rPr>
              <w:t>Nesplněno</w:t>
            </w:r>
          </w:p>
        </w:tc>
        <w:tc>
          <w:tcPr>
            <w:tcW w:w="3118" w:type="dxa"/>
          </w:tcPr>
          <w:p w:rsidR="00C60A68" w:rsidRPr="00250A0D" w:rsidRDefault="00332B77" w:rsidP="00C60A68">
            <w:pPr>
              <w:pStyle w:val="DAVA"/>
              <w:spacing w:before="0"/>
              <w:jc w:val="left"/>
              <w:rPr>
                <w:rStyle w:val="Hypertextovodkaz"/>
                <w:rFonts w:ascii="Cambria" w:hAnsi="Cambria"/>
                <w:color w:val="auto"/>
                <w:sz w:val="20"/>
                <w:szCs w:val="20"/>
              </w:rPr>
            </w:pPr>
            <w:hyperlink r:id="rId48" w:history="1">
              <w:r w:rsidR="0033290F" w:rsidRPr="0033290F">
                <w:rPr>
                  <w:rStyle w:val="Hypertextovodkaz"/>
                  <w:rFonts w:ascii="Cambria" w:hAnsi="Cambria"/>
                  <w:color w:val="auto"/>
                  <w:sz w:val="20"/>
                  <w:szCs w:val="20"/>
                </w:rPr>
                <w:t>http://www.mzp.cz/cz/mapy_povodnoveho_nebezpeci_rizik_odkaz</w:t>
              </w:r>
            </w:hyperlink>
          </w:p>
          <w:p w:rsidR="00C60A68" w:rsidRPr="00250A0D" w:rsidRDefault="00332B77" w:rsidP="00C60A68">
            <w:pPr>
              <w:pStyle w:val="DAVA"/>
              <w:spacing w:before="0"/>
              <w:jc w:val="left"/>
              <w:rPr>
                <w:rStyle w:val="Hypertextovodkaz"/>
                <w:rFonts w:ascii="Cambria" w:hAnsi="Cambria"/>
                <w:color w:val="auto"/>
                <w:sz w:val="20"/>
                <w:szCs w:val="20"/>
              </w:rPr>
            </w:pPr>
            <w:hyperlink r:id="rId49" w:history="1">
              <w:r w:rsidR="0033290F" w:rsidRPr="0033290F">
                <w:rPr>
                  <w:rStyle w:val="Hypertextovodkaz"/>
                  <w:rFonts w:ascii="Cambria" w:hAnsi="Cambria"/>
                  <w:color w:val="auto"/>
                  <w:sz w:val="20"/>
                  <w:szCs w:val="20"/>
                </w:rPr>
                <w:t>http://www.icpdr.org/participate/danube_river_basin_management_plan</w:t>
              </w:r>
            </w:hyperlink>
          </w:p>
          <w:p w:rsidR="00C60A68" w:rsidRPr="00250A0D" w:rsidRDefault="00332B77" w:rsidP="00C60A68">
            <w:pPr>
              <w:pStyle w:val="DAVA"/>
              <w:spacing w:before="0"/>
              <w:jc w:val="left"/>
              <w:rPr>
                <w:rFonts w:ascii="Cambria" w:hAnsi="Cambria"/>
                <w:sz w:val="20"/>
                <w:szCs w:val="20"/>
                <w:u w:val="single"/>
              </w:rPr>
            </w:pPr>
            <w:hyperlink r:id="rId50" w:history="1">
              <w:r w:rsidR="0033290F" w:rsidRPr="0033290F">
                <w:rPr>
                  <w:rStyle w:val="Hypertextovodkaz"/>
                  <w:rFonts w:ascii="Cambria" w:hAnsi="Cambria"/>
                  <w:color w:val="auto"/>
                  <w:sz w:val="20"/>
                  <w:szCs w:val="20"/>
                </w:rPr>
                <w:t>http://www.ikse-mkol.org/index.php?id=513&amp;L=1</w:t>
              </w:r>
            </w:hyperlink>
          </w:p>
          <w:p w:rsidR="00C60A68" w:rsidRPr="00250A0D" w:rsidRDefault="00332B77" w:rsidP="00C60A68">
            <w:pPr>
              <w:spacing w:line="276" w:lineRule="auto"/>
              <w:rPr>
                <w:sz w:val="20"/>
                <w:szCs w:val="20"/>
              </w:rPr>
            </w:pPr>
            <w:hyperlink r:id="rId51" w:history="1">
              <w:r w:rsidR="0033290F" w:rsidRPr="0033290F">
                <w:rPr>
                  <w:rStyle w:val="Hypertextovodkaz"/>
                  <w:color w:val="auto"/>
                  <w:sz w:val="20"/>
                  <w:szCs w:val="20"/>
                </w:rPr>
                <w:t>http://www.mkoo.pl/show.php?f</w:t>
              </w:r>
              <w:r w:rsidR="0033290F" w:rsidRPr="0033290F">
                <w:rPr>
                  <w:rStyle w:val="Hypertextovodkaz"/>
                  <w:color w:val="auto"/>
                  <w:sz w:val="20"/>
                  <w:szCs w:val="20"/>
                </w:rPr>
                <w:lastRenderedPageBreak/>
                <w:t>id=2808&amp;lang=CZ</w:t>
              </w:r>
            </w:hyperlink>
            <w:r w:rsidR="00C60A68" w:rsidRPr="00250A0D">
              <w:rPr>
                <w:sz w:val="20"/>
                <w:szCs w:val="20"/>
              </w:rPr>
              <w:t xml:space="preserve"> </w:t>
            </w:r>
          </w:p>
          <w:p w:rsidR="00C60A68" w:rsidRPr="00250A0D" w:rsidRDefault="00332B77" w:rsidP="00C60A68">
            <w:pPr>
              <w:spacing w:line="276" w:lineRule="auto"/>
              <w:rPr>
                <w:sz w:val="20"/>
                <w:szCs w:val="20"/>
              </w:rPr>
            </w:pPr>
            <w:hyperlink r:id="rId52" w:history="1">
              <w:r w:rsidR="0033290F" w:rsidRPr="0033290F">
                <w:rPr>
                  <w:rStyle w:val="Hypertextovodkaz"/>
                  <w:color w:val="auto"/>
                  <w:sz w:val="20"/>
                  <w:szCs w:val="20"/>
                </w:rPr>
                <w:t>http://www.mzp.cz/cz/plany_narodnich_casti_mezinarodnich_povodi</w:t>
              </w:r>
            </w:hyperlink>
          </w:p>
          <w:p w:rsidR="00C60A68" w:rsidRPr="00250A0D" w:rsidRDefault="00332B77" w:rsidP="00C60A68">
            <w:pPr>
              <w:spacing w:line="276" w:lineRule="auto"/>
              <w:rPr>
                <w:sz w:val="20"/>
                <w:szCs w:val="20"/>
              </w:rPr>
            </w:pPr>
            <w:hyperlink r:id="rId53" w:history="1">
              <w:r w:rsidR="0033290F" w:rsidRPr="0033290F">
                <w:rPr>
                  <w:rStyle w:val="Hypertextovodkaz"/>
                  <w:color w:val="auto"/>
                  <w:sz w:val="20"/>
                  <w:szCs w:val="20"/>
                </w:rPr>
                <w:t>http://www.mzp.cz/cz/plany_oblasti_povodi</w:t>
              </w:r>
            </w:hyperlink>
          </w:p>
          <w:p w:rsidR="00C60A68" w:rsidRPr="00250A0D" w:rsidRDefault="00332B77" w:rsidP="00C60A68">
            <w:pPr>
              <w:spacing w:line="276" w:lineRule="auto"/>
              <w:rPr>
                <w:rStyle w:val="Hypertextovodkaz"/>
                <w:color w:val="auto"/>
                <w:sz w:val="20"/>
                <w:szCs w:val="20"/>
              </w:rPr>
            </w:pPr>
            <w:hyperlink r:id="rId54" w:history="1">
              <w:r w:rsidR="0033290F" w:rsidRPr="0033290F">
                <w:rPr>
                  <w:rStyle w:val="Hypertextovodkaz"/>
                  <w:color w:val="auto"/>
                  <w:sz w:val="20"/>
                  <w:szCs w:val="20"/>
                </w:rPr>
                <w:t>http://www.hzscr.cz/clanek/ochrana-obyvatelstva-v-ceske-republice.aspx</w:t>
              </w:r>
            </w:hyperlink>
          </w:p>
          <w:p w:rsidR="00674BC9" w:rsidRDefault="0033290F">
            <w:pPr>
              <w:rPr>
                <w:sz w:val="20"/>
                <w:szCs w:val="20"/>
              </w:rPr>
            </w:pPr>
            <w:r w:rsidRPr="0033290F">
              <w:rPr>
                <w:b/>
                <w:sz w:val="20"/>
                <w:szCs w:val="20"/>
              </w:rPr>
              <w:t>Podrobnější specifikace v akčním plánu 5.1 v příloze č. 7.</w:t>
            </w:r>
          </w:p>
        </w:tc>
        <w:tc>
          <w:tcPr>
            <w:tcW w:w="4820" w:type="dxa"/>
          </w:tcPr>
          <w:p w:rsidR="00C60A68" w:rsidRPr="00250A0D" w:rsidRDefault="0033290F" w:rsidP="00C60A68">
            <w:pPr>
              <w:spacing w:line="276" w:lineRule="auto"/>
              <w:rPr>
                <w:sz w:val="20"/>
                <w:szCs w:val="20"/>
              </w:rPr>
            </w:pPr>
            <w:r w:rsidRPr="0033290F">
              <w:rPr>
                <w:sz w:val="20"/>
                <w:szCs w:val="20"/>
              </w:rPr>
              <w:lastRenderedPageBreak/>
              <w:t>Plnění některých kritérií v této oblasti vyplývá z platné národní legislativy. V současné době existuje, připravuje se nebo probíhá aktualizace několika vnitrostátních koncepčních či plánovacích dokumentů, které se stávajícími riziky zabývají:</w:t>
            </w:r>
          </w:p>
          <w:p w:rsidR="00C60A68" w:rsidRPr="00250A0D" w:rsidRDefault="0033290F" w:rsidP="00C60A68">
            <w:pPr>
              <w:spacing w:line="276" w:lineRule="auto"/>
              <w:rPr>
                <w:sz w:val="20"/>
                <w:szCs w:val="20"/>
              </w:rPr>
            </w:pPr>
            <w:r w:rsidRPr="0033290F">
              <w:rPr>
                <w:sz w:val="20"/>
                <w:szCs w:val="20"/>
              </w:rPr>
              <w:t xml:space="preserve">- </w:t>
            </w:r>
            <w:r w:rsidRPr="0033290F">
              <w:rPr>
                <w:b/>
                <w:sz w:val="20"/>
                <w:szCs w:val="20"/>
                <w:u w:val="single"/>
              </w:rPr>
              <w:t>Plány pro zvládání povodňových rizik</w:t>
            </w:r>
          </w:p>
          <w:p w:rsidR="00C60A68" w:rsidRPr="00250A0D" w:rsidRDefault="0033290F" w:rsidP="00C60A68">
            <w:pPr>
              <w:spacing w:line="276" w:lineRule="auto"/>
              <w:rPr>
                <w:sz w:val="20"/>
                <w:szCs w:val="20"/>
              </w:rPr>
            </w:pPr>
            <w:r w:rsidRPr="0033290F">
              <w:rPr>
                <w:sz w:val="20"/>
                <w:szCs w:val="20"/>
              </w:rPr>
              <w:t xml:space="preserve">- </w:t>
            </w:r>
            <w:r w:rsidRPr="0033290F">
              <w:rPr>
                <w:b/>
                <w:sz w:val="20"/>
                <w:szCs w:val="20"/>
                <w:u w:val="single"/>
              </w:rPr>
              <w:t>Plány povodí</w:t>
            </w:r>
          </w:p>
          <w:p w:rsidR="00C60A68" w:rsidRPr="00250A0D" w:rsidRDefault="0033290F" w:rsidP="00C60A68">
            <w:pPr>
              <w:spacing w:line="276" w:lineRule="auto"/>
              <w:rPr>
                <w:sz w:val="20"/>
                <w:szCs w:val="20"/>
              </w:rPr>
            </w:pPr>
            <w:r w:rsidRPr="0033290F">
              <w:rPr>
                <w:sz w:val="20"/>
                <w:szCs w:val="20"/>
              </w:rPr>
              <w:t xml:space="preserve">- </w:t>
            </w:r>
            <w:r w:rsidRPr="0033290F">
              <w:rPr>
                <w:b/>
                <w:sz w:val="20"/>
                <w:szCs w:val="20"/>
                <w:u w:val="single"/>
              </w:rPr>
              <w:t xml:space="preserve">Koncepce ochrany obyvatelstva do roku 2020 s </w:t>
            </w:r>
            <w:r w:rsidRPr="0033290F">
              <w:rPr>
                <w:b/>
                <w:sz w:val="20"/>
                <w:szCs w:val="20"/>
                <w:u w:val="single"/>
              </w:rPr>
              <w:lastRenderedPageBreak/>
              <w:t>výhledem do roku 2030</w:t>
            </w:r>
          </w:p>
          <w:p w:rsidR="00C60A68" w:rsidRPr="00250A0D" w:rsidRDefault="0033290F" w:rsidP="00C60A68">
            <w:pPr>
              <w:spacing w:line="276" w:lineRule="auto"/>
              <w:rPr>
                <w:sz w:val="20"/>
                <w:szCs w:val="20"/>
              </w:rPr>
            </w:pPr>
            <w:r w:rsidRPr="0033290F">
              <w:rPr>
                <w:sz w:val="20"/>
                <w:szCs w:val="20"/>
              </w:rPr>
              <w:t xml:space="preserve">- </w:t>
            </w:r>
            <w:r w:rsidRPr="0033290F">
              <w:rPr>
                <w:b/>
                <w:sz w:val="20"/>
                <w:szCs w:val="20"/>
                <w:u w:val="single"/>
              </w:rPr>
              <w:t>Koncepce environmentální bezpečnosti 2012–2015 s výhledem do roku 2020</w:t>
            </w:r>
            <w:r w:rsidRPr="0033290F">
              <w:rPr>
                <w:sz w:val="20"/>
                <w:szCs w:val="20"/>
              </w:rPr>
              <w:t xml:space="preserve">, </w:t>
            </w:r>
            <w:r w:rsidRPr="0033290F">
              <w:rPr>
                <w:b/>
                <w:sz w:val="20"/>
                <w:szCs w:val="20"/>
                <w:u w:val="single"/>
              </w:rPr>
              <w:t>Koncepce environmentální bezpečnosti 2015-2020 s výhledem do roku 2030</w:t>
            </w:r>
          </w:p>
          <w:p w:rsidR="00C60A68" w:rsidRPr="00250A0D" w:rsidRDefault="0033290F" w:rsidP="00C60A68">
            <w:pPr>
              <w:spacing w:line="276" w:lineRule="auto"/>
              <w:rPr>
                <w:sz w:val="20"/>
                <w:szCs w:val="20"/>
              </w:rPr>
            </w:pPr>
            <w:r w:rsidRPr="0033290F">
              <w:rPr>
                <w:sz w:val="20"/>
                <w:szCs w:val="20"/>
              </w:rPr>
              <w:t xml:space="preserve">- </w:t>
            </w:r>
            <w:r w:rsidRPr="0033290F">
              <w:rPr>
                <w:b/>
                <w:sz w:val="20"/>
                <w:szCs w:val="20"/>
                <w:u w:val="single"/>
              </w:rPr>
              <w:t>Státní politika životního prostředí ČR 2012 – 2020</w:t>
            </w:r>
            <w:r w:rsidRPr="0033290F">
              <w:rPr>
                <w:sz w:val="20"/>
                <w:szCs w:val="20"/>
              </w:rPr>
              <w:t xml:space="preserve"> </w:t>
            </w:r>
          </w:p>
          <w:p w:rsidR="00C60A68" w:rsidRPr="00250A0D" w:rsidRDefault="0033290F" w:rsidP="00C60A68">
            <w:pPr>
              <w:spacing w:line="276" w:lineRule="auto"/>
              <w:rPr>
                <w:sz w:val="20"/>
                <w:szCs w:val="20"/>
              </w:rPr>
            </w:pPr>
            <w:r w:rsidRPr="0033290F">
              <w:rPr>
                <w:sz w:val="20"/>
                <w:szCs w:val="20"/>
              </w:rPr>
              <w:t xml:space="preserve">- </w:t>
            </w:r>
            <w:r w:rsidRPr="0033290F">
              <w:rPr>
                <w:b/>
                <w:sz w:val="20"/>
                <w:szCs w:val="20"/>
                <w:u w:val="single"/>
              </w:rPr>
              <w:t>Politika územního rozvoje České republiky 2008</w:t>
            </w:r>
          </w:p>
          <w:p w:rsidR="00C60A68" w:rsidRPr="00250A0D" w:rsidRDefault="0033290F" w:rsidP="00C60A68">
            <w:pPr>
              <w:spacing w:line="276" w:lineRule="auto"/>
              <w:rPr>
                <w:sz w:val="20"/>
                <w:szCs w:val="20"/>
              </w:rPr>
            </w:pPr>
            <w:r w:rsidRPr="0033290F">
              <w:rPr>
                <w:b/>
                <w:sz w:val="20"/>
                <w:szCs w:val="20"/>
              </w:rPr>
              <w:t xml:space="preserve">Předpokladem pro zpřesnění hodnocení a omezení rizik s ohledem na klimatickou změnu je schválení </w:t>
            </w:r>
            <w:r w:rsidRPr="0033290F">
              <w:rPr>
                <w:b/>
                <w:sz w:val="20"/>
                <w:szCs w:val="20"/>
                <w:u w:val="single"/>
              </w:rPr>
              <w:t>Strategie přizpůsobení se změně klimatu v podmínkách ČR</w:t>
            </w:r>
            <w:r w:rsidRPr="0033290F">
              <w:rPr>
                <w:b/>
                <w:sz w:val="20"/>
                <w:szCs w:val="20"/>
              </w:rPr>
              <w:t xml:space="preserve"> (dále adaptační strategie)</w:t>
            </w:r>
            <w:r w:rsidRPr="0033290F">
              <w:rPr>
                <w:sz w:val="20"/>
                <w:szCs w:val="20"/>
              </w:rPr>
              <w:t xml:space="preserve"> a plnění opatření k realizaci výše uvedených koncepcí a plánů. </w:t>
            </w:r>
          </w:p>
          <w:p w:rsidR="0081416A" w:rsidRPr="00250A0D" w:rsidRDefault="0033290F" w:rsidP="00C26FCC">
            <w:pPr>
              <w:spacing w:line="276" w:lineRule="auto"/>
              <w:rPr>
                <w:sz w:val="20"/>
                <w:szCs w:val="20"/>
              </w:rPr>
            </w:pPr>
            <w:r w:rsidRPr="0033290F">
              <w:rPr>
                <w:b/>
                <w:sz w:val="20"/>
                <w:szCs w:val="20"/>
              </w:rPr>
              <w:t>Podrobnější specifikace v akčním plánu 5.1 v příloze č. 7.</w:t>
            </w:r>
          </w:p>
        </w:tc>
      </w:tr>
      <w:tr w:rsidR="0081416A" w:rsidRPr="00250A0D" w:rsidTr="000F2740">
        <w:tc>
          <w:tcPr>
            <w:tcW w:w="1384" w:type="dxa"/>
            <w:vMerge/>
          </w:tcPr>
          <w:p w:rsidR="0081416A" w:rsidRPr="00250A0D" w:rsidRDefault="0081416A" w:rsidP="00B66FDE">
            <w:pPr>
              <w:spacing w:line="276" w:lineRule="auto"/>
              <w:rPr>
                <w:sz w:val="20"/>
                <w:szCs w:val="20"/>
              </w:rPr>
            </w:pPr>
          </w:p>
        </w:tc>
        <w:tc>
          <w:tcPr>
            <w:tcW w:w="1134" w:type="dxa"/>
            <w:vMerge/>
          </w:tcPr>
          <w:p w:rsidR="0081416A" w:rsidRPr="00250A0D" w:rsidRDefault="0081416A" w:rsidP="00B66FDE">
            <w:pPr>
              <w:spacing w:line="276" w:lineRule="auto"/>
              <w:rPr>
                <w:sz w:val="20"/>
                <w:szCs w:val="20"/>
              </w:rPr>
            </w:pPr>
          </w:p>
        </w:tc>
        <w:tc>
          <w:tcPr>
            <w:tcW w:w="1134" w:type="dxa"/>
            <w:vMerge/>
          </w:tcPr>
          <w:p w:rsidR="0081416A" w:rsidRPr="00250A0D" w:rsidRDefault="0081416A" w:rsidP="00B66FDE">
            <w:pPr>
              <w:spacing w:line="276" w:lineRule="auto"/>
              <w:rPr>
                <w:sz w:val="20"/>
                <w:szCs w:val="20"/>
              </w:rPr>
            </w:pPr>
          </w:p>
        </w:tc>
        <w:tc>
          <w:tcPr>
            <w:tcW w:w="1418" w:type="dxa"/>
          </w:tcPr>
          <w:p w:rsidR="0081416A" w:rsidRPr="00250A0D" w:rsidRDefault="0033290F" w:rsidP="00B66FDE">
            <w:pPr>
              <w:spacing w:line="276" w:lineRule="auto"/>
              <w:rPr>
                <w:sz w:val="20"/>
                <w:szCs w:val="20"/>
              </w:rPr>
            </w:pPr>
            <w:r w:rsidRPr="0033290F">
              <w:rPr>
                <w:rFonts w:cs="Arial"/>
                <w:sz w:val="20"/>
                <w:szCs w:val="20"/>
              </w:rPr>
              <w:t xml:space="preserve">popis postupu, metodiky, </w:t>
            </w:r>
            <w:r w:rsidRPr="0033290F">
              <w:rPr>
                <w:rFonts w:cs="Arial"/>
                <w:sz w:val="20"/>
                <w:szCs w:val="20"/>
              </w:rPr>
              <w:lastRenderedPageBreak/>
              <w:t>metod a jiných než citlivých údajů používaných pro účely posuzování rizik, jakož i kritéria pro stanovování investičních priorit v závislosti na riziku</w:t>
            </w:r>
          </w:p>
        </w:tc>
        <w:tc>
          <w:tcPr>
            <w:tcW w:w="1134" w:type="dxa"/>
          </w:tcPr>
          <w:p w:rsidR="0081416A" w:rsidRPr="00250A0D" w:rsidRDefault="0033290F" w:rsidP="00B66FDE">
            <w:pPr>
              <w:spacing w:line="276" w:lineRule="auto"/>
              <w:rPr>
                <w:sz w:val="20"/>
                <w:szCs w:val="20"/>
              </w:rPr>
            </w:pPr>
            <w:r w:rsidRPr="0033290F">
              <w:rPr>
                <w:sz w:val="20"/>
                <w:szCs w:val="20"/>
              </w:rPr>
              <w:lastRenderedPageBreak/>
              <w:t>Nesplněno</w:t>
            </w:r>
          </w:p>
        </w:tc>
        <w:tc>
          <w:tcPr>
            <w:tcW w:w="3118" w:type="dxa"/>
          </w:tcPr>
          <w:p w:rsidR="0081416A" w:rsidRPr="00250A0D" w:rsidRDefault="0033290F" w:rsidP="00B66FDE">
            <w:pPr>
              <w:spacing w:line="276" w:lineRule="auto"/>
              <w:rPr>
                <w:sz w:val="20"/>
                <w:szCs w:val="20"/>
              </w:rPr>
            </w:pPr>
            <w:r w:rsidRPr="0033290F">
              <w:rPr>
                <w:sz w:val="20"/>
                <w:szCs w:val="20"/>
                <w:u w:val="single"/>
              </w:rPr>
              <w:t>Systém integrované výstražné služby:</w:t>
            </w:r>
          </w:p>
          <w:p w:rsidR="0081416A" w:rsidRPr="00250A0D" w:rsidRDefault="00332B77" w:rsidP="00B66FDE">
            <w:pPr>
              <w:spacing w:line="276" w:lineRule="auto"/>
              <w:rPr>
                <w:sz w:val="20"/>
                <w:szCs w:val="20"/>
              </w:rPr>
            </w:pPr>
            <w:hyperlink r:id="rId55" w:history="1">
              <w:r w:rsidR="00227804">
                <w:rPr>
                  <w:rStyle w:val="Hypertextovodkaz"/>
                  <w:color w:val="auto"/>
                  <w:sz w:val="20"/>
                  <w:szCs w:val="20"/>
                </w:rPr>
                <w:t>http://portal.chmi.cz/files/portal/docs/meteo/om/sivs/sivs.html</w:t>
              </w:r>
            </w:hyperlink>
          </w:p>
          <w:p w:rsidR="0081416A" w:rsidRPr="00250A0D" w:rsidRDefault="0033290F" w:rsidP="00B66FDE">
            <w:pPr>
              <w:spacing w:line="276" w:lineRule="auto"/>
              <w:rPr>
                <w:sz w:val="20"/>
                <w:szCs w:val="20"/>
              </w:rPr>
            </w:pPr>
            <w:r w:rsidRPr="0033290F">
              <w:rPr>
                <w:sz w:val="20"/>
                <w:szCs w:val="20"/>
                <w:u w:val="single"/>
              </w:rPr>
              <w:t>Hlásná a předpovědní povodňová služba:</w:t>
            </w:r>
          </w:p>
          <w:p w:rsidR="0081416A" w:rsidRPr="00250A0D" w:rsidRDefault="00332B77" w:rsidP="00B66FDE">
            <w:pPr>
              <w:spacing w:line="276" w:lineRule="auto"/>
              <w:rPr>
                <w:sz w:val="20"/>
                <w:szCs w:val="20"/>
              </w:rPr>
            </w:pPr>
            <w:hyperlink r:id="rId56" w:history="1">
              <w:r w:rsidR="00227804">
                <w:rPr>
                  <w:rStyle w:val="Hypertextovodkaz"/>
                  <w:color w:val="auto"/>
                  <w:sz w:val="20"/>
                  <w:szCs w:val="20"/>
                </w:rPr>
                <w:t>http://hydro.chmi.cz/hpps/</w:t>
              </w:r>
            </w:hyperlink>
          </w:p>
          <w:p w:rsidR="0081416A" w:rsidRPr="00250A0D" w:rsidRDefault="0033290F" w:rsidP="00B66FDE">
            <w:pPr>
              <w:spacing w:line="276" w:lineRule="auto"/>
              <w:rPr>
                <w:sz w:val="20"/>
                <w:szCs w:val="20"/>
              </w:rPr>
            </w:pPr>
            <w:r w:rsidRPr="0033290F">
              <w:rPr>
                <w:sz w:val="20"/>
                <w:szCs w:val="20"/>
                <w:u w:val="single"/>
              </w:rPr>
              <w:t>METEOALARM:</w:t>
            </w:r>
          </w:p>
          <w:p w:rsidR="0081416A" w:rsidRPr="00250A0D" w:rsidRDefault="00332B77" w:rsidP="00B66FDE">
            <w:pPr>
              <w:spacing w:line="276" w:lineRule="auto"/>
              <w:rPr>
                <w:sz w:val="20"/>
                <w:szCs w:val="20"/>
              </w:rPr>
            </w:pPr>
            <w:hyperlink r:id="rId57" w:history="1">
              <w:r w:rsidR="00227804">
                <w:rPr>
                  <w:rStyle w:val="Hypertextovodkaz"/>
                  <w:color w:val="auto"/>
                  <w:sz w:val="20"/>
                  <w:szCs w:val="20"/>
                </w:rPr>
                <w:t>http://www.meteoalarm.eu/</w:t>
              </w:r>
            </w:hyperlink>
          </w:p>
          <w:p w:rsidR="0081416A" w:rsidRPr="00250A0D" w:rsidRDefault="00332B77" w:rsidP="00B66FDE">
            <w:pPr>
              <w:spacing w:line="276" w:lineRule="auto"/>
              <w:rPr>
                <w:rFonts w:eastAsia="Times New Roman"/>
                <w:sz w:val="20"/>
                <w:szCs w:val="20"/>
              </w:rPr>
            </w:pPr>
            <w:hyperlink r:id="rId58" w:history="1">
              <w:r w:rsidR="00227804">
                <w:rPr>
                  <w:rStyle w:val="Hypertextovodkaz"/>
                  <w:rFonts w:eastAsia="Times New Roman"/>
                  <w:color w:val="auto"/>
                  <w:sz w:val="20"/>
                  <w:szCs w:val="20"/>
                </w:rPr>
                <w:t>http://www.hzscr.cz/clanek/vzdelavani-v-oblasti-krizoveho-rizeni.aspx</w:t>
              </w:r>
            </w:hyperlink>
          </w:p>
          <w:p w:rsidR="0081416A" w:rsidRPr="00250A0D" w:rsidRDefault="00332B77" w:rsidP="00B66FDE">
            <w:pPr>
              <w:spacing w:line="276" w:lineRule="auto"/>
              <w:rPr>
                <w:rFonts w:eastAsia="Times New Roman"/>
                <w:sz w:val="20"/>
                <w:szCs w:val="20"/>
              </w:rPr>
            </w:pPr>
            <w:hyperlink r:id="rId59" w:history="1">
              <w:r w:rsidR="00227804">
                <w:rPr>
                  <w:rStyle w:val="Hypertextovodkaz"/>
                  <w:rFonts w:eastAsia="Times New Roman"/>
                  <w:color w:val="auto"/>
                  <w:sz w:val="20"/>
                  <w:szCs w:val="20"/>
                </w:rPr>
                <w:t>http://www.hzscr.cz/clanek/dokumenty-ke-stazeni.aspx</w:t>
              </w:r>
            </w:hyperlink>
          </w:p>
          <w:p w:rsidR="0081416A" w:rsidRPr="00250A0D" w:rsidRDefault="00332B77" w:rsidP="00B66FDE">
            <w:pPr>
              <w:spacing w:line="276" w:lineRule="auto"/>
              <w:rPr>
                <w:sz w:val="20"/>
                <w:szCs w:val="20"/>
              </w:rPr>
            </w:pPr>
            <w:hyperlink r:id="rId60" w:history="1">
              <w:r w:rsidR="00227804">
                <w:rPr>
                  <w:rStyle w:val="Hypertextovodkaz"/>
                  <w:color w:val="auto"/>
                  <w:sz w:val="20"/>
                  <w:szCs w:val="20"/>
                </w:rPr>
                <w:t>http://krizport.firebrno.cz/dokumenty/seznam-prehled-metodik-pro-analyzu-rizik</w:t>
              </w:r>
            </w:hyperlink>
          </w:p>
          <w:p w:rsidR="0081416A" w:rsidRPr="00250A0D" w:rsidRDefault="00332B77" w:rsidP="00B66FDE">
            <w:pPr>
              <w:spacing w:line="276" w:lineRule="auto"/>
              <w:rPr>
                <w:sz w:val="20"/>
                <w:szCs w:val="20"/>
              </w:rPr>
            </w:pPr>
            <w:hyperlink r:id="rId61" w:history="1">
              <w:r w:rsidR="00227804">
                <w:rPr>
                  <w:rStyle w:val="Hypertextovodkaz"/>
                  <w:color w:val="auto"/>
                  <w:sz w:val="20"/>
                  <w:szCs w:val="20"/>
                </w:rPr>
                <w:t>http://krizport.firebrno.cz/doku</w:t>
              </w:r>
              <w:r w:rsidR="00227804">
                <w:rPr>
                  <w:rStyle w:val="Hypertextovodkaz"/>
                  <w:color w:val="auto"/>
                  <w:sz w:val="20"/>
                  <w:szCs w:val="20"/>
                </w:rPr>
                <w:lastRenderedPageBreak/>
                <w:t>menty/zasady-pro-pripravu-a-provedeni-cviceni-organu-krizoveho</w:t>
              </w:r>
            </w:hyperlink>
          </w:p>
        </w:tc>
        <w:tc>
          <w:tcPr>
            <w:tcW w:w="4820" w:type="dxa"/>
          </w:tcPr>
          <w:p w:rsidR="00C60A68" w:rsidRPr="00250A0D" w:rsidRDefault="0033290F" w:rsidP="00C60A68">
            <w:pPr>
              <w:spacing w:line="276" w:lineRule="auto"/>
              <w:rPr>
                <w:sz w:val="20"/>
                <w:szCs w:val="20"/>
              </w:rPr>
            </w:pPr>
            <w:r w:rsidRPr="0033290F">
              <w:rPr>
                <w:sz w:val="20"/>
                <w:szCs w:val="20"/>
              </w:rPr>
              <w:lastRenderedPageBreak/>
              <w:t xml:space="preserve">ČHMÚ provozuje varovnou hlásnou předpovědní službu zahrnující extrémní meteorologické jevy (srážky, teploty, vítr), povodně a sucho v rámci </w:t>
            </w:r>
            <w:r w:rsidRPr="0033290F">
              <w:rPr>
                <w:sz w:val="20"/>
                <w:szCs w:val="20"/>
                <w:u w:val="single"/>
              </w:rPr>
              <w:lastRenderedPageBreak/>
              <w:t>Systému integrované výstražné služby</w:t>
            </w:r>
            <w:r w:rsidRPr="0033290F">
              <w:rPr>
                <w:sz w:val="20"/>
                <w:szCs w:val="20"/>
              </w:rPr>
              <w:t xml:space="preserve"> (SIVS) a </w:t>
            </w:r>
            <w:r w:rsidRPr="0033290F">
              <w:rPr>
                <w:sz w:val="20"/>
                <w:szCs w:val="20"/>
                <w:u w:val="single"/>
              </w:rPr>
              <w:t>Hlásné a předpovědní povodňové služby</w:t>
            </w:r>
            <w:r w:rsidRPr="0033290F">
              <w:rPr>
                <w:sz w:val="20"/>
                <w:szCs w:val="20"/>
              </w:rPr>
              <w:t xml:space="preserve"> a je součástí evropského výstražného systému </w:t>
            </w:r>
            <w:r w:rsidRPr="0033290F">
              <w:rPr>
                <w:sz w:val="20"/>
                <w:szCs w:val="20"/>
                <w:u w:val="single"/>
              </w:rPr>
              <w:t>METEOALARM</w:t>
            </w:r>
            <w:r w:rsidRPr="0033290F">
              <w:rPr>
                <w:sz w:val="20"/>
                <w:szCs w:val="20"/>
              </w:rPr>
              <w:t>.</w:t>
            </w:r>
          </w:p>
          <w:p w:rsidR="00C60A68" w:rsidRPr="00250A0D" w:rsidRDefault="0033290F" w:rsidP="00C60A68">
            <w:pPr>
              <w:spacing w:line="276" w:lineRule="auto"/>
              <w:rPr>
                <w:sz w:val="20"/>
                <w:szCs w:val="20"/>
              </w:rPr>
            </w:pPr>
            <w:r w:rsidRPr="0033290F">
              <w:rPr>
                <w:sz w:val="20"/>
                <w:szCs w:val="20"/>
              </w:rPr>
              <w:t>Rizika přírodních katastrof na území ČR jsou obsažena v </w:t>
            </w:r>
            <w:r w:rsidRPr="0033290F">
              <w:rPr>
                <w:sz w:val="20"/>
                <w:szCs w:val="20"/>
                <w:u w:val="single"/>
              </w:rPr>
              <w:t>Databázi zdrojů rizika</w:t>
            </w:r>
            <w:r w:rsidRPr="0033290F">
              <w:rPr>
                <w:sz w:val="20"/>
                <w:szCs w:val="20"/>
              </w:rPr>
              <w:t xml:space="preserve">, kterou zpracovává a provozuje MŽP a zpřístupňuje ústředním správním úřadům. </w:t>
            </w:r>
          </w:p>
          <w:p w:rsidR="00C60A68" w:rsidRPr="00250A0D" w:rsidRDefault="0033290F" w:rsidP="00C60A68">
            <w:pPr>
              <w:spacing w:line="276" w:lineRule="auto"/>
              <w:rPr>
                <w:sz w:val="20"/>
                <w:szCs w:val="20"/>
              </w:rPr>
            </w:pPr>
            <w:r w:rsidRPr="0033290F">
              <w:rPr>
                <w:sz w:val="20"/>
                <w:szCs w:val="20"/>
              </w:rPr>
              <w:t>Kritéria pro stanovování investičních priorit v závislosti na riziku dosud nebyla nastavena, to bude možné po přijetí adaptační strategie.</w:t>
            </w:r>
          </w:p>
          <w:p w:rsidR="00C60A68" w:rsidRPr="00250A0D" w:rsidRDefault="0033290F" w:rsidP="00C60A68">
            <w:pPr>
              <w:spacing w:line="276" w:lineRule="auto"/>
              <w:rPr>
                <w:rFonts w:eastAsia="Times New Roman"/>
                <w:sz w:val="20"/>
                <w:szCs w:val="20"/>
              </w:rPr>
            </w:pPr>
            <w:r w:rsidRPr="0033290F">
              <w:rPr>
                <w:rFonts w:eastAsia="Times New Roman"/>
                <w:sz w:val="20"/>
                <w:szCs w:val="20"/>
              </w:rPr>
              <w:t>ČR disponuje nejen komplexem tzv. krizové legislativy, nýbrž i uceleným souborem dokumentů týkajících se postupu. Jedná se o:</w:t>
            </w:r>
          </w:p>
          <w:p w:rsidR="00C60A68" w:rsidRPr="00250A0D" w:rsidRDefault="0033290F" w:rsidP="00C60A68">
            <w:pPr>
              <w:spacing w:line="276" w:lineRule="auto"/>
              <w:rPr>
                <w:rFonts w:eastAsia="Times New Roman"/>
                <w:sz w:val="20"/>
                <w:szCs w:val="20"/>
              </w:rPr>
            </w:pPr>
            <w:r w:rsidRPr="0033290F">
              <w:rPr>
                <w:rFonts w:eastAsia="Times New Roman"/>
                <w:sz w:val="20"/>
                <w:szCs w:val="20"/>
              </w:rPr>
              <w:t xml:space="preserve">- </w:t>
            </w:r>
            <w:r w:rsidRPr="0033290F">
              <w:rPr>
                <w:rFonts w:eastAsia="Times New Roman"/>
                <w:sz w:val="20"/>
                <w:szCs w:val="20"/>
                <w:u w:val="single"/>
              </w:rPr>
              <w:t>Seznam - přehled metodik pro analýzu rizik</w:t>
            </w:r>
            <w:r w:rsidRPr="0033290F">
              <w:rPr>
                <w:rFonts w:eastAsia="Times New Roman"/>
                <w:sz w:val="20"/>
                <w:szCs w:val="20"/>
              </w:rPr>
              <w:t xml:space="preserve"> (2004), </w:t>
            </w:r>
          </w:p>
          <w:p w:rsidR="00C60A68" w:rsidRPr="00250A0D" w:rsidRDefault="0033290F" w:rsidP="00C60A68">
            <w:pPr>
              <w:spacing w:line="276" w:lineRule="auto"/>
              <w:rPr>
                <w:rFonts w:eastAsia="Times New Roman"/>
                <w:sz w:val="20"/>
                <w:szCs w:val="20"/>
              </w:rPr>
            </w:pPr>
            <w:r w:rsidRPr="0033290F">
              <w:rPr>
                <w:rFonts w:eastAsia="Times New Roman"/>
                <w:sz w:val="20"/>
                <w:szCs w:val="20"/>
              </w:rPr>
              <w:t xml:space="preserve">- </w:t>
            </w:r>
            <w:r w:rsidRPr="0033290F">
              <w:rPr>
                <w:rFonts w:eastAsia="Times New Roman"/>
                <w:sz w:val="20"/>
                <w:szCs w:val="20"/>
                <w:u w:val="single"/>
              </w:rPr>
              <w:t>Metodika zpracovávání krizových plánů</w:t>
            </w:r>
            <w:r w:rsidRPr="0033290F">
              <w:rPr>
                <w:rFonts w:eastAsia="Times New Roman"/>
                <w:sz w:val="20"/>
                <w:szCs w:val="20"/>
              </w:rPr>
              <w:t xml:space="preserve"> (2011)</w:t>
            </w:r>
          </w:p>
          <w:p w:rsidR="00C60A68" w:rsidRPr="00250A0D" w:rsidRDefault="0033290F" w:rsidP="00C60A68">
            <w:pPr>
              <w:spacing w:line="276" w:lineRule="auto"/>
              <w:rPr>
                <w:rFonts w:eastAsia="Times New Roman"/>
                <w:sz w:val="20"/>
                <w:szCs w:val="20"/>
              </w:rPr>
            </w:pPr>
            <w:r w:rsidRPr="0033290F">
              <w:rPr>
                <w:rFonts w:eastAsia="Times New Roman"/>
                <w:sz w:val="20"/>
                <w:szCs w:val="20"/>
              </w:rPr>
              <w:t xml:space="preserve">- </w:t>
            </w:r>
            <w:r w:rsidRPr="0033290F">
              <w:rPr>
                <w:rFonts w:eastAsia="Times New Roman"/>
                <w:sz w:val="20"/>
                <w:szCs w:val="20"/>
                <w:u w:val="single"/>
              </w:rPr>
              <w:t>Metodika zpracovávání plánů krizové připravenosti</w:t>
            </w:r>
            <w:r w:rsidRPr="0033290F">
              <w:rPr>
                <w:rFonts w:eastAsia="Times New Roman"/>
                <w:sz w:val="20"/>
                <w:szCs w:val="20"/>
              </w:rPr>
              <w:t xml:space="preserve"> (2012) </w:t>
            </w:r>
          </w:p>
          <w:p w:rsidR="00C60A68" w:rsidRPr="00250A0D" w:rsidRDefault="0033290F" w:rsidP="00C60A68">
            <w:pPr>
              <w:spacing w:line="276" w:lineRule="auto"/>
              <w:rPr>
                <w:sz w:val="20"/>
                <w:szCs w:val="20"/>
              </w:rPr>
            </w:pPr>
            <w:r w:rsidRPr="0033290F">
              <w:rPr>
                <w:sz w:val="20"/>
                <w:szCs w:val="20"/>
              </w:rPr>
              <w:lastRenderedPageBreak/>
              <w:t>- S</w:t>
            </w:r>
            <w:r w:rsidRPr="0033290F">
              <w:rPr>
                <w:sz w:val="20"/>
                <w:szCs w:val="20"/>
                <w:u w:val="single"/>
              </w:rPr>
              <w:t xml:space="preserve">měrnice Ministerstva vnitra  </w:t>
            </w:r>
            <w:proofErr w:type="gramStart"/>
            <w:r w:rsidRPr="0033290F">
              <w:rPr>
                <w:sz w:val="20"/>
                <w:szCs w:val="20"/>
                <w:u w:val="single"/>
              </w:rPr>
              <w:t>č.j.</w:t>
            </w:r>
            <w:proofErr w:type="gramEnd"/>
            <w:r w:rsidRPr="0033290F">
              <w:rPr>
                <w:sz w:val="20"/>
                <w:szCs w:val="20"/>
                <w:u w:val="single"/>
              </w:rPr>
              <w:t xml:space="preserve"> MV-117572-2/PO-OKR-2011</w:t>
            </w:r>
            <w:r w:rsidRPr="0033290F">
              <w:rPr>
                <w:sz w:val="20"/>
                <w:szCs w:val="20"/>
              </w:rPr>
              <w:t>.</w:t>
            </w:r>
          </w:p>
          <w:p w:rsidR="00674BC9" w:rsidRDefault="0033290F">
            <w:pPr>
              <w:rPr>
                <w:sz w:val="20"/>
                <w:szCs w:val="20"/>
              </w:rPr>
            </w:pPr>
            <w:r w:rsidRPr="0033290F">
              <w:rPr>
                <w:b/>
                <w:sz w:val="20"/>
                <w:szCs w:val="20"/>
              </w:rPr>
              <w:t>Podrobnější specifikace v akčním plánu 5.1 v příloze č. 7.</w:t>
            </w:r>
          </w:p>
        </w:tc>
      </w:tr>
      <w:tr w:rsidR="0081416A" w:rsidRPr="00250A0D" w:rsidTr="000F2740">
        <w:tc>
          <w:tcPr>
            <w:tcW w:w="1384" w:type="dxa"/>
            <w:vMerge/>
          </w:tcPr>
          <w:p w:rsidR="0081416A" w:rsidRPr="00250A0D" w:rsidRDefault="0081416A" w:rsidP="00B66FDE">
            <w:pPr>
              <w:spacing w:line="276" w:lineRule="auto"/>
              <w:rPr>
                <w:sz w:val="20"/>
                <w:szCs w:val="20"/>
              </w:rPr>
            </w:pPr>
          </w:p>
        </w:tc>
        <w:tc>
          <w:tcPr>
            <w:tcW w:w="1134" w:type="dxa"/>
            <w:vMerge/>
          </w:tcPr>
          <w:p w:rsidR="0081416A" w:rsidRPr="00250A0D" w:rsidRDefault="0081416A" w:rsidP="00B66FDE">
            <w:pPr>
              <w:spacing w:line="276" w:lineRule="auto"/>
              <w:rPr>
                <w:sz w:val="20"/>
                <w:szCs w:val="20"/>
              </w:rPr>
            </w:pPr>
          </w:p>
        </w:tc>
        <w:tc>
          <w:tcPr>
            <w:tcW w:w="1134" w:type="dxa"/>
            <w:vMerge/>
          </w:tcPr>
          <w:p w:rsidR="0081416A" w:rsidRPr="00250A0D" w:rsidRDefault="0081416A" w:rsidP="00B66FDE">
            <w:pPr>
              <w:spacing w:line="276" w:lineRule="auto"/>
              <w:rPr>
                <w:sz w:val="20"/>
                <w:szCs w:val="20"/>
              </w:rPr>
            </w:pPr>
          </w:p>
        </w:tc>
        <w:tc>
          <w:tcPr>
            <w:tcW w:w="1418" w:type="dxa"/>
          </w:tcPr>
          <w:p w:rsidR="0081416A" w:rsidRPr="00250A0D" w:rsidRDefault="0033290F" w:rsidP="00B66FDE">
            <w:pPr>
              <w:spacing w:line="276" w:lineRule="auto"/>
              <w:rPr>
                <w:sz w:val="20"/>
                <w:szCs w:val="20"/>
              </w:rPr>
            </w:pPr>
            <w:r w:rsidRPr="0033290F">
              <w:rPr>
                <w:rFonts w:cs="Arial"/>
                <w:sz w:val="20"/>
                <w:szCs w:val="20"/>
              </w:rPr>
              <w:t>popis scénářů s jedním rizikem a s více riziky;</w:t>
            </w:r>
          </w:p>
        </w:tc>
        <w:tc>
          <w:tcPr>
            <w:tcW w:w="1134" w:type="dxa"/>
          </w:tcPr>
          <w:p w:rsidR="0081416A" w:rsidRPr="00250A0D" w:rsidRDefault="0033290F" w:rsidP="00B66FDE">
            <w:pPr>
              <w:spacing w:line="276" w:lineRule="auto"/>
              <w:rPr>
                <w:sz w:val="20"/>
                <w:szCs w:val="20"/>
              </w:rPr>
            </w:pPr>
            <w:r w:rsidRPr="0033290F">
              <w:rPr>
                <w:sz w:val="20"/>
                <w:szCs w:val="20"/>
              </w:rPr>
              <w:t>ano</w:t>
            </w:r>
          </w:p>
        </w:tc>
        <w:tc>
          <w:tcPr>
            <w:tcW w:w="3118" w:type="dxa"/>
          </w:tcPr>
          <w:p w:rsidR="0081416A" w:rsidRPr="00250A0D" w:rsidRDefault="00332B77" w:rsidP="00B66FDE">
            <w:pPr>
              <w:spacing w:line="276" w:lineRule="auto"/>
              <w:rPr>
                <w:sz w:val="20"/>
                <w:szCs w:val="20"/>
              </w:rPr>
            </w:pPr>
            <w:hyperlink r:id="rId62" w:history="1">
              <w:r w:rsidR="00227804">
                <w:rPr>
                  <w:rStyle w:val="Hypertextovodkaz"/>
                  <w:color w:val="auto"/>
                  <w:sz w:val="20"/>
                  <w:szCs w:val="20"/>
                </w:rPr>
                <w:t>http://portal.chmi.cz/portal/dt?portal_lang=cs&amp;menu=JSPTabContainer/P4_Historicka_data/P4_1_Pocasi/P4_1_10_Zmena_klimatu/P4_1_10_6_Projekt_VaV&amp;last=false</w:t>
              </w:r>
            </w:hyperlink>
          </w:p>
          <w:p w:rsidR="0081416A" w:rsidRPr="00250A0D" w:rsidRDefault="0033290F" w:rsidP="00B66FDE">
            <w:pPr>
              <w:spacing w:line="276" w:lineRule="auto"/>
              <w:rPr>
                <w:sz w:val="20"/>
                <w:szCs w:val="20"/>
              </w:rPr>
            </w:pPr>
            <w:r w:rsidRPr="0033290F">
              <w:rPr>
                <w:sz w:val="20"/>
                <w:szCs w:val="20"/>
              </w:rPr>
              <w:t>Ukázky krizových plánů krajů např.:</w:t>
            </w:r>
          </w:p>
          <w:p w:rsidR="0081416A" w:rsidRPr="00250A0D" w:rsidRDefault="00332B77" w:rsidP="00B66FDE">
            <w:pPr>
              <w:spacing w:line="276" w:lineRule="auto"/>
              <w:rPr>
                <w:sz w:val="20"/>
                <w:szCs w:val="20"/>
              </w:rPr>
            </w:pPr>
            <w:hyperlink r:id="rId63" w:history="1">
              <w:r w:rsidR="00227804">
                <w:rPr>
                  <w:rStyle w:val="Hypertextovodkaz"/>
                  <w:color w:val="auto"/>
                  <w:sz w:val="20"/>
                  <w:szCs w:val="20"/>
                </w:rPr>
                <w:t>http://www.hzscr.cz/clanek/krizovy-plan-jihoceskeho-kraje.aspx</w:t>
              </w:r>
            </w:hyperlink>
          </w:p>
          <w:p w:rsidR="0081416A" w:rsidRPr="00250A0D" w:rsidRDefault="00332B77" w:rsidP="00B66FDE">
            <w:pPr>
              <w:spacing w:line="276" w:lineRule="auto"/>
              <w:rPr>
                <w:rFonts w:eastAsia="Times New Roman"/>
                <w:sz w:val="20"/>
                <w:szCs w:val="20"/>
              </w:rPr>
            </w:pPr>
            <w:hyperlink r:id="rId64" w:history="1">
              <w:r w:rsidR="00227804">
                <w:rPr>
                  <w:rStyle w:val="Hypertextovodkaz"/>
                  <w:rFonts w:eastAsia="Times New Roman"/>
                  <w:color w:val="auto"/>
                  <w:sz w:val="20"/>
                  <w:szCs w:val="20"/>
                </w:rPr>
                <w:t>http://www.hzscr.cz/clanek/dokumentace-havarijni-a-krizove-pripravenosti.aspx</w:t>
              </w:r>
            </w:hyperlink>
          </w:p>
          <w:p w:rsidR="0081416A" w:rsidRPr="00250A0D" w:rsidRDefault="0033290F" w:rsidP="00B66FDE">
            <w:pPr>
              <w:spacing w:line="276" w:lineRule="auto"/>
              <w:rPr>
                <w:sz w:val="20"/>
                <w:szCs w:val="20"/>
              </w:rPr>
            </w:pPr>
            <w:r w:rsidRPr="0033290F">
              <w:rPr>
                <w:sz w:val="20"/>
                <w:szCs w:val="20"/>
              </w:rPr>
              <w:t>Ukázky krizových plánů obcí s rozšířenou působností např.:</w:t>
            </w:r>
          </w:p>
          <w:p w:rsidR="0081416A" w:rsidRPr="00250A0D" w:rsidRDefault="00332B77" w:rsidP="00B66FDE">
            <w:pPr>
              <w:spacing w:line="276" w:lineRule="auto"/>
              <w:rPr>
                <w:sz w:val="20"/>
                <w:szCs w:val="20"/>
              </w:rPr>
            </w:pPr>
            <w:hyperlink r:id="rId65" w:history="1">
              <w:r w:rsidR="00227804">
                <w:rPr>
                  <w:rStyle w:val="Hypertextovodkaz"/>
                  <w:color w:val="auto"/>
                  <w:sz w:val="20"/>
                  <w:szCs w:val="20"/>
                </w:rPr>
                <w:t>http://www.olomouc.eu/obcan/</w:t>
              </w:r>
              <w:r w:rsidR="00227804">
                <w:rPr>
                  <w:rStyle w:val="Hypertextovodkaz"/>
                  <w:color w:val="auto"/>
                  <w:sz w:val="20"/>
                  <w:szCs w:val="20"/>
                </w:rPr>
                <w:lastRenderedPageBreak/>
                <w:t>bezpecnost/krizove-rizeni/krizovy-plan</w:t>
              </w:r>
            </w:hyperlink>
          </w:p>
          <w:p w:rsidR="0081416A" w:rsidRPr="00250A0D" w:rsidRDefault="00332B77" w:rsidP="00B66FDE">
            <w:pPr>
              <w:spacing w:line="276" w:lineRule="auto"/>
              <w:rPr>
                <w:sz w:val="20"/>
                <w:szCs w:val="20"/>
              </w:rPr>
            </w:pPr>
            <w:hyperlink r:id="rId66" w:history="1">
              <w:r w:rsidR="00227804">
                <w:rPr>
                  <w:rStyle w:val="Hypertextovodkaz"/>
                  <w:color w:val="auto"/>
                  <w:sz w:val="20"/>
                  <w:szCs w:val="20"/>
                </w:rPr>
                <w:t>http://www.c-budejovice.cz/cz/mesto/krizove-rizeni/stranky/krizova-dokumentace-a-plany.aspx</w:t>
              </w:r>
            </w:hyperlink>
          </w:p>
        </w:tc>
        <w:tc>
          <w:tcPr>
            <w:tcW w:w="4820" w:type="dxa"/>
          </w:tcPr>
          <w:p w:rsidR="00C60A68" w:rsidRPr="00250A0D" w:rsidRDefault="0033290F" w:rsidP="00C60A68">
            <w:pPr>
              <w:spacing w:line="276" w:lineRule="auto"/>
              <w:rPr>
                <w:rFonts w:cs="Arial"/>
                <w:sz w:val="20"/>
                <w:szCs w:val="20"/>
              </w:rPr>
            </w:pPr>
            <w:r w:rsidRPr="0033290F">
              <w:rPr>
                <w:rFonts w:cs="Arial"/>
                <w:sz w:val="20"/>
                <w:szCs w:val="20"/>
                <w:u w:val="single"/>
              </w:rPr>
              <w:lastRenderedPageBreak/>
              <w:t>ČR disponuje dokumenty obsahujícími popisy scénářů, ať už s jedním či s více riziky.</w:t>
            </w:r>
          </w:p>
          <w:p w:rsidR="00C60A68" w:rsidRPr="00250A0D" w:rsidRDefault="0033290F" w:rsidP="00C60A68">
            <w:pPr>
              <w:spacing w:line="276" w:lineRule="auto"/>
              <w:rPr>
                <w:rFonts w:cs="Arial"/>
                <w:sz w:val="20"/>
                <w:szCs w:val="20"/>
              </w:rPr>
            </w:pPr>
            <w:r w:rsidRPr="0033290F">
              <w:rPr>
                <w:sz w:val="20"/>
                <w:szCs w:val="20"/>
              </w:rPr>
              <w:t xml:space="preserve">V rámci projektu </w:t>
            </w:r>
            <w:proofErr w:type="spellStart"/>
            <w:r w:rsidRPr="0033290F">
              <w:rPr>
                <w:sz w:val="20"/>
                <w:szCs w:val="20"/>
              </w:rPr>
              <w:t>VaV</w:t>
            </w:r>
            <w:proofErr w:type="spellEnd"/>
            <w:r w:rsidRPr="0033290F">
              <w:rPr>
                <w:sz w:val="20"/>
                <w:szCs w:val="20"/>
              </w:rPr>
              <w:t xml:space="preserve"> (SP/1a6/108/07) byly aktualizovány scénáře vývoje klimatu na území ČR v sektorech vodního hospodářství, zemědělství a lesnictví, identifikovány možné dopady změny klimatu a popsána rizika, jež se těchto oblastí dotýkají. </w:t>
            </w:r>
          </w:p>
          <w:p w:rsidR="00C60A68" w:rsidRPr="00250A0D" w:rsidRDefault="0033290F" w:rsidP="00C60A68">
            <w:pPr>
              <w:spacing w:line="276" w:lineRule="auto"/>
              <w:rPr>
                <w:rFonts w:cs="Arial"/>
                <w:sz w:val="20"/>
                <w:szCs w:val="20"/>
              </w:rPr>
            </w:pPr>
            <w:r w:rsidRPr="0033290F">
              <w:rPr>
                <w:sz w:val="20"/>
                <w:szCs w:val="20"/>
              </w:rPr>
              <w:t>Na základě hodnocení rizik v ČR bylo zjištěno, že závažná je převážně kombinace antropogenních a přírodních zdrojů rizika.</w:t>
            </w:r>
          </w:p>
          <w:p w:rsidR="00C60A68" w:rsidRPr="00250A0D" w:rsidRDefault="0033290F" w:rsidP="00C60A68">
            <w:pPr>
              <w:spacing w:line="276" w:lineRule="auto"/>
              <w:rPr>
                <w:rFonts w:cs="Arial"/>
                <w:sz w:val="20"/>
                <w:szCs w:val="20"/>
              </w:rPr>
            </w:pPr>
            <w:r w:rsidRPr="0033290F">
              <w:rPr>
                <w:sz w:val="20"/>
                <w:szCs w:val="20"/>
              </w:rPr>
              <w:t xml:space="preserve">ČR </w:t>
            </w:r>
            <w:r w:rsidRPr="0033290F">
              <w:rPr>
                <w:rFonts w:cs="Arial"/>
                <w:sz w:val="20"/>
                <w:szCs w:val="20"/>
              </w:rPr>
              <w:t xml:space="preserve">disponuje dokumenty týkajícími se posuzování rizik </w:t>
            </w:r>
            <w:r w:rsidRPr="0033290F">
              <w:rPr>
                <w:sz w:val="20"/>
                <w:szCs w:val="20"/>
              </w:rPr>
              <w:t xml:space="preserve">(včetně rizik způsobených přírodními vlivy) </w:t>
            </w:r>
            <w:r w:rsidRPr="0033290F">
              <w:rPr>
                <w:rFonts w:cs="Arial"/>
                <w:sz w:val="20"/>
                <w:szCs w:val="20"/>
              </w:rPr>
              <w:t xml:space="preserve">na celostátní úrovni a na regionální úrovni. Každý kraj i obec s rozšířenou působností má povinnost vytvořit krizový plán, kde jsou zohledňovány pravděpodobné krizové situace, včetně těch, které mají vazbu na </w:t>
            </w:r>
            <w:r w:rsidRPr="0033290F">
              <w:rPr>
                <w:rFonts w:cs="Arial"/>
                <w:sz w:val="20"/>
                <w:szCs w:val="20"/>
              </w:rPr>
              <w:lastRenderedPageBreak/>
              <w:t xml:space="preserve">změny klimatu. Zpracovatelem je Hasičský záchranný sbor České republiky.  </w:t>
            </w:r>
          </w:p>
          <w:p w:rsidR="00C60A68" w:rsidRPr="00250A0D" w:rsidRDefault="0033290F" w:rsidP="00C60A68">
            <w:pPr>
              <w:spacing w:line="276" w:lineRule="auto"/>
              <w:rPr>
                <w:rFonts w:cs="Arial"/>
                <w:sz w:val="20"/>
                <w:szCs w:val="20"/>
              </w:rPr>
            </w:pPr>
            <w:r w:rsidRPr="0033290F">
              <w:rPr>
                <w:rFonts w:cs="Arial"/>
                <w:sz w:val="20"/>
                <w:szCs w:val="20"/>
              </w:rPr>
              <w:t xml:space="preserve">MV-GŘ HZS ČR vypracovalo Metodiku zpracování krizových plánů. </w:t>
            </w:r>
          </w:p>
          <w:p w:rsidR="00674BC9" w:rsidRDefault="0033290F">
            <w:pPr>
              <w:rPr>
                <w:sz w:val="20"/>
                <w:szCs w:val="20"/>
              </w:rPr>
            </w:pPr>
            <w:r w:rsidRPr="0033290F">
              <w:rPr>
                <w:b/>
                <w:sz w:val="20"/>
                <w:szCs w:val="20"/>
              </w:rPr>
              <w:t>Podrobnější specifikace v akčním plánu 5.1 v příloze č. 7.</w:t>
            </w:r>
            <w:r w:rsidRPr="0033290F">
              <w:rPr>
                <w:sz w:val="20"/>
                <w:szCs w:val="20"/>
              </w:rPr>
              <w:t xml:space="preserve"> </w:t>
            </w:r>
          </w:p>
        </w:tc>
      </w:tr>
      <w:tr w:rsidR="0081416A" w:rsidRPr="00250A0D" w:rsidTr="000F2740">
        <w:tc>
          <w:tcPr>
            <w:tcW w:w="1384" w:type="dxa"/>
            <w:vMerge/>
          </w:tcPr>
          <w:p w:rsidR="0081416A" w:rsidRPr="00250A0D" w:rsidRDefault="0081416A" w:rsidP="00B66FDE">
            <w:pPr>
              <w:spacing w:line="276" w:lineRule="auto"/>
              <w:rPr>
                <w:sz w:val="20"/>
                <w:szCs w:val="20"/>
              </w:rPr>
            </w:pPr>
          </w:p>
        </w:tc>
        <w:tc>
          <w:tcPr>
            <w:tcW w:w="1134" w:type="dxa"/>
            <w:vMerge/>
          </w:tcPr>
          <w:p w:rsidR="0081416A" w:rsidRPr="00250A0D" w:rsidRDefault="0081416A" w:rsidP="00B66FDE">
            <w:pPr>
              <w:spacing w:line="276" w:lineRule="auto"/>
              <w:rPr>
                <w:sz w:val="20"/>
                <w:szCs w:val="20"/>
              </w:rPr>
            </w:pPr>
          </w:p>
        </w:tc>
        <w:tc>
          <w:tcPr>
            <w:tcW w:w="1134" w:type="dxa"/>
            <w:vMerge/>
          </w:tcPr>
          <w:p w:rsidR="0081416A" w:rsidRPr="00250A0D" w:rsidRDefault="0081416A" w:rsidP="00B66FDE">
            <w:pPr>
              <w:spacing w:line="276" w:lineRule="auto"/>
              <w:rPr>
                <w:sz w:val="20"/>
                <w:szCs w:val="20"/>
              </w:rPr>
            </w:pPr>
          </w:p>
        </w:tc>
        <w:tc>
          <w:tcPr>
            <w:tcW w:w="1418" w:type="dxa"/>
          </w:tcPr>
          <w:p w:rsidR="0081416A" w:rsidRPr="00250A0D" w:rsidRDefault="0033290F" w:rsidP="00B66FDE">
            <w:pPr>
              <w:spacing w:line="276" w:lineRule="auto"/>
              <w:rPr>
                <w:sz w:val="20"/>
                <w:szCs w:val="20"/>
              </w:rPr>
            </w:pPr>
            <w:r w:rsidRPr="0033290F">
              <w:rPr>
                <w:rFonts w:cs="Arial"/>
                <w:sz w:val="20"/>
                <w:szCs w:val="20"/>
              </w:rPr>
              <w:t>případné zohlednění vnitrostátních strategií pro přizpůsobení se změně klimatu.</w:t>
            </w:r>
          </w:p>
        </w:tc>
        <w:tc>
          <w:tcPr>
            <w:tcW w:w="1134" w:type="dxa"/>
          </w:tcPr>
          <w:p w:rsidR="0081416A" w:rsidRPr="00250A0D" w:rsidRDefault="0033290F" w:rsidP="00B66FDE">
            <w:pPr>
              <w:spacing w:line="276" w:lineRule="auto"/>
              <w:rPr>
                <w:sz w:val="20"/>
                <w:szCs w:val="20"/>
              </w:rPr>
            </w:pPr>
            <w:r w:rsidRPr="0033290F">
              <w:rPr>
                <w:sz w:val="20"/>
                <w:szCs w:val="20"/>
              </w:rPr>
              <w:t>Nesplněno</w:t>
            </w:r>
          </w:p>
        </w:tc>
        <w:tc>
          <w:tcPr>
            <w:tcW w:w="3118" w:type="dxa"/>
          </w:tcPr>
          <w:p w:rsidR="0081416A" w:rsidRPr="00250A0D" w:rsidRDefault="0081416A" w:rsidP="00B66FDE">
            <w:pPr>
              <w:spacing w:line="276" w:lineRule="auto"/>
              <w:rPr>
                <w:sz w:val="20"/>
                <w:szCs w:val="20"/>
              </w:rPr>
            </w:pPr>
          </w:p>
        </w:tc>
        <w:tc>
          <w:tcPr>
            <w:tcW w:w="4820" w:type="dxa"/>
          </w:tcPr>
          <w:p w:rsidR="00C60A68" w:rsidRPr="00250A0D" w:rsidRDefault="0033290F" w:rsidP="00C60A68">
            <w:pPr>
              <w:pStyle w:val="DAVA"/>
              <w:spacing w:before="0" w:after="60"/>
              <w:jc w:val="left"/>
              <w:rPr>
                <w:rFonts w:ascii="Cambria" w:hAnsi="Cambria"/>
                <w:b/>
                <w:sz w:val="20"/>
                <w:szCs w:val="20"/>
              </w:rPr>
            </w:pPr>
            <w:r w:rsidRPr="0033290F">
              <w:rPr>
                <w:rFonts w:ascii="Cambria" w:hAnsi="Cambria"/>
                <w:sz w:val="20"/>
                <w:szCs w:val="20"/>
              </w:rPr>
              <w:t xml:space="preserve">Vnitrostátní strategií pro přizpůsobení se změně klimatu je připravovaná </w:t>
            </w:r>
            <w:r w:rsidRPr="0033290F">
              <w:rPr>
                <w:rFonts w:ascii="Cambria" w:hAnsi="Cambria"/>
                <w:sz w:val="20"/>
                <w:szCs w:val="20"/>
                <w:u w:val="single"/>
              </w:rPr>
              <w:t>Strategie přizpůsobení se změně klimatu v podmínkách ČR</w:t>
            </w:r>
            <w:r w:rsidRPr="0033290F">
              <w:rPr>
                <w:rFonts w:ascii="Cambria" w:hAnsi="Cambria"/>
                <w:sz w:val="20"/>
                <w:szCs w:val="20"/>
              </w:rPr>
              <w:t>. Současný návrh bude předložen ke schválení po posouzení procesem SEA v červnu 2015</w:t>
            </w:r>
            <w:r w:rsidRPr="0033290F">
              <w:rPr>
                <w:rFonts w:ascii="Cambria" w:hAnsi="Cambria"/>
                <w:b/>
                <w:sz w:val="20"/>
                <w:szCs w:val="20"/>
              </w:rPr>
              <w:t xml:space="preserve">.  </w:t>
            </w:r>
          </w:p>
          <w:p w:rsidR="0081416A" w:rsidRPr="00250A0D" w:rsidRDefault="0033290F" w:rsidP="00821031">
            <w:pPr>
              <w:spacing w:line="276" w:lineRule="auto"/>
              <w:rPr>
                <w:sz w:val="20"/>
                <w:szCs w:val="20"/>
              </w:rPr>
            </w:pPr>
            <w:r w:rsidRPr="0033290F">
              <w:rPr>
                <w:sz w:val="20"/>
                <w:szCs w:val="20"/>
              </w:rPr>
              <w:t xml:space="preserve">Principy adaptace na změnu klimatu v souladu s návrhem adaptační strategie jsou zohledněny ve schválené Státní politice životního prostředí. Návrh adaptační strategie je odpovídajícím způsobem zohledňován v připravovaných Plánech pro zvládání povodňových rizik a aktualizovaných Plánech povodí a Koncepci environmentální bezpečnosti. Případné relevantní změny adaptační strategie (jež mohou být vyvolané procesem SEA nebo MPŘ) budou do Plánů pro zvládání povodňových rizik a Plánů povodí uplatněny v rámci připomínek veřejnosti (do </w:t>
            </w:r>
            <w:proofErr w:type="gramStart"/>
            <w:r w:rsidRPr="0033290F">
              <w:rPr>
                <w:sz w:val="20"/>
                <w:szCs w:val="20"/>
              </w:rPr>
              <w:lastRenderedPageBreak/>
              <w:t>22.6.2015</w:t>
            </w:r>
            <w:proofErr w:type="gramEnd"/>
            <w:r w:rsidRPr="0033290F">
              <w:rPr>
                <w:sz w:val="20"/>
                <w:szCs w:val="20"/>
              </w:rPr>
              <w:t xml:space="preserve">) a do Koncepce environmentální bezpečnosti před jejím schválením (do 31.12.2015). Adaptační strategie bude po svém schválení uplatněna v odpovídající krizové dokumentaci dotčených resortů do </w:t>
            </w:r>
            <w:proofErr w:type="gramStart"/>
            <w:r w:rsidRPr="0033290F">
              <w:rPr>
                <w:sz w:val="20"/>
                <w:szCs w:val="20"/>
              </w:rPr>
              <w:t>31.12.2015</w:t>
            </w:r>
            <w:proofErr w:type="gramEnd"/>
          </w:p>
        </w:tc>
      </w:tr>
      <w:tr w:rsidR="0081416A" w:rsidRPr="00250A0D" w:rsidTr="000F2740">
        <w:tc>
          <w:tcPr>
            <w:tcW w:w="1384" w:type="dxa"/>
            <w:vMerge w:val="restart"/>
          </w:tcPr>
          <w:p w:rsidR="0081416A" w:rsidRPr="00250A0D" w:rsidRDefault="0033290F" w:rsidP="00B66FDE">
            <w:pPr>
              <w:spacing w:line="276" w:lineRule="auto"/>
              <w:rPr>
                <w:sz w:val="20"/>
                <w:szCs w:val="20"/>
              </w:rPr>
            </w:pPr>
            <w:r w:rsidRPr="0033290F">
              <w:rPr>
                <w:rFonts w:cs="Arial"/>
                <w:bCs/>
                <w:sz w:val="20"/>
                <w:szCs w:val="20"/>
              </w:rPr>
              <w:lastRenderedPageBreak/>
              <w:t xml:space="preserve">6.1. Vodní hospodářství: existence a) politiky stanovování poplatků za vodu, která vhodným způsobem podněcuje uživatele k účinnému využívání vodních zdrojů, a b) odpovídajícího podílu různých způsobů využívání </w:t>
            </w:r>
            <w:r w:rsidRPr="0033290F">
              <w:rPr>
                <w:rFonts w:cs="Arial"/>
                <w:bCs/>
                <w:sz w:val="20"/>
                <w:szCs w:val="20"/>
              </w:rPr>
              <w:lastRenderedPageBreak/>
              <w:t>vody na úhradě nákladů na vodohospodářské služby v sazbě stanovené ve schváleném plánu povodí pro investice podporované příslušnými programy.</w:t>
            </w:r>
          </w:p>
        </w:tc>
        <w:tc>
          <w:tcPr>
            <w:tcW w:w="1134" w:type="dxa"/>
            <w:vMerge w:val="restart"/>
          </w:tcPr>
          <w:p w:rsidR="0081416A" w:rsidRPr="00250A0D" w:rsidRDefault="0033290F" w:rsidP="00B66FDE">
            <w:pPr>
              <w:spacing w:line="276" w:lineRule="auto"/>
              <w:rPr>
                <w:sz w:val="20"/>
                <w:szCs w:val="20"/>
              </w:rPr>
            </w:pPr>
            <w:r w:rsidRPr="0033290F">
              <w:rPr>
                <w:sz w:val="20"/>
                <w:szCs w:val="20"/>
              </w:rPr>
              <w:lastRenderedPageBreak/>
              <w:t>Prioritní osa 1: Zlepšování kvality vody a snižování rizika povodní</w:t>
            </w:r>
          </w:p>
        </w:tc>
        <w:tc>
          <w:tcPr>
            <w:tcW w:w="1134" w:type="dxa"/>
            <w:vMerge w:val="restart"/>
          </w:tcPr>
          <w:p w:rsidR="0081416A" w:rsidRPr="00250A0D" w:rsidRDefault="0033290F" w:rsidP="00B66FDE">
            <w:pPr>
              <w:spacing w:line="276" w:lineRule="auto"/>
              <w:rPr>
                <w:sz w:val="20"/>
                <w:szCs w:val="20"/>
              </w:rPr>
            </w:pPr>
            <w:r w:rsidRPr="0033290F">
              <w:rPr>
                <w:sz w:val="20"/>
                <w:szCs w:val="20"/>
              </w:rPr>
              <w:t>Nesplněno</w:t>
            </w:r>
          </w:p>
        </w:tc>
        <w:tc>
          <w:tcPr>
            <w:tcW w:w="1418" w:type="dxa"/>
          </w:tcPr>
          <w:p w:rsidR="0081416A" w:rsidRPr="00250A0D" w:rsidRDefault="0033290F" w:rsidP="00B66FDE">
            <w:pPr>
              <w:spacing w:line="276" w:lineRule="auto"/>
              <w:rPr>
                <w:sz w:val="20"/>
                <w:szCs w:val="20"/>
              </w:rPr>
            </w:pPr>
            <w:r w:rsidRPr="0033290F">
              <w:rPr>
                <w:rFonts w:cs="Arial"/>
                <w:sz w:val="20"/>
                <w:szCs w:val="20"/>
              </w:rPr>
              <w:t xml:space="preserve">V odvětvích podporovaných z prostředků EZFRV, EFRR a Fondu soudržnosti, členský stát zajistil, aby se na úhradě nákladů na vodohospodářské služby podílely různé způsoby využívání vody v členění podle odvětví, v </w:t>
            </w:r>
            <w:r w:rsidRPr="0033290F">
              <w:rPr>
                <w:rFonts w:cs="Arial"/>
                <w:sz w:val="20"/>
                <w:szCs w:val="20"/>
              </w:rPr>
              <w:lastRenderedPageBreak/>
              <w:t>souladu s čl. 9 odst. 1 první odrážkou směrnice 2000/60/ES, případně s ohledem na sociální dopad, dopad na životní prostředí a hospodářský dopad takové úhrady, jakož i zeměpisné a klimatické podmínky dotčeného regionu či regionů.</w:t>
            </w:r>
          </w:p>
        </w:tc>
        <w:tc>
          <w:tcPr>
            <w:tcW w:w="1134" w:type="dxa"/>
          </w:tcPr>
          <w:p w:rsidR="0081416A" w:rsidRPr="00250A0D" w:rsidRDefault="0033290F" w:rsidP="00B66FDE">
            <w:pPr>
              <w:spacing w:line="276" w:lineRule="auto"/>
              <w:rPr>
                <w:sz w:val="20"/>
                <w:szCs w:val="20"/>
              </w:rPr>
            </w:pPr>
            <w:r w:rsidRPr="0033290F">
              <w:rPr>
                <w:sz w:val="20"/>
                <w:szCs w:val="20"/>
              </w:rPr>
              <w:lastRenderedPageBreak/>
              <w:t>Nesplněno</w:t>
            </w:r>
          </w:p>
        </w:tc>
        <w:tc>
          <w:tcPr>
            <w:tcW w:w="3118" w:type="dxa"/>
          </w:tcPr>
          <w:p w:rsidR="0014139B" w:rsidRPr="00250A0D" w:rsidRDefault="0033290F" w:rsidP="0014139B">
            <w:pPr>
              <w:spacing w:line="276" w:lineRule="auto"/>
              <w:rPr>
                <w:rFonts w:cs="Arial"/>
                <w:sz w:val="20"/>
                <w:szCs w:val="20"/>
              </w:rPr>
            </w:pPr>
            <w:r w:rsidRPr="0033290F">
              <w:rPr>
                <w:rFonts w:cs="Arial"/>
                <w:sz w:val="20"/>
                <w:szCs w:val="20"/>
              </w:rPr>
              <w:t>Zásada byla implementována v rámci novely vodního zákona (zákon č. 254/2001 Sb.). Rámcová směrnice pro vodní politiku byla plně transponovaná novelou č. 150/2010 Sb. zákona č. 254/2001 Sb. o vodách a o změně některých zákonů (vodní zákon) přijatou v roce 2010 a souvisejícími prováděcími předpisy, které byly přijaty v průběhu roku 2011. Také povodňová směrnice již byla plně transponována.</w:t>
            </w:r>
          </w:p>
          <w:p w:rsidR="0014139B" w:rsidRPr="00250A0D" w:rsidRDefault="0033290F" w:rsidP="0014139B">
            <w:pPr>
              <w:spacing w:line="276" w:lineRule="auto"/>
              <w:rPr>
                <w:rFonts w:cs="Arial"/>
                <w:b/>
                <w:sz w:val="20"/>
                <w:szCs w:val="20"/>
              </w:rPr>
            </w:pPr>
            <w:r w:rsidRPr="0033290F">
              <w:rPr>
                <w:b/>
                <w:sz w:val="20"/>
                <w:szCs w:val="20"/>
              </w:rPr>
              <w:t>Podrobnější specifikace v rámci Akčního plánu 6.1 v příloze č. 7.</w:t>
            </w:r>
          </w:p>
          <w:p w:rsidR="0081416A" w:rsidRPr="00250A0D" w:rsidRDefault="0033290F" w:rsidP="0014139B">
            <w:pPr>
              <w:spacing w:line="276" w:lineRule="auto"/>
              <w:rPr>
                <w:sz w:val="20"/>
                <w:szCs w:val="20"/>
              </w:rPr>
            </w:pPr>
            <w:r w:rsidRPr="0033290F">
              <w:rPr>
                <w:rFonts w:cs="Arial"/>
                <w:sz w:val="20"/>
                <w:szCs w:val="20"/>
              </w:rPr>
              <w:lastRenderedPageBreak/>
              <w:t>.</w:t>
            </w:r>
          </w:p>
        </w:tc>
        <w:tc>
          <w:tcPr>
            <w:tcW w:w="4820" w:type="dxa"/>
          </w:tcPr>
          <w:p w:rsidR="0014139B" w:rsidRPr="00250A0D" w:rsidRDefault="0033290F" w:rsidP="0014139B">
            <w:pPr>
              <w:spacing w:line="276" w:lineRule="auto"/>
              <w:rPr>
                <w:rFonts w:cs="Arial"/>
                <w:sz w:val="20"/>
                <w:szCs w:val="20"/>
              </w:rPr>
            </w:pPr>
            <w:r w:rsidRPr="0033290F">
              <w:rPr>
                <w:rFonts w:cs="Arial"/>
                <w:sz w:val="20"/>
                <w:szCs w:val="20"/>
              </w:rPr>
              <w:lastRenderedPageBreak/>
              <w:t>Působnost ústředního správního orgánu na úseku vodního hospodářství je sdílena mezi čtyřmi ministerstvy. Nejdůležitějšími z nich jsou resorty zemědělství a životního prostředí.</w:t>
            </w:r>
          </w:p>
          <w:p w:rsidR="0014139B" w:rsidRPr="00250A0D" w:rsidRDefault="0033290F" w:rsidP="0014139B">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Ministerstvo dopravy vykonává působnost ústředního vodoprávního úřadu ve věcech užívání povrchových vod k plavbě. </w:t>
            </w:r>
          </w:p>
          <w:p w:rsidR="0014139B" w:rsidRPr="00250A0D" w:rsidRDefault="0033290F" w:rsidP="0014139B">
            <w:pPr>
              <w:spacing w:line="276" w:lineRule="auto"/>
              <w:rPr>
                <w:rFonts w:cs="Arial"/>
                <w:sz w:val="20"/>
                <w:szCs w:val="20"/>
              </w:rPr>
            </w:pPr>
            <w:r w:rsidRPr="0033290F">
              <w:rPr>
                <w:rFonts w:cs="Arial"/>
                <w:sz w:val="20"/>
                <w:szCs w:val="20"/>
              </w:rPr>
              <w:t>Ministerstvo obrany vykonává působnost ústředního vodoprávního úřadu ve věcech, v nichž je založena působnost újezdních úřadů.</w:t>
            </w:r>
          </w:p>
          <w:p w:rsidR="0014139B" w:rsidRPr="00250A0D" w:rsidRDefault="0033290F" w:rsidP="0014139B">
            <w:pPr>
              <w:spacing w:line="276" w:lineRule="auto"/>
              <w:rPr>
                <w:rFonts w:cs="Arial"/>
                <w:sz w:val="20"/>
                <w:szCs w:val="20"/>
              </w:rPr>
            </w:pPr>
            <w:r w:rsidRPr="0033290F">
              <w:rPr>
                <w:rFonts w:cs="Arial"/>
                <w:sz w:val="20"/>
                <w:szCs w:val="20"/>
              </w:rPr>
              <w:t xml:space="preserve">Ministerstvo financí (není ústředním správním úřadem na úseku vodního hospodářství) pak reguluje oblast cen, ve které pomocí věcně usměrňovaných cen vykonává cenovou kontrolu nad vodným a stočným – cenami pitné vody a odvádění a čištění odpadních vod a nad cenami za platby za odběry </w:t>
            </w:r>
            <w:r w:rsidRPr="0033290F">
              <w:rPr>
                <w:rFonts w:cs="Arial"/>
                <w:sz w:val="20"/>
                <w:szCs w:val="20"/>
              </w:rPr>
              <w:lastRenderedPageBreak/>
              <w:t>povrchové vody.</w:t>
            </w:r>
          </w:p>
          <w:p w:rsidR="0081416A" w:rsidRPr="00250A0D" w:rsidRDefault="0081416A" w:rsidP="00821031">
            <w:pPr>
              <w:spacing w:line="276" w:lineRule="auto"/>
              <w:rPr>
                <w:sz w:val="20"/>
                <w:szCs w:val="20"/>
              </w:rPr>
            </w:pPr>
          </w:p>
        </w:tc>
      </w:tr>
      <w:tr w:rsidR="00E121B4" w:rsidRPr="00250A0D" w:rsidTr="000F2740">
        <w:tc>
          <w:tcPr>
            <w:tcW w:w="1384" w:type="dxa"/>
            <w:vMerge/>
          </w:tcPr>
          <w:p w:rsidR="00E121B4" w:rsidRPr="00250A0D" w:rsidRDefault="00E121B4" w:rsidP="00B66FDE">
            <w:pPr>
              <w:spacing w:line="276" w:lineRule="auto"/>
              <w:rPr>
                <w:sz w:val="20"/>
                <w:szCs w:val="20"/>
              </w:rPr>
            </w:pPr>
          </w:p>
        </w:tc>
        <w:tc>
          <w:tcPr>
            <w:tcW w:w="1134" w:type="dxa"/>
            <w:vMerge/>
          </w:tcPr>
          <w:p w:rsidR="00E121B4" w:rsidRPr="00250A0D" w:rsidRDefault="00E121B4" w:rsidP="00B66FDE">
            <w:pPr>
              <w:spacing w:line="276" w:lineRule="auto"/>
              <w:rPr>
                <w:sz w:val="20"/>
                <w:szCs w:val="20"/>
              </w:rPr>
            </w:pPr>
          </w:p>
        </w:tc>
        <w:tc>
          <w:tcPr>
            <w:tcW w:w="1134" w:type="dxa"/>
            <w:vMerge/>
          </w:tcPr>
          <w:p w:rsidR="00E121B4" w:rsidRPr="00250A0D" w:rsidRDefault="00E121B4" w:rsidP="00B66FDE">
            <w:pPr>
              <w:spacing w:line="276" w:lineRule="auto"/>
              <w:rPr>
                <w:sz w:val="20"/>
                <w:szCs w:val="20"/>
              </w:rPr>
            </w:pPr>
          </w:p>
        </w:tc>
        <w:tc>
          <w:tcPr>
            <w:tcW w:w="1418" w:type="dxa"/>
          </w:tcPr>
          <w:p w:rsidR="00E121B4" w:rsidRPr="00250A0D" w:rsidRDefault="0033290F" w:rsidP="00B66FDE">
            <w:pPr>
              <w:spacing w:line="276" w:lineRule="auto"/>
              <w:rPr>
                <w:sz w:val="20"/>
                <w:szCs w:val="20"/>
              </w:rPr>
            </w:pPr>
            <w:r w:rsidRPr="0033290F">
              <w:rPr>
                <w:rFonts w:cs="Arial"/>
                <w:sz w:val="20"/>
                <w:szCs w:val="20"/>
              </w:rPr>
              <w:t xml:space="preserve">Přijetí plánu povodí pro oblasti povodí v souladu s </w:t>
            </w:r>
            <w:r w:rsidRPr="0033290F">
              <w:rPr>
                <w:rFonts w:cs="Arial"/>
                <w:sz w:val="20"/>
                <w:szCs w:val="20"/>
              </w:rPr>
              <w:lastRenderedPageBreak/>
              <w:t xml:space="preserve">článkem 13 směrnice 2006/60/ES </w:t>
            </w:r>
          </w:p>
        </w:tc>
        <w:tc>
          <w:tcPr>
            <w:tcW w:w="1134" w:type="dxa"/>
          </w:tcPr>
          <w:p w:rsidR="00E121B4" w:rsidRPr="00250A0D" w:rsidRDefault="0033290F" w:rsidP="00B66FDE">
            <w:pPr>
              <w:spacing w:line="276" w:lineRule="auto"/>
              <w:rPr>
                <w:sz w:val="20"/>
                <w:szCs w:val="20"/>
              </w:rPr>
            </w:pPr>
            <w:r w:rsidRPr="0033290F">
              <w:rPr>
                <w:sz w:val="20"/>
                <w:szCs w:val="20"/>
              </w:rPr>
              <w:lastRenderedPageBreak/>
              <w:t>Nesplněno</w:t>
            </w:r>
          </w:p>
        </w:tc>
        <w:tc>
          <w:tcPr>
            <w:tcW w:w="3118" w:type="dxa"/>
          </w:tcPr>
          <w:p w:rsidR="00E121B4" w:rsidRPr="00250A0D" w:rsidRDefault="00332B77" w:rsidP="0010234F">
            <w:pPr>
              <w:spacing w:line="276" w:lineRule="auto"/>
              <w:rPr>
                <w:rFonts w:cs="Arial"/>
                <w:sz w:val="20"/>
                <w:szCs w:val="20"/>
              </w:rPr>
            </w:pPr>
            <w:hyperlink r:id="rId67" w:history="1">
              <w:r w:rsidR="0033290F" w:rsidRPr="0033290F">
                <w:rPr>
                  <w:rStyle w:val="Hypertextovodkaz"/>
                  <w:rFonts w:cs="Arial"/>
                  <w:color w:val="auto"/>
                  <w:sz w:val="20"/>
                  <w:szCs w:val="20"/>
                </w:rPr>
                <w:t>http://www.icpdr.org/participate/danube_river_basin_management_plan</w:t>
              </w:r>
            </w:hyperlink>
          </w:p>
          <w:p w:rsidR="00E121B4" w:rsidRPr="00250A0D" w:rsidRDefault="00332B77" w:rsidP="0010234F">
            <w:pPr>
              <w:spacing w:line="276" w:lineRule="auto"/>
              <w:rPr>
                <w:rStyle w:val="Hypertextovodkaz"/>
                <w:rFonts w:cs="Arial"/>
                <w:color w:val="auto"/>
                <w:sz w:val="20"/>
                <w:szCs w:val="20"/>
              </w:rPr>
            </w:pPr>
            <w:hyperlink r:id="rId68" w:history="1">
              <w:r w:rsidR="0033290F" w:rsidRPr="0033290F">
                <w:rPr>
                  <w:rStyle w:val="Hypertextovodkaz"/>
                  <w:rFonts w:cs="Arial"/>
                  <w:color w:val="auto"/>
                  <w:sz w:val="20"/>
                  <w:szCs w:val="20"/>
                </w:rPr>
                <w:t>http://www.ikse-</w:t>
              </w:r>
              <w:r w:rsidR="0033290F" w:rsidRPr="0033290F">
                <w:rPr>
                  <w:rStyle w:val="Hypertextovodkaz"/>
                  <w:rFonts w:cs="Arial"/>
                  <w:color w:val="auto"/>
                  <w:sz w:val="20"/>
                  <w:szCs w:val="20"/>
                </w:rPr>
                <w:lastRenderedPageBreak/>
                <w:t>mkol.org/index.php?id=513&amp;L=1</w:t>
              </w:r>
            </w:hyperlink>
          </w:p>
          <w:p w:rsidR="00E121B4" w:rsidRPr="00250A0D" w:rsidRDefault="00332B77" w:rsidP="0010234F">
            <w:pPr>
              <w:spacing w:line="276" w:lineRule="auto"/>
              <w:rPr>
                <w:rStyle w:val="Hypertextovodkaz"/>
                <w:rFonts w:cs="Arial"/>
                <w:color w:val="auto"/>
                <w:sz w:val="20"/>
                <w:szCs w:val="20"/>
              </w:rPr>
            </w:pPr>
            <w:hyperlink r:id="rId69" w:history="1">
              <w:r w:rsidR="0033290F" w:rsidRPr="0033290F">
                <w:rPr>
                  <w:rStyle w:val="Hypertextovodkaz"/>
                  <w:rFonts w:cs="Arial"/>
                  <w:color w:val="auto"/>
                  <w:sz w:val="20"/>
                  <w:szCs w:val="20"/>
                </w:rPr>
                <w:t>http://www.mkoo.pl/show.php?fid=2808&amp;lang=CZ</w:t>
              </w:r>
            </w:hyperlink>
          </w:p>
          <w:p w:rsidR="00E121B4" w:rsidRPr="00250A0D" w:rsidRDefault="00332B77" w:rsidP="0010234F">
            <w:pPr>
              <w:spacing w:line="276" w:lineRule="auto"/>
              <w:rPr>
                <w:rFonts w:cs="Arial"/>
                <w:sz w:val="20"/>
                <w:szCs w:val="20"/>
              </w:rPr>
            </w:pPr>
            <w:hyperlink r:id="rId70" w:history="1">
              <w:r w:rsidR="0033290F" w:rsidRPr="0033290F">
                <w:rPr>
                  <w:rStyle w:val="Hypertextovodkaz"/>
                  <w:rFonts w:cs="Arial"/>
                  <w:color w:val="auto"/>
                  <w:sz w:val="20"/>
                  <w:szCs w:val="20"/>
                </w:rPr>
                <w:t>http://eagri.cz/public/web/file/32725/PHP_anglicky_web.pdf</w:t>
              </w:r>
            </w:hyperlink>
          </w:p>
          <w:p w:rsidR="00E121B4" w:rsidRPr="00250A0D" w:rsidRDefault="00332B77" w:rsidP="0010234F">
            <w:pPr>
              <w:spacing w:line="276" w:lineRule="auto"/>
              <w:rPr>
                <w:sz w:val="20"/>
                <w:szCs w:val="20"/>
              </w:rPr>
            </w:pPr>
            <w:hyperlink r:id="rId71" w:history="1">
              <w:r w:rsidR="0033290F" w:rsidRPr="0033290F">
                <w:rPr>
                  <w:rStyle w:val="Hypertextovodkaz"/>
                  <w:rFonts w:cs="Arial"/>
                  <w:color w:val="auto"/>
                  <w:sz w:val="20"/>
                  <w:szCs w:val="20"/>
                </w:rPr>
                <w:t>http://www.mzp.cz/cz/plany_narodnich_casti_mezinarodnich_povodi</w:t>
              </w:r>
            </w:hyperlink>
          </w:p>
          <w:p w:rsidR="00E121B4" w:rsidRPr="00250A0D" w:rsidRDefault="00332B77" w:rsidP="0010234F">
            <w:pPr>
              <w:pStyle w:val="Default"/>
              <w:spacing w:afterAutospacing="1"/>
              <w:jc w:val="both"/>
              <w:rPr>
                <w:rFonts w:ascii="Cambria" w:hAnsi="Cambria"/>
                <w:color w:val="auto"/>
                <w:sz w:val="20"/>
                <w:szCs w:val="20"/>
              </w:rPr>
            </w:pPr>
            <w:hyperlink r:id="rId72" w:history="1">
              <w:r w:rsidR="0033290F" w:rsidRPr="0033290F">
                <w:rPr>
                  <w:rStyle w:val="Hypertextovodkaz"/>
                  <w:rFonts w:ascii="Cambria" w:hAnsi="Cambria"/>
                  <w:color w:val="auto"/>
                  <w:sz w:val="20"/>
                  <w:szCs w:val="20"/>
                </w:rPr>
                <w:t>http://www.mzp.cz/C1257458002F0DC7/cz/plan_hlavnich_povodi/$FILE/OOV-PHP-20070523.pdf</w:t>
              </w:r>
            </w:hyperlink>
            <w:r w:rsidR="0033290F" w:rsidRPr="0033290F">
              <w:rPr>
                <w:rFonts w:ascii="Cambria" w:hAnsi="Cambria"/>
                <w:color w:val="auto"/>
                <w:sz w:val="20"/>
                <w:szCs w:val="20"/>
              </w:rPr>
              <w:t xml:space="preserve">  </w:t>
            </w:r>
          </w:p>
          <w:p w:rsidR="00E121B4" w:rsidRPr="00250A0D" w:rsidRDefault="00E121B4" w:rsidP="0010234F">
            <w:pPr>
              <w:spacing w:line="276" w:lineRule="auto"/>
              <w:rPr>
                <w:rFonts w:cs="Arial"/>
                <w:sz w:val="20"/>
                <w:szCs w:val="20"/>
              </w:rPr>
            </w:pPr>
          </w:p>
          <w:p w:rsidR="00E121B4" w:rsidRPr="00250A0D" w:rsidRDefault="00332B77" w:rsidP="0010234F">
            <w:pPr>
              <w:spacing w:line="276" w:lineRule="auto"/>
              <w:rPr>
                <w:rFonts w:cs="Arial"/>
                <w:sz w:val="20"/>
                <w:szCs w:val="20"/>
              </w:rPr>
            </w:pPr>
            <w:hyperlink r:id="rId73" w:history="1">
              <w:r w:rsidR="0033290F" w:rsidRPr="0033290F">
                <w:rPr>
                  <w:rStyle w:val="Hypertextovodkaz"/>
                  <w:rFonts w:cs="Arial"/>
                  <w:color w:val="auto"/>
                  <w:sz w:val="20"/>
                  <w:szCs w:val="20"/>
                </w:rPr>
                <w:t>http://www.mzp.cz/cz/plany_oblasti_povodi</w:t>
              </w:r>
            </w:hyperlink>
            <w:r w:rsidR="0033290F" w:rsidRPr="0033290F">
              <w:rPr>
                <w:rFonts w:cs="Arial"/>
                <w:sz w:val="20"/>
                <w:szCs w:val="20"/>
              </w:rPr>
              <w:t xml:space="preserve"> </w:t>
            </w:r>
          </w:p>
          <w:p w:rsidR="00E121B4" w:rsidRPr="00250A0D" w:rsidRDefault="0033290F" w:rsidP="00B66FDE">
            <w:pPr>
              <w:spacing w:line="276" w:lineRule="auto"/>
              <w:rPr>
                <w:sz w:val="20"/>
                <w:szCs w:val="20"/>
              </w:rPr>
            </w:pPr>
            <w:r w:rsidRPr="0033290F">
              <w:rPr>
                <w:b/>
                <w:sz w:val="20"/>
                <w:szCs w:val="20"/>
              </w:rPr>
              <w:t>Podrobnější specifikace v akčním plánu 5.1 v příloze č. 7.</w:t>
            </w:r>
          </w:p>
        </w:tc>
        <w:tc>
          <w:tcPr>
            <w:tcW w:w="4820" w:type="dxa"/>
          </w:tcPr>
          <w:p w:rsidR="00E121B4" w:rsidRPr="00250A0D" w:rsidRDefault="0033290F" w:rsidP="0010234F">
            <w:pPr>
              <w:spacing w:line="276" w:lineRule="auto"/>
              <w:rPr>
                <w:rFonts w:cs="Arial"/>
                <w:sz w:val="20"/>
                <w:szCs w:val="20"/>
              </w:rPr>
            </w:pPr>
            <w:r w:rsidRPr="0033290F">
              <w:rPr>
                <w:rFonts w:cs="Arial"/>
                <w:sz w:val="20"/>
                <w:szCs w:val="20"/>
              </w:rPr>
              <w:lastRenderedPageBreak/>
              <w:t xml:space="preserve">Byly přijaty plány povodí na třech úrovních (mezinárodní, národní, plány oblastí povodí) zpracování ve stanoveném termínu. Splnění plánovacího období dle Rámcové směrnice o vodách </w:t>
            </w:r>
            <w:r w:rsidRPr="0033290F">
              <w:rPr>
                <w:rFonts w:cs="Arial"/>
                <w:sz w:val="20"/>
                <w:szCs w:val="20"/>
              </w:rPr>
              <w:lastRenderedPageBreak/>
              <w:t xml:space="preserve">2000/60/ES bylo reportováno Evropské komisi. </w:t>
            </w:r>
          </w:p>
          <w:p w:rsidR="00E121B4" w:rsidRPr="00250A0D" w:rsidRDefault="0033290F" w:rsidP="0010234F">
            <w:pPr>
              <w:spacing w:line="276" w:lineRule="auto"/>
              <w:rPr>
                <w:rFonts w:cs="Arial"/>
                <w:sz w:val="20"/>
                <w:szCs w:val="20"/>
              </w:rPr>
            </w:pPr>
            <w:r w:rsidRPr="0033290F">
              <w:rPr>
                <w:rFonts w:cs="Arial"/>
                <w:sz w:val="20"/>
                <w:szCs w:val="20"/>
              </w:rPr>
              <w:t>V současnosti jsou tyto plány v platnosti v příslušných povodích do doby schválení aktualizovaných plánů povodí. Budou zpracovávány plány pro druhé plánovací období v souladu s Rámcovou směrnicí o vodní politice.</w:t>
            </w:r>
          </w:p>
          <w:p w:rsidR="00E121B4" w:rsidRPr="00250A0D" w:rsidRDefault="0033290F" w:rsidP="00821031">
            <w:pPr>
              <w:spacing w:line="276" w:lineRule="auto"/>
              <w:rPr>
                <w:sz w:val="20"/>
                <w:szCs w:val="20"/>
              </w:rPr>
            </w:pPr>
            <w:r w:rsidRPr="0033290F">
              <w:rPr>
                <w:b/>
                <w:sz w:val="20"/>
                <w:szCs w:val="20"/>
              </w:rPr>
              <w:t>Podrobnější specifikace v rámci Akčního plánu 6.1 příloze č. 7.</w:t>
            </w:r>
          </w:p>
        </w:tc>
      </w:tr>
      <w:tr w:rsidR="00E121B4" w:rsidRPr="00250A0D" w:rsidTr="000F2740">
        <w:tc>
          <w:tcPr>
            <w:tcW w:w="1384" w:type="dxa"/>
            <w:vMerge w:val="restart"/>
          </w:tcPr>
          <w:p w:rsidR="00E121B4" w:rsidRPr="00250A0D" w:rsidRDefault="0033290F" w:rsidP="00B66FDE">
            <w:pPr>
              <w:spacing w:line="276" w:lineRule="auto"/>
              <w:rPr>
                <w:sz w:val="20"/>
                <w:szCs w:val="20"/>
              </w:rPr>
            </w:pPr>
            <w:r w:rsidRPr="0033290F">
              <w:rPr>
                <w:rFonts w:cs="Arial"/>
                <w:bCs/>
                <w:sz w:val="20"/>
                <w:szCs w:val="20"/>
              </w:rPr>
              <w:lastRenderedPageBreak/>
              <w:t xml:space="preserve">6.2. </w:t>
            </w:r>
            <w:r w:rsidRPr="0033290F">
              <w:rPr>
                <w:rFonts w:cs="Arial"/>
                <w:bCs/>
                <w:sz w:val="20"/>
                <w:szCs w:val="20"/>
              </w:rPr>
              <w:lastRenderedPageBreak/>
              <w:t xml:space="preserve">Odpadové hospodářství: podpora investic do odpadového hospodářství udržitelných z hospodářského a environmentálního hlediska, zejména vypracování plánů pro nakládání s odpady v souladu se směrnicí 2008/98/ES o odpadech a s hierarchií způsobů nakládání s </w:t>
            </w:r>
            <w:r w:rsidRPr="0033290F">
              <w:rPr>
                <w:rFonts w:cs="Arial"/>
                <w:bCs/>
                <w:sz w:val="20"/>
                <w:szCs w:val="20"/>
              </w:rPr>
              <w:lastRenderedPageBreak/>
              <w:t>odpady.</w:t>
            </w:r>
          </w:p>
        </w:tc>
        <w:tc>
          <w:tcPr>
            <w:tcW w:w="1134" w:type="dxa"/>
            <w:vMerge w:val="restart"/>
          </w:tcPr>
          <w:p w:rsidR="00E121B4" w:rsidRPr="00250A0D" w:rsidRDefault="0033290F" w:rsidP="00B66FDE">
            <w:pPr>
              <w:spacing w:line="276" w:lineRule="auto"/>
              <w:rPr>
                <w:sz w:val="20"/>
                <w:szCs w:val="20"/>
              </w:rPr>
            </w:pPr>
            <w:r w:rsidRPr="0033290F">
              <w:rPr>
                <w:sz w:val="20"/>
                <w:szCs w:val="20"/>
              </w:rPr>
              <w:lastRenderedPageBreak/>
              <w:t xml:space="preserve">Prioritní </w:t>
            </w:r>
            <w:r w:rsidRPr="0033290F">
              <w:rPr>
                <w:sz w:val="20"/>
                <w:szCs w:val="20"/>
              </w:rPr>
              <w:lastRenderedPageBreak/>
              <w:t>osa 3: Odpady a materiálové toky, ekologické zátěže</w:t>
            </w:r>
          </w:p>
        </w:tc>
        <w:tc>
          <w:tcPr>
            <w:tcW w:w="1134" w:type="dxa"/>
            <w:vMerge w:val="restart"/>
          </w:tcPr>
          <w:p w:rsidR="00E121B4" w:rsidRPr="00250A0D" w:rsidRDefault="0033290F" w:rsidP="00B66FDE">
            <w:pPr>
              <w:spacing w:line="276" w:lineRule="auto"/>
              <w:rPr>
                <w:sz w:val="20"/>
                <w:szCs w:val="20"/>
              </w:rPr>
            </w:pPr>
            <w:r w:rsidRPr="0033290F">
              <w:rPr>
                <w:sz w:val="20"/>
                <w:szCs w:val="20"/>
              </w:rPr>
              <w:lastRenderedPageBreak/>
              <w:t>Nesplněno</w:t>
            </w:r>
          </w:p>
        </w:tc>
        <w:tc>
          <w:tcPr>
            <w:tcW w:w="1418" w:type="dxa"/>
          </w:tcPr>
          <w:p w:rsidR="00E121B4" w:rsidRPr="00250A0D" w:rsidRDefault="0033290F" w:rsidP="00B66FDE">
            <w:pPr>
              <w:spacing w:line="276" w:lineRule="auto"/>
              <w:rPr>
                <w:sz w:val="20"/>
                <w:szCs w:val="20"/>
              </w:rPr>
            </w:pPr>
            <w:proofErr w:type="gramStart"/>
            <w:r w:rsidRPr="0033290F">
              <w:rPr>
                <w:sz w:val="20"/>
                <w:szCs w:val="20"/>
              </w:rPr>
              <w:t>Komisi  byla</w:t>
            </w:r>
            <w:proofErr w:type="gramEnd"/>
            <w:r w:rsidRPr="0033290F">
              <w:rPr>
                <w:sz w:val="20"/>
                <w:szCs w:val="20"/>
              </w:rPr>
              <w:t xml:space="preserve"> </w:t>
            </w:r>
            <w:r w:rsidRPr="0033290F">
              <w:rPr>
                <w:sz w:val="20"/>
                <w:szCs w:val="20"/>
              </w:rPr>
              <w:lastRenderedPageBreak/>
              <w:t>předložena zpráva o provádění požadovaná čl. 11 odst. 5 směrnice 2008/98/ES ohledně pokroku při plnění cílů stanovených v článku 11 směrnice 2008/98/ES</w:t>
            </w:r>
            <w:r w:rsidR="00E121B4" w:rsidRPr="00250A0D" w:rsidDel="00E121B4">
              <w:rPr>
                <w:sz w:val="20"/>
                <w:szCs w:val="20"/>
              </w:rPr>
              <w:t xml:space="preserve"> </w:t>
            </w:r>
          </w:p>
        </w:tc>
        <w:tc>
          <w:tcPr>
            <w:tcW w:w="1134" w:type="dxa"/>
          </w:tcPr>
          <w:p w:rsidR="00E121B4" w:rsidRPr="00250A0D" w:rsidRDefault="0033290F" w:rsidP="00B66FDE">
            <w:pPr>
              <w:spacing w:line="276" w:lineRule="auto"/>
              <w:rPr>
                <w:sz w:val="20"/>
                <w:szCs w:val="20"/>
              </w:rPr>
            </w:pPr>
            <w:r w:rsidRPr="0033290F">
              <w:rPr>
                <w:sz w:val="20"/>
                <w:szCs w:val="20"/>
              </w:rPr>
              <w:lastRenderedPageBreak/>
              <w:t>Ano</w:t>
            </w:r>
          </w:p>
        </w:tc>
        <w:tc>
          <w:tcPr>
            <w:tcW w:w="3118" w:type="dxa"/>
          </w:tcPr>
          <w:p w:rsidR="00E121B4" w:rsidRPr="00250A0D" w:rsidRDefault="0033290F" w:rsidP="00B66FDE">
            <w:pPr>
              <w:spacing w:line="276" w:lineRule="auto"/>
              <w:rPr>
                <w:sz w:val="20"/>
                <w:szCs w:val="20"/>
              </w:rPr>
            </w:pPr>
            <w:r w:rsidRPr="0033290F">
              <w:rPr>
                <w:sz w:val="20"/>
                <w:szCs w:val="20"/>
              </w:rPr>
              <w:t xml:space="preserve">Splněno dle požadavku čl. 11 </w:t>
            </w:r>
            <w:r w:rsidRPr="0033290F">
              <w:rPr>
                <w:sz w:val="20"/>
                <w:szCs w:val="20"/>
              </w:rPr>
              <w:lastRenderedPageBreak/>
              <w:t>odst. 5 směrnice 2008/98/ES zasláním dotazníku dne 16. 10. 2013 na EK.</w:t>
            </w:r>
          </w:p>
        </w:tc>
        <w:tc>
          <w:tcPr>
            <w:tcW w:w="4820" w:type="dxa"/>
          </w:tcPr>
          <w:p w:rsidR="00E121B4" w:rsidRPr="00250A0D" w:rsidRDefault="0033290F" w:rsidP="00821031">
            <w:pPr>
              <w:spacing w:line="276" w:lineRule="auto"/>
              <w:rPr>
                <w:sz w:val="20"/>
                <w:szCs w:val="20"/>
              </w:rPr>
            </w:pPr>
            <w:r w:rsidRPr="0033290F">
              <w:rPr>
                <w:rFonts w:cs="Arial"/>
                <w:sz w:val="20"/>
                <w:szCs w:val="20"/>
              </w:rPr>
              <w:lastRenderedPageBreak/>
              <w:t xml:space="preserve">Dne 16. 10. 2013 byl Evropské komisi předložen </w:t>
            </w:r>
            <w:r w:rsidRPr="0033290F">
              <w:rPr>
                <w:rFonts w:cs="Arial"/>
                <w:sz w:val="20"/>
                <w:szCs w:val="20"/>
              </w:rPr>
              <w:lastRenderedPageBreak/>
              <w:t>Dotazník „Pro zprávy členských států o provádění směrnice Evropského parlamentu a Rady 2008/98/ES o odpadech“., ze kterého Evropská komise dovozuje pokrok při plnění cílů uvedených v čl. 11 směrnice 2008/98 ES.</w:t>
            </w:r>
          </w:p>
        </w:tc>
      </w:tr>
      <w:tr w:rsidR="00E121B4" w:rsidRPr="00250A0D" w:rsidTr="000F2740">
        <w:tc>
          <w:tcPr>
            <w:tcW w:w="1384" w:type="dxa"/>
            <w:vMerge/>
          </w:tcPr>
          <w:p w:rsidR="00E121B4" w:rsidRPr="00250A0D" w:rsidRDefault="00E121B4" w:rsidP="00B66FDE">
            <w:pPr>
              <w:spacing w:line="276" w:lineRule="auto"/>
              <w:rPr>
                <w:sz w:val="20"/>
                <w:szCs w:val="20"/>
              </w:rPr>
            </w:pPr>
          </w:p>
        </w:tc>
        <w:tc>
          <w:tcPr>
            <w:tcW w:w="1134" w:type="dxa"/>
            <w:vMerge/>
          </w:tcPr>
          <w:p w:rsidR="00E121B4" w:rsidRPr="00250A0D" w:rsidRDefault="00E121B4" w:rsidP="00B66FDE">
            <w:pPr>
              <w:spacing w:line="276" w:lineRule="auto"/>
              <w:rPr>
                <w:sz w:val="20"/>
                <w:szCs w:val="20"/>
              </w:rPr>
            </w:pPr>
          </w:p>
        </w:tc>
        <w:tc>
          <w:tcPr>
            <w:tcW w:w="1134" w:type="dxa"/>
            <w:vMerge/>
          </w:tcPr>
          <w:p w:rsidR="00E121B4" w:rsidRPr="00250A0D" w:rsidRDefault="00E121B4" w:rsidP="00B66FDE">
            <w:pPr>
              <w:spacing w:line="276" w:lineRule="auto"/>
              <w:rPr>
                <w:sz w:val="20"/>
                <w:szCs w:val="20"/>
              </w:rPr>
            </w:pPr>
          </w:p>
        </w:tc>
        <w:tc>
          <w:tcPr>
            <w:tcW w:w="1418" w:type="dxa"/>
          </w:tcPr>
          <w:p w:rsidR="00E121B4" w:rsidRPr="00250A0D" w:rsidRDefault="0033290F" w:rsidP="00B66FDE">
            <w:pPr>
              <w:spacing w:line="276" w:lineRule="auto"/>
              <w:rPr>
                <w:sz w:val="20"/>
                <w:szCs w:val="20"/>
              </w:rPr>
            </w:pPr>
            <w:r w:rsidRPr="0033290F">
              <w:rPr>
                <w:rFonts w:cs="Arial"/>
                <w:sz w:val="20"/>
                <w:szCs w:val="20"/>
              </w:rPr>
              <w:t>Existence jednoho nebo více plánů pro nakládání s</w:t>
            </w:r>
            <w:r w:rsidR="00E121B4" w:rsidRPr="00250A0D">
              <w:rPr>
                <w:rFonts w:cs="Arial"/>
                <w:sz w:val="20"/>
                <w:szCs w:val="20"/>
              </w:rPr>
              <w:t> </w:t>
            </w:r>
            <w:r w:rsidRPr="0033290F">
              <w:rPr>
                <w:rFonts w:cs="Arial"/>
                <w:sz w:val="20"/>
                <w:szCs w:val="20"/>
              </w:rPr>
              <w:t>odpady</w:t>
            </w:r>
            <w:r w:rsidR="00E121B4" w:rsidRPr="00250A0D">
              <w:rPr>
                <w:rFonts w:cs="Arial"/>
                <w:sz w:val="20"/>
                <w:szCs w:val="20"/>
              </w:rPr>
              <w:t>, jak požaduje</w:t>
            </w:r>
            <w:r w:rsidRPr="0033290F">
              <w:rPr>
                <w:rFonts w:cs="Arial"/>
                <w:sz w:val="20"/>
                <w:szCs w:val="20"/>
              </w:rPr>
              <w:t xml:space="preserve"> člán</w:t>
            </w:r>
            <w:r w:rsidR="00E121B4" w:rsidRPr="00250A0D">
              <w:rPr>
                <w:rFonts w:cs="Arial"/>
                <w:sz w:val="20"/>
                <w:szCs w:val="20"/>
              </w:rPr>
              <w:t>ek</w:t>
            </w:r>
            <w:r w:rsidRPr="0033290F">
              <w:rPr>
                <w:rFonts w:cs="Arial"/>
                <w:sz w:val="20"/>
                <w:szCs w:val="20"/>
              </w:rPr>
              <w:t xml:space="preserve"> 28 směrnice 2008/98/ES,</w:t>
            </w:r>
          </w:p>
        </w:tc>
        <w:tc>
          <w:tcPr>
            <w:tcW w:w="1134" w:type="dxa"/>
          </w:tcPr>
          <w:p w:rsidR="00E121B4" w:rsidRPr="00250A0D" w:rsidRDefault="0033290F" w:rsidP="00B66FDE">
            <w:pPr>
              <w:spacing w:line="276" w:lineRule="auto"/>
              <w:rPr>
                <w:sz w:val="20"/>
                <w:szCs w:val="20"/>
              </w:rPr>
            </w:pPr>
            <w:r w:rsidRPr="0033290F">
              <w:rPr>
                <w:sz w:val="20"/>
                <w:szCs w:val="20"/>
                <w:u w:val="single"/>
              </w:rPr>
              <w:t>Ano</w:t>
            </w:r>
          </w:p>
        </w:tc>
        <w:tc>
          <w:tcPr>
            <w:tcW w:w="3118" w:type="dxa"/>
          </w:tcPr>
          <w:p w:rsidR="00E121B4" w:rsidRPr="00250A0D" w:rsidRDefault="0033290F" w:rsidP="00B66FDE">
            <w:pPr>
              <w:spacing w:line="276" w:lineRule="auto"/>
              <w:rPr>
                <w:sz w:val="20"/>
                <w:szCs w:val="20"/>
              </w:rPr>
            </w:pPr>
            <w:r w:rsidRPr="0033290F">
              <w:rPr>
                <w:sz w:val="20"/>
                <w:szCs w:val="20"/>
              </w:rPr>
              <w:t>Nařízení vlády č. 197/2003 Sb. a nařízení vlády č. 181/2013 Sb.</w:t>
            </w:r>
          </w:p>
        </w:tc>
        <w:tc>
          <w:tcPr>
            <w:tcW w:w="4820" w:type="dxa"/>
          </w:tcPr>
          <w:p w:rsidR="00E121B4" w:rsidRPr="00250A0D" w:rsidRDefault="0033290F" w:rsidP="00E121B4">
            <w:pPr>
              <w:spacing w:line="276" w:lineRule="auto"/>
              <w:rPr>
                <w:sz w:val="20"/>
                <w:szCs w:val="20"/>
              </w:rPr>
            </w:pPr>
            <w:bookmarkStart w:id="3469" w:name="OLE_LINK1"/>
            <w:bookmarkStart w:id="3470" w:name="OLE_LINK2"/>
            <w:r w:rsidRPr="0033290F">
              <w:rPr>
                <w:sz w:val="20"/>
                <w:szCs w:val="20"/>
              </w:rPr>
              <w:t xml:space="preserve">V současnosti je platný Plán odpadového hospodářství (POH) z roku 2003. </w:t>
            </w:r>
            <w:proofErr w:type="gramStart"/>
            <w:r w:rsidRPr="0033290F">
              <w:rPr>
                <w:sz w:val="20"/>
                <w:szCs w:val="20"/>
              </w:rPr>
              <w:t>POH</w:t>
            </w:r>
            <w:proofErr w:type="gramEnd"/>
            <w:r w:rsidRPr="0033290F">
              <w:rPr>
                <w:sz w:val="20"/>
                <w:szCs w:val="20"/>
              </w:rPr>
              <w:t xml:space="preserve"> ČR </w:t>
            </w:r>
            <w:proofErr w:type="gramStart"/>
            <w:r w:rsidRPr="0033290F">
              <w:rPr>
                <w:sz w:val="20"/>
                <w:szCs w:val="20"/>
              </w:rPr>
              <w:t>byl</w:t>
            </w:r>
            <w:proofErr w:type="gramEnd"/>
            <w:r w:rsidRPr="0033290F">
              <w:rPr>
                <w:sz w:val="20"/>
                <w:szCs w:val="20"/>
              </w:rPr>
              <w:t xml:space="preserve"> vyhlášen nařízením vlády č.197/2003 Sb., </w:t>
            </w:r>
            <w:r w:rsidRPr="0033290F">
              <w:rPr>
                <w:sz w:val="20"/>
                <w:szCs w:val="20"/>
              </w:rPr>
              <w:br/>
              <w:t xml:space="preserve">ze dne 4. června 2003 </w:t>
            </w:r>
            <w:r w:rsidRPr="0033290F">
              <w:rPr>
                <w:sz w:val="20"/>
                <w:szCs w:val="20"/>
              </w:rPr>
              <w:br/>
              <w:t xml:space="preserve">a je zpracován na dobu nejméně 10 let (původně do 1. 7. 2013). </w:t>
            </w:r>
          </w:p>
          <w:p w:rsidR="00E121B4" w:rsidRPr="00250A0D" w:rsidRDefault="0033290F" w:rsidP="00E121B4">
            <w:pPr>
              <w:spacing w:line="276" w:lineRule="auto"/>
              <w:rPr>
                <w:sz w:val="20"/>
                <w:szCs w:val="20"/>
              </w:rPr>
            </w:pPr>
            <w:r w:rsidRPr="0033290F">
              <w:rPr>
                <w:sz w:val="20"/>
                <w:szCs w:val="20"/>
              </w:rPr>
              <w:t xml:space="preserve">Platnost stávajícího POH </w:t>
            </w:r>
            <w:proofErr w:type="gramStart"/>
            <w:r w:rsidRPr="0033290F">
              <w:rPr>
                <w:sz w:val="20"/>
                <w:szCs w:val="20"/>
              </w:rPr>
              <w:t>ČR však</w:t>
            </w:r>
            <w:proofErr w:type="gramEnd"/>
            <w:r w:rsidRPr="0033290F">
              <w:rPr>
                <w:sz w:val="20"/>
                <w:szCs w:val="20"/>
              </w:rPr>
              <w:t xml:space="preserve"> byla prodloužena, </w:t>
            </w:r>
            <w:r w:rsidRPr="0033290F">
              <w:rPr>
                <w:sz w:val="20"/>
                <w:szCs w:val="20"/>
              </w:rPr>
              <w:br/>
              <w:t xml:space="preserve">a to do konce roku 2014 vydáním nařízení vlády č. 181/2013 Sb., ze dne 19. června 2013, které nabylo účinnosti dne 1. července 2013 </w:t>
            </w:r>
            <w:r w:rsidRPr="0033290F">
              <w:rPr>
                <w:sz w:val="20"/>
                <w:szCs w:val="20"/>
              </w:rPr>
              <w:br/>
            </w:r>
            <w:r w:rsidRPr="0033290F">
              <w:rPr>
                <w:sz w:val="20"/>
                <w:szCs w:val="20"/>
              </w:rPr>
              <w:lastRenderedPageBreak/>
              <w:t xml:space="preserve">a kterým se mění nařízení vlády </w:t>
            </w:r>
            <w:r w:rsidRPr="0033290F">
              <w:rPr>
                <w:sz w:val="20"/>
                <w:szCs w:val="20"/>
              </w:rPr>
              <w:br/>
              <w:t>č. 473/2009 Sb.</w:t>
            </w:r>
          </w:p>
          <w:p w:rsidR="00E121B4" w:rsidRPr="00250A0D" w:rsidRDefault="0033290F" w:rsidP="00E121B4">
            <w:pPr>
              <w:spacing w:line="276" w:lineRule="auto"/>
              <w:rPr>
                <w:sz w:val="20"/>
                <w:szCs w:val="20"/>
              </w:rPr>
            </w:pPr>
            <w:r w:rsidRPr="0033290F">
              <w:rPr>
                <w:sz w:val="20"/>
                <w:szCs w:val="20"/>
              </w:rPr>
              <w:t xml:space="preserve">K nově zpracovanému POH ČR bylo v průběhu </w:t>
            </w:r>
            <w:proofErr w:type="gramStart"/>
            <w:r w:rsidRPr="0033290F">
              <w:rPr>
                <w:sz w:val="20"/>
                <w:szCs w:val="20"/>
              </w:rPr>
              <w:t>května  roku</w:t>
            </w:r>
            <w:proofErr w:type="gramEnd"/>
            <w:r w:rsidRPr="0033290F">
              <w:rPr>
                <w:sz w:val="20"/>
                <w:szCs w:val="20"/>
              </w:rPr>
              <w:t xml:space="preserve"> 2014 zahájeno posuzování vlivů koncepce na životní prostředí (proces SEA). </w:t>
            </w:r>
          </w:p>
          <w:p w:rsidR="00E121B4" w:rsidRPr="00250A0D" w:rsidRDefault="0033290F" w:rsidP="00E121B4">
            <w:pPr>
              <w:spacing w:line="276" w:lineRule="auto"/>
              <w:rPr>
                <w:sz w:val="20"/>
                <w:szCs w:val="20"/>
              </w:rPr>
            </w:pPr>
            <w:r w:rsidRPr="0033290F">
              <w:rPr>
                <w:sz w:val="20"/>
                <w:szCs w:val="20"/>
              </w:rPr>
              <w:t xml:space="preserve">Nový </w:t>
            </w:r>
            <w:proofErr w:type="gramStart"/>
            <w:r w:rsidRPr="0033290F">
              <w:rPr>
                <w:sz w:val="20"/>
                <w:szCs w:val="20"/>
              </w:rPr>
              <w:t>POH</w:t>
            </w:r>
            <w:proofErr w:type="gramEnd"/>
            <w:r w:rsidRPr="0033290F">
              <w:rPr>
                <w:sz w:val="20"/>
                <w:szCs w:val="20"/>
              </w:rPr>
              <w:t xml:space="preserve"> ČR </w:t>
            </w:r>
            <w:proofErr w:type="gramStart"/>
            <w:r w:rsidRPr="0033290F">
              <w:rPr>
                <w:sz w:val="20"/>
                <w:szCs w:val="20"/>
              </w:rPr>
              <w:t>bude</w:t>
            </w:r>
            <w:proofErr w:type="gramEnd"/>
            <w:r w:rsidRPr="0033290F">
              <w:rPr>
                <w:sz w:val="20"/>
                <w:szCs w:val="20"/>
              </w:rPr>
              <w:t xml:space="preserve"> předložen vládě ČR </w:t>
            </w:r>
            <w:r w:rsidRPr="0033290F">
              <w:rPr>
                <w:sz w:val="20"/>
                <w:szCs w:val="20"/>
              </w:rPr>
              <w:br/>
              <w:t xml:space="preserve">do konce roku 2014 tak, aby mohl být vydán jejím nařízením (platnost nového POH ČR od 1. 1. 2015). Do této doby </w:t>
            </w:r>
            <w:proofErr w:type="gramStart"/>
            <w:r w:rsidRPr="0033290F">
              <w:rPr>
                <w:sz w:val="20"/>
                <w:szCs w:val="20"/>
              </w:rPr>
              <w:t>zůstává</w:t>
            </w:r>
            <w:proofErr w:type="gramEnd"/>
            <w:r w:rsidRPr="0033290F">
              <w:rPr>
                <w:sz w:val="20"/>
                <w:szCs w:val="20"/>
              </w:rPr>
              <w:t xml:space="preserve"> </w:t>
            </w:r>
            <w:r w:rsidRPr="0033290F">
              <w:rPr>
                <w:sz w:val="20"/>
                <w:szCs w:val="20"/>
              </w:rPr>
              <w:br/>
              <w:t xml:space="preserve">v platnosti stávající </w:t>
            </w:r>
            <w:proofErr w:type="gramStart"/>
            <w:r w:rsidRPr="0033290F">
              <w:rPr>
                <w:sz w:val="20"/>
                <w:szCs w:val="20"/>
              </w:rPr>
              <w:t>POH</w:t>
            </w:r>
            <w:proofErr w:type="gramEnd"/>
            <w:r w:rsidRPr="0033290F">
              <w:rPr>
                <w:sz w:val="20"/>
                <w:szCs w:val="20"/>
              </w:rPr>
              <w:t xml:space="preserve"> ČR. To znamená, že ČR </w:t>
            </w:r>
            <w:proofErr w:type="gramStart"/>
            <w:r w:rsidRPr="0033290F">
              <w:rPr>
                <w:sz w:val="20"/>
                <w:szCs w:val="20"/>
              </w:rPr>
              <w:t>bude</w:t>
            </w:r>
            <w:proofErr w:type="gramEnd"/>
            <w:r w:rsidRPr="0033290F">
              <w:rPr>
                <w:sz w:val="20"/>
                <w:szCs w:val="20"/>
              </w:rPr>
              <w:t xml:space="preserve"> mít v každém okamžiku platný nejméně jeden </w:t>
            </w:r>
            <w:proofErr w:type="gramStart"/>
            <w:r w:rsidRPr="0033290F">
              <w:rPr>
                <w:sz w:val="20"/>
                <w:szCs w:val="20"/>
              </w:rPr>
              <w:t>POH</w:t>
            </w:r>
            <w:proofErr w:type="gramEnd"/>
            <w:r w:rsidRPr="0033290F">
              <w:rPr>
                <w:sz w:val="20"/>
                <w:szCs w:val="20"/>
              </w:rPr>
              <w:t>.</w:t>
            </w:r>
          </w:p>
          <w:p w:rsidR="00674BC9" w:rsidRDefault="0033290F">
            <w:pPr>
              <w:rPr>
                <w:sz w:val="20"/>
                <w:szCs w:val="20"/>
              </w:rPr>
            </w:pPr>
            <w:r w:rsidRPr="0033290F">
              <w:rPr>
                <w:b/>
                <w:sz w:val="20"/>
                <w:szCs w:val="20"/>
              </w:rPr>
              <w:t>Podrobnější specifikace v rámci Akčního plánu 6.2 v příloze č. 7.</w:t>
            </w:r>
            <w:bookmarkEnd w:id="3469"/>
            <w:bookmarkEnd w:id="3470"/>
          </w:p>
        </w:tc>
      </w:tr>
      <w:tr w:rsidR="00E121B4" w:rsidRPr="00250A0D" w:rsidTr="000F2740">
        <w:tc>
          <w:tcPr>
            <w:tcW w:w="1384" w:type="dxa"/>
            <w:vMerge/>
          </w:tcPr>
          <w:p w:rsidR="00E121B4" w:rsidRPr="00250A0D" w:rsidRDefault="00E121B4" w:rsidP="00B66FDE">
            <w:pPr>
              <w:spacing w:line="276" w:lineRule="auto"/>
              <w:rPr>
                <w:sz w:val="20"/>
                <w:szCs w:val="20"/>
              </w:rPr>
            </w:pPr>
          </w:p>
        </w:tc>
        <w:tc>
          <w:tcPr>
            <w:tcW w:w="1134" w:type="dxa"/>
            <w:vMerge/>
          </w:tcPr>
          <w:p w:rsidR="00E121B4" w:rsidRPr="00250A0D" w:rsidRDefault="00E121B4" w:rsidP="00B66FDE">
            <w:pPr>
              <w:spacing w:line="276" w:lineRule="auto"/>
              <w:rPr>
                <w:sz w:val="20"/>
                <w:szCs w:val="20"/>
              </w:rPr>
            </w:pPr>
          </w:p>
        </w:tc>
        <w:tc>
          <w:tcPr>
            <w:tcW w:w="1134" w:type="dxa"/>
            <w:vMerge/>
          </w:tcPr>
          <w:p w:rsidR="00E121B4" w:rsidRPr="00250A0D" w:rsidRDefault="00E121B4" w:rsidP="00B66FDE">
            <w:pPr>
              <w:spacing w:line="276" w:lineRule="auto"/>
              <w:rPr>
                <w:sz w:val="20"/>
                <w:szCs w:val="20"/>
              </w:rPr>
            </w:pPr>
          </w:p>
        </w:tc>
        <w:tc>
          <w:tcPr>
            <w:tcW w:w="1418" w:type="dxa"/>
          </w:tcPr>
          <w:p w:rsidR="00E121B4" w:rsidRPr="00250A0D" w:rsidRDefault="0033290F" w:rsidP="00B66FDE">
            <w:pPr>
              <w:spacing w:line="276" w:lineRule="auto"/>
              <w:rPr>
                <w:sz w:val="20"/>
                <w:szCs w:val="20"/>
              </w:rPr>
            </w:pPr>
            <w:r w:rsidRPr="0033290F">
              <w:rPr>
                <w:sz w:val="20"/>
                <w:szCs w:val="20"/>
              </w:rPr>
              <w:t>Existence programu na předcházení vzniku odpadů, jak vyžaduje článek 29 směrnice 2008/98/ES.</w:t>
            </w:r>
          </w:p>
        </w:tc>
        <w:tc>
          <w:tcPr>
            <w:tcW w:w="1134" w:type="dxa"/>
          </w:tcPr>
          <w:p w:rsidR="00E121B4" w:rsidRPr="00250A0D" w:rsidRDefault="0033290F" w:rsidP="00B66FDE">
            <w:pPr>
              <w:spacing w:line="276" w:lineRule="auto"/>
              <w:rPr>
                <w:sz w:val="20"/>
                <w:szCs w:val="20"/>
              </w:rPr>
            </w:pPr>
            <w:r w:rsidRPr="0033290F">
              <w:rPr>
                <w:sz w:val="20"/>
                <w:szCs w:val="20"/>
              </w:rPr>
              <w:t>Nesplněno</w:t>
            </w:r>
          </w:p>
        </w:tc>
        <w:tc>
          <w:tcPr>
            <w:tcW w:w="3118" w:type="dxa"/>
          </w:tcPr>
          <w:p w:rsidR="00E121B4" w:rsidRPr="00250A0D" w:rsidRDefault="0033290F" w:rsidP="00B66FDE">
            <w:pPr>
              <w:spacing w:line="276" w:lineRule="auto"/>
              <w:rPr>
                <w:sz w:val="20"/>
                <w:szCs w:val="20"/>
              </w:rPr>
            </w:pPr>
            <w:r w:rsidRPr="0033290F">
              <w:rPr>
                <w:sz w:val="20"/>
                <w:szCs w:val="20"/>
              </w:rPr>
              <w:t>Předloženo vládě na vědomí 18. 12. 2013.</w:t>
            </w:r>
          </w:p>
        </w:tc>
        <w:tc>
          <w:tcPr>
            <w:tcW w:w="4820" w:type="dxa"/>
          </w:tcPr>
          <w:p w:rsidR="00E121B4" w:rsidRPr="00250A0D" w:rsidRDefault="0033290F" w:rsidP="0010234F">
            <w:pPr>
              <w:spacing w:line="276" w:lineRule="auto"/>
              <w:rPr>
                <w:rFonts w:cs="Helv"/>
                <w:sz w:val="20"/>
                <w:szCs w:val="20"/>
              </w:rPr>
            </w:pPr>
            <w:r w:rsidRPr="0033290F">
              <w:rPr>
                <w:sz w:val="20"/>
                <w:szCs w:val="20"/>
              </w:rPr>
              <w:t xml:space="preserve">Stav ke dni 20. 6. 2014 – Předpokládaný termín dokončení procesu SEA 7/2014. Po vydání stanoviska SEA bude Program předložen vládě ČR ke schválení a následně bude Program zaslán na EK. Termín předložení vládě je konec 8/2014. </w:t>
            </w:r>
            <w:r w:rsidRPr="0033290F">
              <w:rPr>
                <w:rFonts w:cs="Helv"/>
                <w:sz w:val="20"/>
                <w:szCs w:val="20"/>
              </w:rPr>
              <w:t xml:space="preserve">Cíle a opatření, uvedená v dokumentu, jsou promítnuty do návrhu nového Plánu odpadového hospodářství ČR, který bude účinný 1. 1. 2015.  </w:t>
            </w:r>
          </w:p>
          <w:p w:rsidR="00674BC9" w:rsidRDefault="0033290F">
            <w:pPr>
              <w:rPr>
                <w:sz w:val="20"/>
                <w:szCs w:val="20"/>
              </w:rPr>
            </w:pPr>
            <w:r w:rsidRPr="0033290F">
              <w:rPr>
                <w:b/>
                <w:sz w:val="20"/>
                <w:szCs w:val="20"/>
              </w:rPr>
              <w:lastRenderedPageBreak/>
              <w:t>Podrobnější specifikace v rámci Akčního plánu 6.2 v příloze č. 7.</w:t>
            </w:r>
          </w:p>
        </w:tc>
      </w:tr>
      <w:tr w:rsidR="00E121B4" w:rsidRPr="00250A0D" w:rsidTr="000F2740">
        <w:tc>
          <w:tcPr>
            <w:tcW w:w="1384" w:type="dxa"/>
            <w:vMerge/>
          </w:tcPr>
          <w:p w:rsidR="00E121B4" w:rsidRPr="00250A0D" w:rsidRDefault="00E121B4" w:rsidP="00B66FDE">
            <w:pPr>
              <w:spacing w:line="276" w:lineRule="auto"/>
              <w:rPr>
                <w:sz w:val="20"/>
                <w:szCs w:val="20"/>
              </w:rPr>
            </w:pPr>
          </w:p>
        </w:tc>
        <w:tc>
          <w:tcPr>
            <w:tcW w:w="1134" w:type="dxa"/>
            <w:vMerge/>
          </w:tcPr>
          <w:p w:rsidR="00E121B4" w:rsidRPr="00250A0D" w:rsidRDefault="00E121B4" w:rsidP="00B66FDE">
            <w:pPr>
              <w:spacing w:line="276" w:lineRule="auto"/>
              <w:rPr>
                <w:sz w:val="20"/>
                <w:szCs w:val="20"/>
              </w:rPr>
            </w:pPr>
          </w:p>
        </w:tc>
        <w:tc>
          <w:tcPr>
            <w:tcW w:w="1134" w:type="dxa"/>
            <w:vMerge/>
          </w:tcPr>
          <w:p w:rsidR="00E121B4" w:rsidRPr="00250A0D" w:rsidRDefault="00E121B4" w:rsidP="00B66FDE">
            <w:pPr>
              <w:spacing w:line="276" w:lineRule="auto"/>
              <w:rPr>
                <w:sz w:val="20"/>
                <w:szCs w:val="20"/>
              </w:rPr>
            </w:pPr>
          </w:p>
        </w:tc>
        <w:tc>
          <w:tcPr>
            <w:tcW w:w="1418" w:type="dxa"/>
          </w:tcPr>
          <w:p w:rsidR="00E121B4" w:rsidRPr="00250A0D" w:rsidRDefault="0033290F" w:rsidP="00B66FDE">
            <w:pPr>
              <w:spacing w:line="276" w:lineRule="auto"/>
              <w:rPr>
                <w:sz w:val="20"/>
                <w:szCs w:val="20"/>
              </w:rPr>
            </w:pPr>
            <w:r w:rsidRPr="0033290F">
              <w:rPr>
                <w:rFonts w:cs="Arial"/>
                <w:sz w:val="20"/>
                <w:szCs w:val="20"/>
              </w:rPr>
              <w:t xml:space="preserve">Byla přijata </w:t>
            </w:r>
            <w:r w:rsidR="00E121B4" w:rsidRPr="00250A0D">
              <w:rPr>
                <w:rFonts w:cs="Arial"/>
                <w:sz w:val="20"/>
                <w:szCs w:val="20"/>
              </w:rPr>
              <w:t xml:space="preserve">nezbytná </w:t>
            </w:r>
            <w:proofErr w:type="gramStart"/>
            <w:r w:rsidRPr="0033290F">
              <w:rPr>
                <w:rFonts w:cs="Arial"/>
                <w:sz w:val="20"/>
                <w:szCs w:val="20"/>
              </w:rPr>
              <w:t>opatření  k dosažení</w:t>
            </w:r>
            <w:proofErr w:type="gramEnd"/>
            <w:r w:rsidRPr="0033290F">
              <w:rPr>
                <w:rFonts w:cs="Arial"/>
                <w:sz w:val="20"/>
                <w:szCs w:val="20"/>
              </w:rPr>
              <w:t xml:space="preserve"> cílů týkající</w:t>
            </w:r>
            <w:r w:rsidR="00E121B4" w:rsidRPr="00250A0D">
              <w:rPr>
                <w:rFonts w:cs="Arial"/>
                <w:sz w:val="20"/>
                <w:szCs w:val="20"/>
              </w:rPr>
              <w:t>ch</w:t>
            </w:r>
            <w:r w:rsidRPr="0033290F">
              <w:rPr>
                <w:rFonts w:cs="Arial"/>
                <w:sz w:val="20"/>
                <w:szCs w:val="20"/>
              </w:rPr>
              <w:t xml:space="preserve"> se přípravy na opětovné použití a recyklaci odpadů do roku 2020 v souladu s čl. 11 odst. 2 směrnice 2008/98/ES.</w:t>
            </w:r>
          </w:p>
        </w:tc>
        <w:tc>
          <w:tcPr>
            <w:tcW w:w="1134" w:type="dxa"/>
          </w:tcPr>
          <w:p w:rsidR="00E121B4" w:rsidRPr="00250A0D" w:rsidRDefault="0033290F" w:rsidP="00B66FDE">
            <w:pPr>
              <w:spacing w:line="276" w:lineRule="auto"/>
              <w:rPr>
                <w:sz w:val="20"/>
                <w:szCs w:val="20"/>
              </w:rPr>
            </w:pPr>
            <w:r w:rsidRPr="0033290F">
              <w:rPr>
                <w:sz w:val="20"/>
                <w:szCs w:val="20"/>
              </w:rPr>
              <w:t>Nesplněno</w:t>
            </w:r>
          </w:p>
        </w:tc>
        <w:tc>
          <w:tcPr>
            <w:tcW w:w="3118" w:type="dxa"/>
          </w:tcPr>
          <w:p w:rsidR="00E121B4" w:rsidRPr="00250A0D" w:rsidRDefault="0033290F" w:rsidP="00B66FDE">
            <w:pPr>
              <w:spacing w:line="276" w:lineRule="auto"/>
              <w:rPr>
                <w:sz w:val="20"/>
                <w:szCs w:val="20"/>
              </w:rPr>
            </w:pPr>
            <w:r w:rsidRPr="0033290F">
              <w:rPr>
                <w:sz w:val="20"/>
                <w:szCs w:val="20"/>
              </w:rPr>
              <w:t>Zákon 477/2001 Sb., o obalech, § 9 odst. 10.</w:t>
            </w:r>
          </w:p>
        </w:tc>
        <w:tc>
          <w:tcPr>
            <w:tcW w:w="4820" w:type="dxa"/>
          </w:tcPr>
          <w:p w:rsidR="00E121B4" w:rsidRPr="00250A0D" w:rsidRDefault="0033290F" w:rsidP="00E121B4">
            <w:pPr>
              <w:spacing w:line="276" w:lineRule="auto"/>
              <w:rPr>
                <w:sz w:val="20"/>
                <w:szCs w:val="20"/>
              </w:rPr>
            </w:pPr>
            <w:r w:rsidRPr="0033290F">
              <w:rPr>
                <w:sz w:val="20"/>
                <w:szCs w:val="20"/>
              </w:rPr>
              <w:t xml:space="preserve">Česká republika v současné době postupně naplňuje cíle dle čl. 11 odst. </w:t>
            </w:r>
            <w:r w:rsidRPr="0033290F">
              <w:rPr>
                <w:sz w:val="20"/>
                <w:szCs w:val="20"/>
              </w:rPr>
              <w:br/>
              <w:t xml:space="preserve">2 směrnice 2008/98/ES dle zvolené metodiky </w:t>
            </w:r>
            <w:r w:rsidRPr="0033290F">
              <w:rPr>
                <w:sz w:val="20"/>
                <w:szCs w:val="20"/>
              </w:rPr>
              <w:br/>
              <w:t xml:space="preserve">(2 ze 4 EK nabízených). Je zde však nejistota spočívající v ohlašované změně metodiky EK </w:t>
            </w:r>
            <w:r w:rsidRPr="0033290F">
              <w:rPr>
                <w:sz w:val="20"/>
                <w:szCs w:val="20"/>
              </w:rPr>
              <w:br/>
              <w:t>pro počítání plnění těchto cílů (EK již avizovala zpřísnění, které by měla vydat koncem tohoto roku). Toto zpřísnění výpočtu by mohlo ohrozit plnění cíle.</w:t>
            </w:r>
          </w:p>
          <w:p w:rsidR="00E121B4" w:rsidRPr="00250A0D" w:rsidRDefault="0033290F" w:rsidP="00E121B4">
            <w:pPr>
              <w:spacing w:line="276" w:lineRule="auto"/>
              <w:rPr>
                <w:sz w:val="20"/>
                <w:szCs w:val="20"/>
              </w:rPr>
            </w:pPr>
            <w:r w:rsidRPr="0033290F">
              <w:rPr>
                <w:sz w:val="20"/>
                <w:szCs w:val="20"/>
              </w:rPr>
              <w:t xml:space="preserve">V ČR je i nadále zahušťována síť </w:t>
            </w:r>
            <w:r w:rsidRPr="0033290F">
              <w:rPr>
                <w:sz w:val="20"/>
                <w:szCs w:val="20"/>
              </w:rPr>
              <w:br/>
              <w:t xml:space="preserve">pro separaci odpadu </w:t>
            </w:r>
            <w:r w:rsidRPr="0033290F">
              <w:rPr>
                <w:sz w:val="20"/>
                <w:szCs w:val="20"/>
              </w:rPr>
              <w:br/>
              <w:t xml:space="preserve">z domácností a odpadu podobného odpadům </w:t>
            </w:r>
            <w:r w:rsidRPr="0033290F">
              <w:rPr>
                <w:sz w:val="20"/>
                <w:szCs w:val="20"/>
              </w:rPr>
              <w:br/>
              <w:t xml:space="preserve">z domácností </w:t>
            </w:r>
            <w:r w:rsidRPr="0033290F">
              <w:rPr>
                <w:sz w:val="20"/>
                <w:szCs w:val="20"/>
              </w:rPr>
              <w:br/>
              <w:t xml:space="preserve">i s ohledem na směrnici 94/62/ES o obalech </w:t>
            </w:r>
            <w:r w:rsidRPr="0033290F">
              <w:rPr>
                <w:sz w:val="20"/>
                <w:szCs w:val="20"/>
              </w:rPr>
              <w:br/>
              <w:t xml:space="preserve">a obalových odpadech (viz bod 1). </w:t>
            </w:r>
          </w:p>
          <w:p w:rsidR="00E121B4" w:rsidRPr="00250A0D" w:rsidRDefault="0033290F" w:rsidP="00E121B4">
            <w:pPr>
              <w:spacing w:line="276" w:lineRule="auto"/>
              <w:rPr>
                <w:sz w:val="20"/>
                <w:szCs w:val="20"/>
              </w:rPr>
            </w:pPr>
            <w:r w:rsidRPr="0033290F">
              <w:rPr>
                <w:sz w:val="20"/>
                <w:szCs w:val="20"/>
              </w:rPr>
              <w:t>Komisí prosazovaný systém PAYT je v ČR zaveden a je jím pokryto cca 10 – 15% domácností. V nové legislativě bude rovněž řešena oblast poplatků za skládkování komunálního odpadu</w:t>
            </w:r>
            <w:r w:rsidRPr="0033290F">
              <w:rPr>
                <w:sz w:val="20"/>
                <w:szCs w:val="20"/>
              </w:rPr>
              <w:br/>
              <w:t xml:space="preserve">a konec skládkování směsného zbytkového komunálního odpadu (po vytřídění občany) rozmezí </w:t>
            </w:r>
            <w:r w:rsidRPr="0033290F">
              <w:rPr>
                <w:sz w:val="20"/>
                <w:szCs w:val="20"/>
              </w:rPr>
              <w:lastRenderedPageBreak/>
              <w:t>let 2023 - 2025.</w:t>
            </w:r>
          </w:p>
          <w:p w:rsidR="00674BC9" w:rsidRDefault="0033290F">
            <w:pPr>
              <w:rPr>
                <w:sz w:val="20"/>
                <w:szCs w:val="20"/>
              </w:rPr>
            </w:pPr>
            <w:r w:rsidRPr="0033290F">
              <w:rPr>
                <w:b/>
                <w:sz w:val="20"/>
                <w:szCs w:val="20"/>
              </w:rPr>
              <w:t>Podrobnější specifikace v rámci Akčního plánu 6.2 v příloze č. 7.</w:t>
            </w:r>
          </w:p>
        </w:tc>
      </w:tr>
    </w:tbl>
    <w:p w:rsidR="009F47AE" w:rsidRDefault="009F47AE" w:rsidP="00B66FDE"/>
    <w:p w:rsidR="009E5E7B" w:rsidRDefault="009E5E7B" w:rsidP="00B66FDE"/>
    <w:p w:rsidR="009E5E7B" w:rsidRDefault="009E5E7B" w:rsidP="00B66FDE"/>
    <w:p w:rsidR="009E5E7B" w:rsidRDefault="009E5E7B" w:rsidP="00B66FDE"/>
    <w:p w:rsidR="009E5E7B" w:rsidRDefault="009E5E7B" w:rsidP="00B66FDE"/>
    <w:p w:rsidR="009E5E7B" w:rsidRDefault="009E5E7B" w:rsidP="00B66FDE"/>
    <w:p w:rsidR="009E5E7B" w:rsidRDefault="009E5E7B" w:rsidP="00B66FDE"/>
    <w:p w:rsidR="009E5E7B" w:rsidRDefault="009E5E7B" w:rsidP="00B66FDE"/>
    <w:p w:rsidR="009E5E7B" w:rsidRDefault="009E5E7B" w:rsidP="00B66FDE"/>
    <w:p w:rsidR="00674BC9" w:rsidRDefault="00A35DBB">
      <w:pPr>
        <w:pStyle w:val="Nadpis2"/>
      </w:pPr>
      <w:bookmarkStart w:id="3471" w:name="_Toc392151094"/>
      <w:r>
        <w:lastRenderedPageBreak/>
        <w:t>Popis opatření ke splnění předběžných podmínek, odpovědných subjektů a harmonogramu</w:t>
      </w:r>
      <w:bookmarkEnd w:id="3471"/>
    </w:p>
    <w:p w:rsidR="00BD46BE" w:rsidRPr="004314F4" w:rsidRDefault="00A35DBB" w:rsidP="00A35DBB">
      <w:pPr>
        <w:pStyle w:val="Titulek"/>
      </w:pPr>
      <w:bookmarkStart w:id="3472" w:name="_Toc384907554"/>
      <w:r>
        <w:t xml:space="preserve">Opatření, která je třeba přijmout, aby byly splněny obecné předběžné podmínky </w:t>
      </w:r>
      <w:bookmarkEnd w:id="3472"/>
    </w:p>
    <w:tbl>
      <w:tblPr>
        <w:tblStyle w:val="Mkatabulky"/>
        <w:tblW w:w="14142" w:type="dxa"/>
        <w:tblLook w:val="04A0" w:firstRow="1" w:lastRow="0" w:firstColumn="1" w:lastColumn="0" w:noHBand="0" w:noVBand="1"/>
      </w:tblPr>
      <w:tblGrid>
        <w:gridCol w:w="2376"/>
        <w:gridCol w:w="2410"/>
        <w:gridCol w:w="4961"/>
        <w:gridCol w:w="2694"/>
        <w:gridCol w:w="1701"/>
      </w:tblGrid>
      <w:tr w:rsidR="009064EC" w:rsidRPr="00250A0D" w:rsidTr="008C065C">
        <w:trPr>
          <w:tblHeader/>
        </w:trPr>
        <w:tc>
          <w:tcPr>
            <w:tcW w:w="2376" w:type="dxa"/>
            <w:tcBorders>
              <w:bottom w:val="single" w:sz="12" w:space="0" w:color="auto"/>
            </w:tcBorders>
            <w:shd w:val="clear" w:color="auto" w:fill="A6A6A6" w:themeFill="background1" w:themeFillShade="A6"/>
          </w:tcPr>
          <w:p w:rsidR="00B540DC" w:rsidRPr="00250A0D" w:rsidRDefault="0033290F" w:rsidP="00A35DBB">
            <w:pPr>
              <w:spacing w:line="276" w:lineRule="auto"/>
              <w:rPr>
                <w:b/>
                <w:sz w:val="20"/>
                <w:szCs w:val="20"/>
              </w:rPr>
            </w:pPr>
            <w:r w:rsidRPr="0033290F">
              <w:rPr>
                <w:b/>
                <w:sz w:val="20"/>
                <w:szCs w:val="20"/>
              </w:rPr>
              <w:t>Obecné předběžné podmínky</w:t>
            </w:r>
          </w:p>
        </w:tc>
        <w:tc>
          <w:tcPr>
            <w:tcW w:w="2410" w:type="dxa"/>
            <w:tcBorders>
              <w:bottom w:val="single" w:sz="12" w:space="0" w:color="auto"/>
            </w:tcBorders>
            <w:shd w:val="clear" w:color="auto" w:fill="A6A6A6" w:themeFill="background1" w:themeFillShade="A6"/>
          </w:tcPr>
          <w:p w:rsidR="00B540DC" w:rsidRPr="00250A0D" w:rsidRDefault="0033290F" w:rsidP="00B66FDE">
            <w:pPr>
              <w:spacing w:line="276" w:lineRule="auto"/>
              <w:rPr>
                <w:b/>
                <w:sz w:val="20"/>
                <w:szCs w:val="20"/>
              </w:rPr>
            </w:pPr>
            <w:r w:rsidRPr="0033290F">
              <w:rPr>
                <w:b/>
                <w:sz w:val="20"/>
                <w:szCs w:val="20"/>
              </w:rPr>
              <w:t>Nesplněná kritéria</w:t>
            </w:r>
          </w:p>
        </w:tc>
        <w:tc>
          <w:tcPr>
            <w:tcW w:w="4961" w:type="dxa"/>
            <w:tcBorders>
              <w:bottom w:val="single" w:sz="12" w:space="0" w:color="auto"/>
            </w:tcBorders>
            <w:shd w:val="clear" w:color="auto" w:fill="A6A6A6" w:themeFill="background1" w:themeFillShade="A6"/>
          </w:tcPr>
          <w:p w:rsidR="00B540DC" w:rsidRPr="00250A0D" w:rsidRDefault="0033290F" w:rsidP="00A35DBB">
            <w:pPr>
              <w:spacing w:line="276" w:lineRule="auto"/>
              <w:rPr>
                <w:b/>
                <w:sz w:val="20"/>
                <w:szCs w:val="20"/>
              </w:rPr>
            </w:pPr>
            <w:r w:rsidRPr="0033290F">
              <w:rPr>
                <w:b/>
                <w:sz w:val="20"/>
                <w:szCs w:val="20"/>
              </w:rPr>
              <w:t>Opatření, která je třeba přijmout</w:t>
            </w:r>
          </w:p>
        </w:tc>
        <w:tc>
          <w:tcPr>
            <w:tcW w:w="2694" w:type="dxa"/>
            <w:tcBorders>
              <w:bottom w:val="single" w:sz="12" w:space="0" w:color="auto"/>
            </w:tcBorders>
            <w:shd w:val="clear" w:color="auto" w:fill="A6A6A6" w:themeFill="background1" w:themeFillShade="A6"/>
          </w:tcPr>
          <w:p w:rsidR="00B540DC" w:rsidRPr="00250A0D" w:rsidRDefault="0033290F" w:rsidP="00B66FDE">
            <w:pPr>
              <w:spacing w:line="276" w:lineRule="auto"/>
              <w:rPr>
                <w:b/>
                <w:sz w:val="20"/>
                <w:szCs w:val="20"/>
              </w:rPr>
            </w:pPr>
            <w:r w:rsidRPr="0033290F">
              <w:rPr>
                <w:b/>
                <w:sz w:val="20"/>
                <w:szCs w:val="20"/>
              </w:rPr>
              <w:t>Lhůta (datum)</w:t>
            </w:r>
          </w:p>
        </w:tc>
        <w:tc>
          <w:tcPr>
            <w:tcW w:w="1701" w:type="dxa"/>
            <w:tcBorders>
              <w:bottom w:val="single" w:sz="12" w:space="0" w:color="auto"/>
            </w:tcBorders>
            <w:shd w:val="clear" w:color="auto" w:fill="A6A6A6" w:themeFill="background1" w:themeFillShade="A6"/>
          </w:tcPr>
          <w:p w:rsidR="00B540DC" w:rsidRPr="00250A0D" w:rsidRDefault="0033290F" w:rsidP="00B66FDE">
            <w:pPr>
              <w:spacing w:line="276" w:lineRule="auto"/>
              <w:rPr>
                <w:b/>
                <w:sz w:val="20"/>
                <w:szCs w:val="20"/>
              </w:rPr>
            </w:pPr>
            <w:r w:rsidRPr="0033290F">
              <w:rPr>
                <w:b/>
                <w:sz w:val="20"/>
                <w:szCs w:val="20"/>
              </w:rPr>
              <w:t>Subjekty</w:t>
            </w:r>
            <w:r w:rsidR="00B83F26">
              <w:rPr>
                <w:b/>
                <w:sz w:val="20"/>
                <w:szCs w:val="20"/>
              </w:rPr>
              <w:t xml:space="preserve"> </w:t>
            </w:r>
            <w:r w:rsidRPr="0033290F">
              <w:rPr>
                <w:b/>
                <w:sz w:val="20"/>
                <w:szCs w:val="20"/>
              </w:rPr>
              <w:t>odpovědné za plnění</w:t>
            </w:r>
          </w:p>
        </w:tc>
      </w:tr>
      <w:tr w:rsidR="00447D81" w:rsidRPr="00250A0D" w:rsidTr="00F10C6F">
        <w:tc>
          <w:tcPr>
            <w:tcW w:w="2376" w:type="dxa"/>
            <w:tcBorders>
              <w:bottom w:val="single" w:sz="12" w:space="0" w:color="auto"/>
            </w:tcBorders>
            <w:shd w:val="clear" w:color="auto" w:fill="auto"/>
          </w:tcPr>
          <w:p w:rsidR="00447D81" w:rsidRPr="00250A0D" w:rsidDel="00A35DBB" w:rsidRDefault="0033290F" w:rsidP="00B83F26">
            <w:pPr>
              <w:spacing w:line="276" w:lineRule="auto"/>
              <w:rPr>
                <w:b/>
                <w:sz w:val="20"/>
                <w:szCs w:val="20"/>
              </w:rPr>
            </w:pPr>
            <w:r w:rsidRPr="0033290F">
              <w:rPr>
                <w:rFonts w:eastAsia="Calibri" w:cs="Calibri"/>
                <w:b/>
                <w:sz w:val="20"/>
                <w:szCs w:val="20"/>
              </w:rPr>
              <w:t xml:space="preserve">Č. 5: Existence opatření pro účinné uplatňování právních předpisů Unie pro veřejnou podporu v oblasti fondů ESI </w:t>
            </w:r>
          </w:p>
        </w:tc>
        <w:tc>
          <w:tcPr>
            <w:tcW w:w="2410" w:type="dxa"/>
            <w:tcBorders>
              <w:bottom w:val="single" w:sz="12" w:space="0" w:color="auto"/>
            </w:tcBorders>
            <w:shd w:val="clear" w:color="auto" w:fill="auto"/>
          </w:tcPr>
          <w:p w:rsidR="00447D81" w:rsidRPr="00250A0D" w:rsidRDefault="0033290F" w:rsidP="00B66FDE">
            <w:pPr>
              <w:spacing w:line="276" w:lineRule="auto"/>
              <w:rPr>
                <w:b/>
                <w:sz w:val="20"/>
                <w:szCs w:val="20"/>
              </w:rPr>
            </w:pPr>
            <w:r w:rsidRPr="0033290F">
              <w:rPr>
                <w:rFonts w:eastAsia="Calibri" w:cs="Calibri"/>
                <w:sz w:val="20"/>
                <w:szCs w:val="20"/>
              </w:rPr>
              <w:t>Opatření pro účinné uplatňování pravidel Unie pro veřejnou podporu</w:t>
            </w:r>
          </w:p>
        </w:tc>
        <w:tc>
          <w:tcPr>
            <w:tcW w:w="4961" w:type="dxa"/>
            <w:tcBorders>
              <w:bottom w:val="single" w:sz="12" w:space="0" w:color="auto"/>
            </w:tcBorders>
            <w:shd w:val="clear" w:color="auto" w:fill="auto"/>
          </w:tcPr>
          <w:p w:rsidR="00447D81" w:rsidRPr="00250A0D" w:rsidRDefault="0033290F" w:rsidP="007E38A1">
            <w:pPr>
              <w:pStyle w:val="Default"/>
              <w:spacing w:afterAutospacing="1"/>
              <w:jc w:val="both"/>
              <w:rPr>
                <w:rFonts w:ascii="Cambria" w:hAnsi="Cambria"/>
                <w:color w:val="auto"/>
                <w:sz w:val="20"/>
                <w:szCs w:val="20"/>
              </w:rPr>
            </w:pPr>
            <w:r w:rsidRPr="0033290F">
              <w:rPr>
                <w:rFonts w:ascii="Cambria" w:hAnsi="Cambria"/>
                <w:color w:val="auto"/>
                <w:sz w:val="20"/>
                <w:szCs w:val="20"/>
              </w:rPr>
              <w:t>Zajistit funkčnost monitorovacího systému MS2014+ v oblasti veřejné podpory</w:t>
            </w:r>
          </w:p>
          <w:p w:rsidR="00447D81" w:rsidRPr="00250A0D" w:rsidRDefault="00447D81" w:rsidP="00A35DBB">
            <w:pPr>
              <w:spacing w:line="276" w:lineRule="auto"/>
              <w:rPr>
                <w:b/>
                <w:sz w:val="20"/>
                <w:szCs w:val="20"/>
              </w:rPr>
            </w:pPr>
          </w:p>
        </w:tc>
        <w:tc>
          <w:tcPr>
            <w:tcW w:w="2694" w:type="dxa"/>
            <w:tcBorders>
              <w:bottom w:val="single" w:sz="12" w:space="0" w:color="auto"/>
            </w:tcBorders>
            <w:shd w:val="clear" w:color="auto" w:fill="auto"/>
          </w:tcPr>
          <w:p w:rsidR="00447D81" w:rsidRPr="00250A0D" w:rsidRDefault="0033290F" w:rsidP="007E38A1">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V návaznosti na přijetí jednotlivých programů, nejpozději do 30. 09. 2014 </w:t>
            </w:r>
          </w:p>
          <w:p w:rsidR="00447D81" w:rsidRPr="00250A0D" w:rsidDel="00A35DBB" w:rsidRDefault="00447D81" w:rsidP="00B66FDE">
            <w:pPr>
              <w:spacing w:line="276" w:lineRule="auto"/>
              <w:rPr>
                <w:b/>
                <w:sz w:val="20"/>
                <w:szCs w:val="20"/>
              </w:rPr>
            </w:pPr>
          </w:p>
        </w:tc>
        <w:tc>
          <w:tcPr>
            <w:tcW w:w="1701" w:type="dxa"/>
            <w:tcBorders>
              <w:bottom w:val="single" w:sz="12" w:space="0" w:color="auto"/>
            </w:tcBorders>
            <w:shd w:val="clear" w:color="auto" w:fill="auto"/>
          </w:tcPr>
          <w:p w:rsidR="00447D81" w:rsidRPr="00250A0D" w:rsidRDefault="0033290F" w:rsidP="007E38A1">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MMR - OSMS </w:t>
            </w:r>
          </w:p>
          <w:p w:rsidR="00447D81" w:rsidRPr="00250A0D" w:rsidRDefault="00447D81" w:rsidP="00B66FDE">
            <w:pPr>
              <w:spacing w:line="276" w:lineRule="auto"/>
              <w:rPr>
                <w:b/>
                <w:sz w:val="20"/>
                <w:szCs w:val="20"/>
              </w:rPr>
            </w:pPr>
          </w:p>
        </w:tc>
      </w:tr>
      <w:tr w:rsidR="00447D81" w:rsidRPr="00250A0D" w:rsidTr="00F10C6F">
        <w:tc>
          <w:tcPr>
            <w:tcW w:w="2376" w:type="dxa"/>
            <w:tcBorders>
              <w:bottom w:val="single" w:sz="12" w:space="0" w:color="auto"/>
            </w:tcBorders>
            <w:shd w:val="clear" w:color="auto" w:fill="auto"/>
          </w:tcPr>
          <w:p w:rsidR="00447D81" w:rsidRPr="00250A0D" w:rsidDel="00A35DBB" w:rsidRDefault="00447D81" w:rsidP="00A35DBB">
            <w:pPr>
              <w:rPr>
                <w:b/>
                <w:sz w:val="20"/>
                <w:szCs w:val="20"/>
              </w:rPr>
            </w:pPr>
          </w:p>
        </w:tc>
        <w:tc>
          <w:tcPr>
            <w:tcW w:w="2410" w:type="dxa"/>
            <w:tcBorders>
              <w:bottom w:val="single" w:sz="12" w:space="0" w:color="auto"/>
            </w:tcBorders>
            <w:shd w:val="clear" w:color="auto" w:fill="auto"/>
          </w:tcPr>
          <w:p w:rsidR="00447D81" w:rsidRPr="00250A0D" w:rsidRDefault="00447D81" w:rsidP="00B66FDE">
            <w:pPr>
              <w:spacing w:line="276" w:lineRule="auto"/>
              <w:rPr>
                <w:b/>
                <w:sz w:val="20"/>
                <w:szCs w:val="20"/>
              </w:rPr>
            </w:pPr>
          </w:p>
        </w:tc>
        <w:tc>
          <w:tcPr>
            <w:tcW w:w="4961" w:type="dxa"/>
            <w:tcBorders>
              <w:bottom w:val="single" w:sz="12" w:space="0" w:color="auto"/>
            </w:tcBorders>
            <w:shd w:val="clear" w:color="auto" w:fill="auto"/>
          </w:tcPr>
          <w:p w:rsidR="00447D81" w:rsidRPr="00250A0D" w:rsidRDefault="0033290F" w:rsidP="00A35DBB">
            <w:pPr>
              <w:spacing w:line="276" w:lineRule="auto"/>
              <w:rPr>
                <w:b/>
                <w:sz w:val="20"/>
                <w:szCs w:val="20"/>
              </w:rPr>
            </w:pPr>
            <w:r w:rsidRPr="0033290F">
              <w:rPr>
                <w:sz w:val="20"/>
                <w:szCs w:val="20"/>
              </w:rPr>
              <w:t xml:space="preserve">Zajistit funkčnost přenosu dat mezi MS2014+ a Centrálním registrem de </w:t>
            </w:r>
            <w:proofErr w:type="spellStart"/>
            <w:r w:rsidRPr="0033290F">
              <w:rPr>
                <w:sz w:val="20"/>
                <w:szCs w:val="20"/>
              </w:rPr>
              <w:t>minimis</w:t>
            </w:r>
            <w:proofErr w:type="spellEnd"/>
          </w:p>
        </w:tc>
        <w:tc>
          <w:tcPr>
            <w:tcW w:w="2694" w:type="dxa"/>
            <w:tcBorders>
              <w:bottom w:val="single" w:sz="12" w:space="0" w:color="auto"/>
            </w:tcBorders>
            <w:shd w:val="clear" w:color="auto" w:fill="auto"/>
          </w:tcPr>
          <w:p w:rsidR="00447D81" w:rsidRPr="00250A0D" w:rsidRDefault="0033290F" w:rsidP="007E38A1">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V návaznosti na přijetí jednotlivých programů, nejpozději do 30. 09. 2014 </w:t>
            </w:r>
          </w:p>
          <w:p w:rsidR="00447D81" w:rsidRPr="00250A0D" w:rsidDel="00A35DBB" w:rsidRDefault="00447D81" w:rsidP="00B66FDE">
            <w:pPr>
              <w:spacing w:line="276" w:lineRule="auto"/>
              <w:rPr>
                <w:b/>
                <w:sz w:val="20"/>
                <w:szCs w:val="20"/>
              </w:rPr>
            </w:pPr>
          </w:p>
        </w:tc>
        <w:tc>
          <w:tcPr>
            <w:tcW w:w="1701" w:type="dxa"/>
            <w:tcBorders>
              <w:bottom w:val="single" w:sz="12" w:space="0" w:color="auto"/>
            </w:tcBorders>
            <w:shd w:val="clear" w:color="auto" w:fill="auto"/>
          </w:tcPr>
          <w:p w:rsidR="00447D81" w:rsidRPr="00250A0D" w:rsidRDefault="0033290F" w:rsidP="007E38A1">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MMR - OSMS </w:t>
            </w:r>
          </w:p>
          <w:p w:rsidR="00447D81" w:rsidRPr="00250A0D" w:rsidRDefault="00447D81" w:rsidP="00B66FDE">
            <w:pPr>
              <w:spacing w:line="276" w:lineRule="auto"/>
              <w:rPr>
                <w:b/>
                <w:sz w:val="20"/>
                <w:szCs w:val="20"/>
              </w:rPr>
            </w:pPr>
          </w:p>
        </w:tc>
      </w:tr>
      <w:tr w:rsidR="00447D81" w:rsidRPr="00250A0D" w:rsidTr="00F10C6F">
        <w:tc>
          <w:tcPr>
            <w:tcW w:w="2376" w:type="dxa"/>
            <w:tcBorders>
              <w:bottom w:val="single" w:sz="12" w:space="0" w:color="auto"/>
            </w:tcBorders>
            <w:shd w:val="clear" w:color="auto" w:fill="auto"/>
          </w:tcPr>
          <w:p w:rsidR="00447D81" w:rsidRPr="00250A0D" w:rsidDel="00A35DBB" w:rsidRDefault="00447D81" w:rsidP="00A35DBB">
            <w:pPr>
              <w:rPr>
                <w:b/>
                <w:sz w:val="20"/>
                <w:szCs w:val="20"/>
              </w:rPr>
            </w:pPr>
          </w:p>
        </w:tc>
        <w:tc>
          <w:tcPr>
            <w:tcW w:w="2410" w:type="dxa"/>
            <w:tcBorders>
              <w:bottom w:val="single" w:sz="12" w:space="0" w:color="auto"/>
            </w:tcBorders>
            <w:shd w:val="clear" w:color="auto" w:fill="auto"/>
          </w:tcPr>
          <w:p w:rsidR="00447D81" w:rsidRPr="00250A0D" w:rsidRDefault="00447D81" w:rsidP="00B66FDE">
            <w:pPr>
              <w:spacing w:line="276" w:lineRule="auto"/>
              <w:rPr>
                <w:b/>
                <w:sz w:val="20"/>
                <w:szCs w:val="20"/>
              </w:rPr>
            </w:pPr>
          </w:p>
        </w:tc>
        <w:tc>
          <w:tcPr>
            <w:tcW w:w="4961" w:type="dxa"/>
            <w:tcBorders>
              <w:bottom w:val="single" w:sz="12" w:space="0" w:color="auto"/>
            </w:tcBorders>
            <w:shd w:val="clear" w:color="auto" w:fill="auto"/>
          </w:tcPr>
          <w:p w:rsidR="00447D81" w:rsidRPr="00250A0D" w:rsidRDefault="0033290F" w:rsidP="007E38A1">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Zajistit zapracování oblasti veřejné podpory (v souladu s připravovanou metodickou příručkou) do dokumentace k operačním programům, tj. podrobný popis činností, kterými bude zajištěno dodržování pravidel kumulace, principu </w:t>
            </w:r>
            <w:proofErr w:type="spellStart"/>
            <w:r w:rsidRPr="0033290F">
              <w:rPr>
                <w:rFonts w:ascii="Cambria" w:hAnsi="Cambria"/>
                <w:color w:val="auto"/>
                <w:sz w:val="20"/>
                <w:szCs w:val="20"/>
              </w:rPr>
              <w:t>Deggendorf</w:t>
            </w:r>
            <w:proofErr w:type="spellEnd"/>
            <w:r w:rsidRPr="0033290F">
              <w:rPr>
                <w:rFonts w:ascii="Cambria" w:hAnsi="Cambria"/>
                <w:color w:val="auto"/>
                <w:sz w:val="20"/>
                <w:szCs w:val="20"/>
              </w:rPr>
              <w:t xml:space="preserve">, kontrola a případné vymáhání neoprávněné podpory, spolupráce s centrálními koordinačními orgány při hlášení a oznamování podpor apod. </w:t>
            </w:r>
          </w:p>
          <w:p w:rsidR="00447D81" w:rsidRPr="00250A0D" w:rsidRDefault="00447D81" w:rsidP="007E38A1">
            <w:pPr>
              <w:pStyle w:val="Default"/>
              <w:spacing w:afterAutospacing="1"/>
              <w:jc w:val="both"/>
              <w:rPr>
                <w:rFonts w:ascii="Cambria" w:hAnsi="Cambria"/>
                <w:b/>
                <w:color w:val="auto"/>
                <w:sz w:val="20"/>
                <w:szCs w:val="20"/>
              </w:rPr>
            </w:pPr>
          </w:p>
          <w:p w:rsidR="00447D81" w:rsidRPr="00250A0D" w:rsidRDefault="0033290F" w:rsidP="00A35DBB">
            <w:pPr>
              <w:spacing w:line="276" w:lineRule="auto"/>
              <w:rPr>
                <w:b/>
                <w:sz w:val="20"/>
                <w:szCs w:val="20"/>
              </w:rPr>
            </w:pPr>
            <w:r w:rsidRPr="0033290F">
              <w:rPr>
                <w:b/>
                <w:sz w:val="20"/>
                <w:szCs w:val="20"/>
              </w:rPr>
              <w:t>Podrobnější specifikace v  příloze č. 8.</w:t>
            </w:r>
          </w:p>
        </w:tc>
        <w:tc>
          <w:tcPr>
            <w:tcW w:w="2694" w:type="dxa"/>
            <w:tcBorders>
              <w:bottom w:val="single" w:sz="12" w:space="0" w:color="auto"/>
            </w:tcBorders>
            <w:shd w:val="clear" w:color="auto" w:fill="auto"/>
          </w:tcPr>
          <w:p w:rsidR="00447D81" w:rsidRPr="00250A0D" w:rsidDel="00A35DBB" w:rsidRDefault="0033290F" w:rsidP="00B66FDE">
            <w:pPr>
              <w:spacing w:line="276" w:lineRule="auto"/>
              <w:rPr>
                <w:b/>
                <w:sz w:val="20"/>
                <w:szCs w:val="20"/>
              </w:rPr>
            </w:pPr>
            <w:r w:rsidRPr="0033290F">
              <w:rPr>
                <w:rFonts w:eastAsia="Calibri" w:cs="Calibri"/>
                <w:sz w:val="20"/>
                <w:szCs w:val="20"/>
              </w:rPr>
              <w:t>V návaznosti na jednotlivé výzvy. První výzvy dle harmonogramu k </w:t>
            </w:r>
            <w:proofErr w:type="gramStart"/>
            <w:r w:rsidRPr="0033290F">
              <w:rPr>
                <w:rFonts w:eastAsia="Calibri" w:cs="Calibri"/>
                <w:sz w:val="20"/>
                <w:szCs w:val="20"/>
              </w:rPr>
              <w:t>01.01.2015</w:t>
            </w:r>
            <w:proofErr w:type="gramEnd"/>
          </w:p>
        </w:tc>
        <w:tc>
          <w:tcPr>
            <w:tcW w:w="1701" w:type="dxa"/>
            <w:tcBorders>
              <w:bottom w:val="single" w:sz="12" w:space="0" w:color="auto"/>
            </w:tcBorders>
            <w:shd w:val="clear" w:color="auto" w:fill="auto"/>
          </w:tcPr>
          <w:p w:rsidR="00447D81" w:rsidRPr="00250A0D" w:rsidRDefault="0033290F" w:rsidP="007E38A1">
            <w:pPr>
              <w:spacing w:line="276" w:lineRule="auto"/>
              <w:rPr>
                <w:sz w:val="20"/>
                <w:szCs w:val="20"/>
              </w:rPr>
            </w:pPr>
            <w:r w:rsidRPr="0033290F">
              <w:rPr>
                <w:sz w:val="20"/>
                <w:szCs w:val="20"/>
              </w:rPr>
              <w:t>MŽP</w:t>
            </w:r>
          </w:p>
          <w:p w:rsidR="00447D81" w:rsidRPr="00250A0D" w:rsidRDefault="00447D81" w:rsidP="007E38A1">
            <w:pPr>
              <w:spacing w:line="276" w:lineRule="auto"/>
              <w:rPr>
                <w:sz w:val="20"/>
                <w:szCs w:val="20"/>
              </w:rPr>
            </w:pPr>
          </w:p>
          <w:p w:rsidR="00447D81" w:rsidRPr="00250A0D" w:rsidRDefault="00447D81" w:rsidP="007E38A1">
            <w:pPr>
              <w:spacing w:line="276" w:lineRule="auto"/>
              <w:rPr>
                <w:sz w:val="20"/>
                <w:szCs w:val="20"/>
              </w:rPr>
            </w:pPr>
          </w:p>
          <w:p w:rsidR="00447D81" w:rsidRPr="00250A0D" w:rsidRDefault="00447D81" w:rsidP="00B66FDE">
            <w:pPr>
              <w:spacing w:line="276" w:lineRule="auto"/>
              <w:rPr>
                <w:b/>
                <w:sz w:val="20"/>
                <w:szCs w:val="20"/>
              </w:rPr>
            </w:pPr>
          </w:p>
        </w:tc>
      </w:tr>
      <w:tr w:rsidR="00447D81" w:rsidRPr="00250A0D" w:rsidTr="00F10C6F">
        <w:tc>
          <w:tcPr>
            <w:tcW w:w="2376" w:type="dxa"/>
            <w:tcBorders>
              <w:bottom w:val="single" w:sz="12" w:space="0" w:color="auto"/>
            </w:tcBorders>
            <w:shd w:val="clear" w:color="auto" w:fill="auto"/>
          </w:tcPr>
          <w:p w:rsidR="00447D81" w:rsidRPr="00250A0D" w:rsidDel="00A35DBB" w:rsidRDefault="00447D81" w:rsidP="00A35DBB">
            <w:pPr>
              <w:rPr>
                <w:b/>
                <w:sz w:val="20"/>
                <w:szCs w:val="20"/>
              </w:rPr>
            </w:pPr>
          </w:p>
        </w:tc>
        <w:tc>
          <w:tcPr>
            <w:tcW w:w="2410" w:type="dxa"/>
            <w:tcBorders>
              <w:bottom w:val="single" w:sz="12" w:space="0" w:color="auto"/>
            </w:tcBorders>
            <w:shd w:val="clear" w:color="auto" w:fill="auto"/>
          </w:tcPr>
          <w:p w:rsidR="00447D81" w:rsidRPr="00250A0D" w:rsidRDefault="00447D81" w:rsidP="00B66FDE">
            <w:pPr>
              <w:spacing w:line="276" w:lineRule="auto"/>
              <w:rPr>
                <w:b/>
                <w:sz w:val="20"/>
                <w:szCs w:val="20"/>
              </w:rPr>
            </w:pPr>
          </w:p>
        </w:tc>
        <w:tc>
          <w:tcPr>
            <w:tcW w:w="4961" w:type="dxa"/>
            <w:tcBorders>
              <w:bottom w:val="single" w:sz="12" w:space="0" w:color="auto"/>
            </w:tcBorders>
            <w:shd w:val="clear" w:color="auto" w:fill="auto"/>
          </w:tcPr>
          <w:p w:rsidR="00447D81" w:rsidRPr="00250A0D" w:rsidRDefault="0033290F" w:rsidP="00A35DBB">
            <w:pPr>
              <w:spacing w:line="276" w:lineRule="auto"/>
              <w:rPr>
                <w:b/>
                <w:sz w:val="20"/>
                <w:szCs w:val="20"/>
              </w:rPr>
            </w:pPr>
            <w:r w:rsidRPr="0033290F">
              <w:rPr>
                <w:sz w:val="20"/>
                <w:szCs w:val="20"/>
              </w:rPr>
              <w:t>Zajistit soulad programu s pravidly VP. Do každé výzvy zapracovat pravidla VP.</w:t>
            </w:r>
          </w:p>
        </w:tc>
        <w:tc>
          <w:tcPr>
            <w:tcW w:w="2694" w:type="dxa"/>
            <w:tcBorders>
              <w:bottom w:val="single" w:sz="12" w:space="0" w:color="auto"/>
            </w:tcBorders>
            <w:shd w:val="clear" w:color="auto" w:fill="auto"/>
          </w:tcPr>
          <w:p w:rsidR="00447D81" w:rsidRPr="00250A0D" w:rsidDel="00A35DBB" w:rsidRDefault="0033290F" w:rsidP="00B66FDE">
            <w:pPr>
              <w:spacing w:line="276" w:lineRule="auto"/>
              <w:rPr>
                <w:b/>
                <w:sz w:val="20"/>
                <w:szCs w:val="20"/>
              </w:rPr>
            </w:pPr>
            <w:r w:rsidRPr="0033290F">
              <w:rPr>
                <w:sz w:val="20"/>
                <w:szCs w:val="20"/>
              </w:rPr>
              <w:t xml:space="preserve">Manuál interních postupů bude vydán v roce 2014. Soulad s pravidly je </w:t>
            </w:r>
            <w:r w:rsidRPr="0033290F">
              <w:rPr>
                <w:sz w:val="20"/>
                <w:szCs w:val="20"/>
              </w:rPr>
              <w:lastRenderedPageBreak/>
              <w:t>průběžně analyzován při tvorbě a úpravě OP. Pravidla budou zapracovávána do dokumentace k výzvám před vždy jejich vyhlášením v souladu s postupy a lhůtami dle interního manuálu.</w:t>
            </w:r>
          </w:p>
        </w:tc>
        <w:tc>
          <w:tcPr>
            <w:tcW w:w="1701" w:type="dxa"/>
            <w:tcBorders>
              <w:bottom w:val="single" w:sz="12" w:space="0" w:color="auto"/>
            </w:tcBorders>
            <w:shd w:val="clear" w:color="auto" w:fill="auto"/>
          </w:tcPr>
          <w:p w:rsidR="00447D81" w:rsidRPr="00250A0D" w:rsidRDefault="0033290F" w:rsidP="00B66FDE">
            <w:pPr>
              <w:spacing w:line="276" w:lineRule="auto"/>
              <w:rPr>
                <w:b/>
                <w:sz w:val="20"/>
                <w:szCs w:val="20"/>
              </w:rPr>
            </w:pPr>
            <w:r w:rsidRPr="0033290F">
              <w:rPr>
                <w:sz w:val="20"/>
                <w:szCs w:val="20"/>
              </w:rPr>
              <w:lastRenderedPageBreak/>
              <w:t>MŽP</w:t>
            </w:r>
          </w:p>
        </w:tc>
      </w:tr>
      <w:tr w:rsidR="00447D81" w:rsidRPr="00250A0D" w:rsidTr="00F10C6F">
        <w:tc>
          <w:tcPr>
            <w:tcW w:w="2376" w:type="dxa"/>
            <w:tcBorders>
              <w:bottom w:val="single" w:sz="12" w:space="0" w:color="auto"/>
            </w:tcBorders>
            <w:shd w:val="clear" w:color="auto" w:fill="auto"/>
          </w:tcPr>
          <w:p w:rsidR="00447D81" w:rsidRPr="00250A0D" w:rsidDel="00A35DBB" w:rsidRDefault="00447D81" w:rsidP="00A35DBB">
            <w:pPr>
              <w:rPr>
                <w:b/>
                <w:sz w:val="20"/>
                <w:szCs w:val="20"/>
              </w:rPr>
            </w:pPr>
          </w:p>
        </w:tc>
        <w:tc>
          <w:tcPr>
            <w:tcW w:w="2410" w:type="dxa"/>
            <w:tcBorders>
              <w:bottom w:val="single" w:sz="12" w:space="0" w:color="auto"/>
            </w:tcBorders>
            <w:shd w:val="clear" w:color="auto" w:fill="auto"/>
          </w:tcPr>
          <w:p w:rsidR="00447D81" w:rsidRPr="00250A0D" w:rsidRDefault="0033290F" w:rsidP="00B66FDE">
            <w:pPr>
              <w:spacing w:line="276" w:lineRule="auto"/>
              <w:rPr>
                <w:b/>
                <w:sz w:val="20"/>
                <w:szCs w:val="20"/>
              </w:rPr>
            </w:pPr>
            <w:r w:rsidRPr="0033290F">
              <w:rPr>
                <w:rFonts w:eastAsia="Calibri" w:cs="Calibri"/>
                <w:sz w:val="20"/>
                <w:szCs w:val="20"/>
              </w:rPr>
              <w:t>Opatření pro posílení správní kapacity pro provádění a uplatňování předpisů Unie k veřejné podpoře</w:t>
            </w:r>
          </w:p>
        </w:tc>
        <w:tc>
          <w:tcPr>
            <w:tcW w:w="4961" w:type="dxa"/>
            <w:tcBorders>
              <w:bottom w:val="single" w:sz="12" w:space="0" w:color="auto"/>
            </w:tcBorders>
            <w:shd w:val="clear" w:color="auto" w:fill="auto"/>
          </w:tcPr>
          <w:p w:rsidR="00447D81" w:rsidRPr="00250A0D" w:rsidRDefault="0033290F" w:rsidP="007E38A1">
            <w:pPr>
              <w:spacing w:line="276" w:lineRule="auto"/>
              <w:rPr>
                <w:rFonts w:eastAsia="Calibri" w:cs="Calibri"/>
                <w:sz w:val="20"/>
                <w:szCs w:val="20"/>
              </w:rPr>
            </w:pPr>
            <w:r w:rsidRPr="0033290F">
              <w:rPr>
                <w:rFonts w:eastAsia="Calibri" w:cs="Calibri"/>
                <w:sz w:val="20"/>
                <w:szCs w:val="20"/>
              </w:rPr>
              <w:t xml:space="preserve">Dokončit veřejné zakázky „Podklady pro metodické doporučení pro oblast veřejné podpory“ </w:t>
            </w:r>
          </w:p>
          <w:p w:rsidR="00244391" w:rsidRPr="00250A0D" w:rsidRDefault="0033290F" w:rsidP="007E38A1">
            <w:pPr>
              <w:spacing w:line="276" w:lineRule="auto"/>
              <w:rPr>
                <w:rFonts w:eastAsia="Calibri" w:cs="Calibri"/>
                <w:sz w:val="20"/>
                <w:szCs w:val="20"/>
              </w:rPr>
            </w:pPr>
            <w:r w:rsidRPr="0033290F">
              <w:rPr>
                <w:rFonts w:eastAsia="Calibri" w:cs="Calibri"/>
                <w:sz w:val="20"/>
                <w:szCs w:val="20"/>
              </w:rPr>
              <w:t>(viz současný stav)</w:t>
            </w:r>
          </w:p>
          <w:p w:rsidR="00244391" w:rsidRPr="00250A0D" w:rsidRDefault="00244391" w:rsidP="007E38A1">
            <w:pPr>
              <w:pStyle w:val="Default"/>
              <w:spacing w:afterAutospacing="1"/>
              <w:jc w:val="both"/>
              <w:rPr>
                <w:rFonts w:ascii="Cambria" w:hAnsi="Cambria"/>
                <w:color w:val="auto"/>
                <w:sz w:val="20"/>
                <w:szCs w:val="20"/>
              </w:rPr>
            </w:pPr>
          </w:p>
          <w:p w:rsidR="00244391" w:rsidRPr="00250A0D" w:rsidRDefault="00244391" w:rsidP="007E38A1">
            <w:pPr>
              <w:pStyle w:val="Default"/>
              <w:spacing w:afterAutospacing="1"/>
              <w:jc w:val="both"/>
              <w:rPr>
                <w:rFonts w:ascii="Cambria" w:hAnsi="Cambria"/>
                <w:color w:val="auto"/>
                <w:sz w:val="20"/>
                <w:szCs w:val="20"/>
              </w:rPr>
            </w:pPr>
          </w:p>
          <w:p w:rsidR="00244391" w:rsidRPr="00250A0D" w:rsidRDefault="00244391" w:rsidP="007E38A1">
            <w:pPr>
              <w:pStyle w:val="Default"/>
              <w:spacing w:afterAutospacing="1"/>
              <w:jc w:val="both"/>
              <w:rPr>
                <w:rFonts w:ascii="Cambria" w:hAnsi="Cambria"/>
                <w:color w:val="auto"/>
                <w:sz w:val="20"/>
                <w:szCs w:val="20"/>
              </w:rPr>
            </w:pPr>
          </w:p>
          <w:p w:rsidR="00244391" w:rsidRPr="00250A0D" w:rsidRDefault="00244391" w:rsidP="007E38A1">
            <w:pPr>
              <w:pStyle w:val="Default"/>
              <w:spacing w:afterAutospacing="1"/>
              <w:jc w:val="both"/>
              <w:rPr>
                <w:rFonts w:ascii="Cambria" w:hAnsi="Cambria"/>
                <w:color w:val="auto"/>
                <w:sz w:val="20"/>
                <w:szCs w:val="20"/>
              </w:rPr>
            </w:pPr>
          </w:p>
          <w:p w:rsidR="00244391" w:rsidRPr="00250A0D" w:rsidRDefault="00244391" w:rsidP="007E38A1">
            <w:pPr>
              <w:pStyle w:val="Default"/>
              <w:spacing w:afterAutospacing="1"/>
              <w:jc w:val="both"/>
              <w:rPr>
                <w:rFonts w:ascii="Cambria" w:hAnsi="Cambria"/>
                <w:color w:val="auto"/>
                <w:sz w:val="20"/>
                <w:szCs w:val="20"/>
              </w:rPr>
            </w:pPr>
          </w:p>
          <w:p w:rsidR="00244391" w:rsidRPr="00250A0D" w:rsidRDefault="00244391" w:rsidP="007E38A1">
            <w:pPr>
              <w:pStyle w:val="Default"/>
              <w:spacing w:afterAutospacing="1"/>
              <w:jc w:val="both"/>
              <w:rPr>
                <w:rFonts w:ascii="Cambria" w:hAnsi="Cambria"/>
                <w:color w:val="auto"/>
                <w:sz w:val="20"/>
                <w:szCs w:val="20"/>
              </w:rPr>
            </w:pPr>
          </w:p>
          <w:p w:rsidR="00244391" w:rsidRPr="00250A0D" w:rsidRDefault="00244391" w:rsidP="007E38A1">
            <w:pPr>
              <w:pStyle w:val="Default"/>
              <w:spacing w:afterAutospacing="1"/>
              <w:jc w:val="both"/>
              <w:rPr>
                <w:rFonts w:ascii="Cambria" w:hAnsi="Cambria"/>
                <w:color w:val="auto"/>
                <w:sz w:val="20"/>
                <w:szCs w:val="20"/>
              </w:rPr>
            </w:pPr>
          </w:p>
          <w:p w:rsidR="00244391" w:rsidRPr="00250A0D" w:rsidRDefault="00244391" w:rsidP="007E38A1">
            <w:pPr>
              <w:pStyle w:val="Default"/>
              <w:spacing w:afterAutospacing="1"/>
              <w:jc w:val="both"/>
              <w:rPr>
                <w:rFonts w:ascii="Cambria" w:hAnsi="Cambria"/>
                <w:color w:val="auto"/>
                <w:sz w:val="20"/>
                <w:szCs w:val="20"/>
              </w:rPr>
            </w:pPr>
          </w:p>
          <w:p w:rsidR="00244391" w:rsidRPr="00250A0D" w:rsidRDefault="00244391" w:rsidP="007E38A1">
            <w:pPr>
              <w:pStyle w:val="Default"/>
              <w:spacing w:afterAutospacing="1"/>
              <w:jc w:val="both"/>
              <w:rPr>
                <w:rFonts w:ascii="Cambria" w:hAnsi="Cambria"/>
                <w:color w:val="auto"/>
                <w:sz w:val="20"/>
                <w:szCs w:val="20"/>
              </w:rPr>
            </w:pPr>
          </w:p>
          <w:p w:rsidR="00244391" w:rsidRPr="00250A0D" w:rsidRDefault="00244391" w:rsidP="007E38A1">
            <w:pPr>
              <w:pStyle w:val="Default"/>
              <w:spacing w:afterAutospacing="1"/>
              <w:jc w:val="both"/>
              <w:rPr>
                <w:rFonts w:ascii="Cambria" w:hAnsi="Cambria"/>
                <w:color w:val="auto"/>
                <w:sz w:val="20"/>
                <w:szCs w:val="20"/>
              </w:rPr>
            </w:pPr>
          </w:p>
          <w:p w:rsidR="00244391" w:rsidRPr="00250A0D" w:rsidRDefault="00244391" w:rsidP="007E38A1">
            <w:pPr>
              <w:pStyle w:val="Default"/>
              <w:spacing w:afterAutospacing="1"/>
              <w:jc w:val="both"/>
              <w:rPr>
                <w:rFonts w:ascii="Cambria" w:hAnsi="Cambria"/>
                <w:color w:val="auto"/>
                <w:sz w:val="20"/>
                <w:szCs w:val="20"/>
              </w:rPr>
            </w:pPr>
          </w:p>
          <w:p w:rsidR="00244391" w:rsidRPr="00250A0D" w:rsidRDefault="00244391" w:rsidP="007E38A1">
            <w:pPr>
              <w:pStyle w:val="Default"/>
              <w:spacing w:afterAutospacing="1"/>
              <w:jc w:val="both"/>
              <w:rPr>
                <w:rFonts w:ascii="Cambria" w:hAnsi="Cambria"/>
                <w:color w:val="auto"/>
                <w:sz w:val="20"/>
                <w:szCs w:val="20"/>
              </w:rPr>
            </w:pPr>
          </w:p>
          <w:p w:rsidR="00244391" w:rsidRPr="00250A0D" w:rsidRDefault="00244391" w:rsidP="007E38A1">
            <w:pPr>
              <w:pStyle w:val="Default"/>
              <w:spacing w:afterAutospacing="1"/>
              <w:jc w:val="both"/>
              <w:rPr>
                <w:rFonts w:ascii="Cambria" w:hAnsi="Cambria"/>
                <w:color w:val="auto"/>
                <w:sz w:val="20"/>
                <w:szCs w:val="20"/>
              </w:rPr>
            </w:pPr>
          </w:p>
          <w:p w:rsidR="00447D81" w:rsidRPr="00250A0D" w:rsidRDefault="0033290F" w:rsidP="007E38A1">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Dokončit veřejnou zakázku „Analytické podklady pro přípravu metodického doporučení pro implementaci finančních nástrojů v programovém období 2014 – 2020“ </w:t>
            </w:r>
          </w:p>
          <w:p w:rsidR="00447D81" w:rsidRPr="00250A0D" w:rsidRDefault="0033290F" w:rsidP="007E38A1">
            <w:pPr>
              <w:spacing w:line="276" w:lineRule="auto"/>
              <w:rPr>
                <w:rFonts w:eastAsia="Calibri" w:cs="Calibri"/>
                <w:sz w:val="20"/>
                <w:szCs w:val="20"/>
              </w:rPr>
            </w:pPr>
            <w:r w:rsidRPr="0033290F">
              <w:rPr>
                <w:rFonts w:eastAsia="Calibri" w:cs="Calibri"/>
                <w:sz w:val="20"/>
                <w:szCs w:val="20"/>
              </w:rPr>
              <w:t>Ukončit výběrové řízení a zaškolit nové pracovníky na centrální úrovni MMR.</w:t>
            </w:r>
          </w:p>
          <w:p w:rsidR="00447D81" w:rsidRPr="00250A0D" w:rsidRDefault="0033290F" w:rsidP="007E38A1">
            <w:pPr>
              <w:spacing w:line="276" w:lineRule="auto"/>
              <w:rPr>
                <w:rFonts w:eastAsia="Calibri" w:cs="Calibri"/>
                <w:sz w:val="20"/>
                <w:szCs w:val="20"/>
              </w:rPr>
            </w:pPr>
            <w:r w:rsidRPr="0033290F">
              <w:rPr>
                <w:rFonts w:eastAsia="Calibri" w:cs="Calibri"/>
                <w:sz w:val="20"/>
                <w:szCs w:val="20"/>
              </w:rPr>
              <w:t xml:space="preserve">Je řešeno v rámci Platformy administrativní kapacita. </w:t>
            </w:r>
            <w:r w:rsidRPr="0033290F">
              <w:rPr>
                <w:sz w:val="20"/>
                <w:szCs w:val="20"/>
              </w:rPr>
              <w:t>Internetové stránky centrálních koordinačních orgánů (ÚOHS a Mze) obsahují legislativu, metodiky, příručky a ostatní dokumenty týkající se aplikace pravidel veřejné podpory a jsou dostupné široké veřejnosti.</w:t>
            </w:r>
          </w:p>
          <w:p w:rsidR="00447D81" w:rsidRPr="00250A0D" w:rsidRDefault="0033290F" w:rsidP="007E38A1">
            <w:pPr>
              <w:spacing w:line="276" w:lineRule="auto"/>
              <w:rPr>
                <w:rFonts w:eastAsia="Calibri" w:cs="Calibri"/>
                <w:sz w:val="20"/>
                <w:szCs w:val="20"/>
              </w:rPr>
            </w:pPr>
            <w:r w:rsidRPr="0033290F">
              <w:rPr>
                <w:sz w:val="20"/>
                <w:szCs w:val="20"/>
              </w:rPr>
              <w:t xml:space="preserve">Poskytovatelé se mohou s konkrétními problémy také obracet na koordinační orgány v oblasti veřejné podpory (ÚOHS, </w:t>
            </w:r>
            <w:proofErr w:type="spellStart"/>
            <w:r w:rsidRPr="0033290F">
              <w:rPr>
                <w:sz w:val="20"/>
                <w:szCs w:val="20"/>
              </w:rPr>
              <w:t>MZe</w:t>
            </w:r>
            <w:proofErr w:type="spellEnd"/>
            <w:r w:rsidRPr="0033290F">
              <w:rPr>
                <w:sz w:val="20"/>
                <w:szCs w:val="20"/>
              </w:rPr>
              <w:t>, MMR-NOK).</w:t>
            </w:r>
            <w:r w:rsidRPr="0033290F">
              <w:rPr>
                <w:rFonts w:eastAsia="Calibri" w:cs="Calibri"/>
                <w:sz w:val="20"/>
                <w:szCs w:val="20"/>
              </w:rPr>
              <w:t xml:space="preserve"> </w:t>
            </w:r>
          </w:p>
          <w:p w:rsidR="00447D81" w:rsidRPr="00250A0D" w:rsidRDefault="0033290F" w:rsidP="00A35DBB">
            <w:pPr>
              <w:spacing w:line="276" w:lineRule="auto"/>
              <w:rPr>
                <w:b/>
                <w:sz w:val="20"/>
                <w:szCs w:val="20"/>
              </w:rPr>
            </w:pPr>
            <w:r w:rsidRPr="0033290F">
              <w:rPr>
                <w:b/>
                <w:sz w:val="20"/>
                <w:szCs w:val="20"/>
              </w:rPr>
              <w:t>Podrobnější specifikace v příloze č. 8.</w:t>
            </w:r>
          </w:p>
        </w:tc>
        <w:tc>
          <w:tcPr>
            <w:tcW w:w="2694" w:type="dxa"/>
            <w:tcBorders>
              <w:bottom w:val="single" w:sz="12" w:space="0" w:color="auto"/>
            </w:tcBorders>
            <w:shd w:val="clear" w:color="auto" w:fill="auto"/>
          </w:tcPr>
          <w:p w:rsidR="00447D81" w:rsidRPr="00250A0D" w:rsidRDefault="0033290F" w:rsidP="007E38A1">
            <w:pPr>
              <w:spacing w:line="276" w:lineRule="auto"/>
              <w:rPr>
                <w:rFonts w:eastAsia="Calibri" w:cs="Calibri"/>
                <w:sz w:val="20"/>
                <w:szCs w:val="20"/>
              </w:rPr>
            </w:pPr>
            <w:r w:rsidRPr="0033290F">
              <w:rPr>
                <w:rFonts w:eastAsia="Calibri" w:cs="Calibri"/>
                <w:sz w:val="20"/>
                <w:szCs w:val="20"/>
              </w:rPr>
              <w:lastRenderedPageBreak/>
              <w:t>Plnění proběhne ve čtyřech etapách od podpisu Smlouvy - termíny jsou vázány na zveřejnění příslušných nařízení v Úředním věstníku EU:</w:t>
            </w:r>
          </w:p>
          <w:p w:rsidR="00447D81" w:rsidRPr="00250A0D" w:rsidRDefault="0033290F" w:rsidP="007E38A1">
            <w:pPr>
              <w:spacing w:line="276" w:lineRule="auto"/>
              <w:rPr>
                <w:rFonts w:eastAsia="Calibri" w:cs="Calibri"/>
                <w:sz w:val="20"/>
                <w:szCs w:val="20"/>
              </w:rPr>
            </w:pPr>
            <w:r w:rsidRPr="0033290F">
              <w:rPr>
                <w:rFonts w:eastAsia="Calibri" w:cs="Calibri"/>
                <w:sz w:val="20"/>
                <w:szCs w:val="20"/>
              </w:rPr>
              <w:t>1. Etapa do 30 dnů od podpisu smlouvy (tj. do konce ledna 2014),</w:t>
            </w:r>
          </w:p>
          <w:p w:rsidR="00447D81" w:rsidRPr="00250A0D" w:rsidRDefault="0033290F" w:rsidP="007E38A1">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2. etapa 15 dní od zveřejnění nového nařízení k podpoře de </w:t>
            </w:r>
            <w:proofErr w:type="spellStart"/>
            <w:r w:rsidRPr="0033290F">
              <w:rPr>
                <w:rFonts w:ascii="Cambria" w:hAnsi="Cambria"/>
                <w:color w:val="auto"/>
                <w:sz w:val="20"/>
                <w:szCs w:val="20"/>
              </w:rPr>
              <w:t>minimis</w:t>
            </w:r>
            <w:proofErr w:type="spellEnd"/>
            <w:r w:rsidRPr="0033290F">
              <w:rPr>
                <w:rFonts w:ascii="Cambria" w:hAnsi="Cambria"/>
                <w:color w:val="auto"/>
                <w:sz w:val="20"/>
                <w:szCs w:val="20"/>
              </w:rPr>
              <w:t xml:space="preserve"> </w:t>
            </w:r>
          </w:p>
          <w:p w:rsidR="00447D81" w:rsidRPr="00250A0D" w:rsidRDefault="00447D81" w:rsidP="007E38A1">
            <w:pPr>
              <w:pStyle w:val="Default"/>
              <w:spacing w:afterAutospacing="1"/>
              <w:jc w:val="both"/>
              <w:rPr>
                <w:rFonts w:ascii="Cambria" w:hAnsi="Cambria" w:cs="Calibri"/>
                <w:color w:val="auto"/>
                <w:sz w:val="20"/>
                <w:szCs w:val="20"/>
              </w:rPr>
            </w:pPr>
          </w:p>
          <w:p w:rsidR="00447D81" w:rsidRPr="00250A0D" w:rsidRDefault="0033290F" w:rsidP="007E38A1">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3. etapa 25 dní od zveřejnění nového obecného nařízení k blokovým výjimkám, </w:t>
            </w:r>
          </w:p>
          <w:p w:rsidR="00447D81" w:rsidRPr="00250A0D" w:rsidRDefault="00447D81" w:rsidP="007E38A1">
            <w:pPr>
              <w:pStyle w:val="Default"/>
              <w:spacing w:afterAutospacing="1"/>
              <w:jc w:val="both"/>
              <w:rPr>
                <w:rFonts w:ascii="Cambria" w:hAnsi="Cambria" w:cs="Calibri"/>
                <w:color w:val="auto"/>
                <w:sz w:val="20"/>
                <w:szCs w:val="20"/>
              </w:rPr>
            </w:pPr>
          </w:p>
          <w:p w:rsidR="00447D81" w:rsidRPr="00250A0D" w:rsidRDefault="0033290F" w:rsidP="007E38A1">
            <w:pPr>
              <w:pStyle w:val="Default"/>
              <w:spacing w:afterAutospacing="1"/>
              <w:jc w:val="both"/>
              <w:rPr>
                <w:rFonts w:ascii="Cambria" w:hAnsi="Cambria" w:cs="Calibri"/>
                <w:color w:val="auto"/>
                <w:sz w:val="20"/>
                <w:szCs w:val="20"/>
              </w:rPr>
            </w:pPr>
            <w:r w:rsidRPr="0033290F">
              <w:rPr>
                <w:rFonts w:ascii="Cambria" w:hAnsi="Cambria" w:cs="Calibri"/>
                <w:color w:val="auto"/>
                <w:sz w:val="20"/>
                <w:szCs w:val="20"/>
              </w:rPr>
              <w:t xml:space="preserve">4. etapa finalizace dokumentu. </w:t>
            </w:r>
          </w:p>
          <w:p w:rsidR="00447D81" w:rsidRPr="00250A0D" w:rsidRDefault="00447D81" w:rsidP="007E38A1">
            <w:pPr>
              <w:pStyle w:val="Default"/>
              <w:spacing w:afterAutospacing="1"/>
              <w:jc w:val="both"/>
              <w:rPr>
                <w:rFonts w:ascii="Cambria" w:hAnsi="Cambria" w:cs="Calibri"/>
                <w:color w:val="auto"/>
                <w:sz w:val="20"/>
                <w:szCs w:val="20"/>
              </w:rPr>
            </w:pPr>
          </w:p>
          <w:p w:rsidR="00447D81" w:rsidRPr="00250A0D" w:rsidRDefault="0033290F" w:rsidP="007E38A1">
            <w:pPr>
              <w:spacing w:line="276" w:lineRule="auto"/>
              <w:rPr>
                <w:sz w:val="20"/>
                <w:szCs w:val="20"/>
              </w:rPr>
            </w:pPr>
            <w:r w:rsidRPr="0033290F">
              <w:rPr>
                <w:sz w:val="20"/>
                <w:szCs w:val="20"/>
              </w:rPr>
              <w:t xml:space="preserve">Finální verze do 30. 9. 2014 </w:t>
            </w:r>
          </w:p>
          <w:p w:rsidR="00447D81" w:rsidRPr="00250A0D" w:rsidRDefault="0033290F" w:rsidP="007E38A1">
            <w:pPr>
              <w:spacing w:line="276" w:lineRule="auto"/>
              <w:rPr>
                <w:rFonts w:eastAsia="Calibri" w:cs="Calibri"/>
                <w:sz w:val="20"/>
                <w:szCs w:val="20"/>
              </w:rPr>
            </w:pPr>
            <w:r w:rsidRPr="0033290F">
              <w:rPr>
                <w:sz w:val="20"/>
                <w:szCs w:val="20"/>
              </w:rPr>
              <w:t xml:space="preserve">V současnosti bylo vyhlášeno výběrové řízení na zpracovatele zakázky. Dílo bude předáno do 85 dnů od podpisu smlouvy. </w:t>
            </w:r>
          </w:p>
          <w:p w:rsidR="00447D81" w:rsidRPr="00250A0D" w:rsidDel="00A35DBB" w:rsidRDefault="0033290F" w:rsidP="00B66FDE">
            <w:pPr>
              <w:spacing w:line="276" w:lineRule="auto"/>
              <w:rPr>
                <w:b/>
                <w:sz w:val="20"/>
                <w:szCs w:val="20"/>
              </w:rPr>
            </w:pPr>
            <w:r w:rsidRPr="0033290F">
              <w:rPr>
                <w:sz w:val="20"/>
                <w:szCs w:val="20"/>
              </w:rPr>
              <w:t>Finální verze v průběhu II. pololetí 2014.</w:t>
            </w:r>
          </w:p>
        </w:tc>
        <w:tc>
          <w:tcPr>
            <w:tcW w:w="1701" w:type="dxa"/>
            <w:tcBorders>
              <w:bottom w:val="single" w:sz="12" w:space="0" w:color="auto"/>
            </w:tcBorders>
            <w:shd w:val="clear" w:color="auto" w:fill="auto"/>
          </w:tcPr>
          <w:p w:rsidR="00447D81" w:rsidRPr="00250A0D" w:rsidRDefault="0033290F" w:rsidP="007E38A1">
            <w:pPr>
              <w:spacing w:line="276" w:lineRule="auto"/>
              <w:rPr>
                <w:sz w:val="20"/>
                <w:szCs w:val="20"/>
              </w:rPr>
            </w:pPr>
            <w:r w:rsidRPr="0033290F">
              <w:rPr>
                <w:sz w:val="20"/>
                <w:szCs w:val="20"/>
              </w:rPr>
              <w:lastRenderedPageBreak/>
              <w:t>MMR</w:t>
            </w:r>
          </w:p>
          <w:p w:rsidR="00447D81" w:rsidRPr="00250A0D" w:rsidRDefault="00447D81" w:rsidP="007E38A1">
            <w:pPr>
              <w:spacing w:line="276" w:lineRule="auto"/>
              <w:rPr>
                <w:sz w:val="20"/>
                <w:szCs w:val="20"/>
              </w:rPr>
            </w:pPr>
          </w:p>
          <w:p w:rsidR="00447D81" w:rsidRPr="00250A0D" w:rsidRDefault="00447D81" w:rsidP="007E38A1">
            <w:pPr>
              <w:spacing w:line="276" w:lineRule="auto"/>
              <w:rPr>
                <w:sz w:val="20"/>
                <w:szCs w:val="20"/>
              </w:rPr>
            </w:pPr>
          </w:p>
          <w:p w:rsidR="00447D81" w:rsidRPr="00250A0D" w:rsidRDefault="00447D81" w:rsidP="007E38A1">
            <w:pPr>
              <w:spacing w:line="276" w:lineRule="auto"/>
              <w:rPr>
                <w:sz w:val="20"/>
                <w:szCs w:val="20"/>
              </w:rPr>
            </w:pPr>
          </w:p>
          <w:p w:rsidR="00447D81" w:rsidRPr="00250A0D" w:rsidRDefault="00447D81" w:rsidP="007E38A1">
            <w:pPr>
              <w:spacing w:line="276" w:lineRule="auto"/>
              <w:rPr>
                <w:sz w:val="20"/>
                <w:szCs w:val="20"/>
              </w:rPr>
            </w:pPr>
          </w:p>
          <w:p w:rsidR="00447D81" w:rsidRPr="00250A0D" w:rsidRDefault="0033290F" w:rsidP="007E38A1">
            <w:pPr>
              <w:spacing w:line="276" w:lineRule="auto"/>
              <w:rPr>
                <w:sz w:val="20"/>
                <w:szCs w:val="20"/>
              </w:rPr>
            </w:pPr>
            <w:r w:rsidRPr="0033290F">
              <w:rPr>
                <w:sz w:val="20"/>
                <w:szCs w:val="20"/>
              </w:rPr>
              <w:t>MMR + členové platformy</w:t>
            </w:r>
          </w:p>
          <w:p w:rsidR="00447D81" w:rsidRPr="00250A0D" w:rsidRDefault="00447D81" w:rsidP="007E38A1">
            <w:pPr>
              <w:spacing w:line="276" w:lineRule="auto"/>
              <w:rPr>
                <w:sz w:val="20"/>
                <w:szCs w:val="20"/>
              </w:rPr>
            </w:pPr>
          </w:p>
          <w:p w:rsidR="00447D81" w:rsidRPr="00250A0D" w:rsidRDefault="00447D81" w:rsidP="007E38A1">
            <w:pPr>
              <w:spacing w:line="276" w:lineRule="auto"/>
              <w:rPr>
                <w:sz w:val="20"/>
                <w:szCs w:val="20"/>
              </w:rPr>
            </w:pPr>
          </w:p>
          <w:p w:rsidR="00447D81" w:rsidRPr="00250A0D" w:rsidRDefault="00447D81" w:rsidP="007E38A1">
            <w:pPr>
              <w:spacing w:line="276" w:lineRule="auto"/>
              <w:rPr>
                <w:sz w:val="20"/>
                <w:szCs w:val="20"/>
              </w:rPr>
            </w:pPr>
          </w:p>
          <w:p w:rsidR="00447D81" w:rsidRPr="00250A0D" w:rsidRDefault="00447D81" w:rsidP="007E38A1">
            <w:pPr>
              <w:spacing w:line="276" w:lineRule="auto"/>
              <w:rPr>
                <w:sz w:val="20"/>
                <w:szCs w:val="20"/>
              </w:rPr>
            </w:pPr>
          </w:p>
          <w:p w:rsidR="00447D81" w:rsidRPr="00250A0D" w:rsidRDefault="00447D81" w:rsidP="007E38A1">
            <w:pPr>
              <w:spacing w:line="276" w:lineRule="auto"/>
              <w:rPr>
                <w:sz w:val="20"/>
                <w:szCs w:val="20"/>
              </w:rPr>
            </w:pPr>
          </w:p>
          <w:p w:rsidR="00447D81" w:rsidRPr="00250A0D" w:rsidRDefault="00447D81" w:rsidP="007E38A1">
            <w:pPr>
              <w:spacing w:line="276" w:lineRule="auto"/>
              <w:rPr>
                <w:sz w:val="20"/>
                <w:szCs w:val="20"/>
              </w:rPr>
            </w:pPr>
          </w:p>
          <w:p w:rsidR="00447D81" w:rsidRPr="00250A0D" w:rsidRDefault="0033290F" w:rsidP="007E38A1">
            <w:pPr>
              <w:spacing w:line="276" w:lineRule="auto"/>
              <w:rPr>
                <w:sz w:val="20"/>
                <w:szCs w:val="20"/>
              </w:rPr>
            </w:pPr>
            <w:r w:rsidRPr="0033290F">
              <w:rPr>
                <w:sz w:val="20"/>
                <w:szCs w:val="20"/>
              </w:rPr>
              <w:t>MMR</w:t>
            </w:r>
          </w:p>
          <w:p w:rsidR="00447D81" w:rsidRPr="00250A0D" w:rsidRDefault="00447D81" w:rsidP="007E38A1">
            <w:pPr>
              <w:spacing w:line="276" w:lineRule="auto"/>
              <w:rPr>
                <w:sz w:val="20"/>
                <w:szCs w:val="20"/>
              </w:rPr>
            </w:pPr>
          </w:p>
          <w:p w:rsidR="00447D81" w:rsidRPr="00250A0D" w:rsidRDefault="00447D81" w:rsidP="007E38A1">
            <w:pPr>
              <w:spacing w:line="276" w:lineRule="auto"/>
              <w:rPr>
                <w:sz w:val="20"/>
                <w:szCs w:val="20"/>
              </w:rPr>
            </w:pPr>
          </w:p>
          <w:p w:rsidR="00447D81" w:rsidRPr="00250A0D" w:rsidRDefault="00447D81" w:rsidP="00B66FDE">
            <w:pPr>
              <w:spacing w:line="276" w:lineRule="auto"/>
              <w:rPr>
                <w:b/>
                <w:sz w:val="20"/>
                <w:szCs w:val="20"/>
              </w:rPr>
            </w:pPr>
          </w:p>
        </w:tc>
      </w:tr>
      <w:tr w:rsidR="00BC5C9B" w:rsidRPr="00250A0D" w:rsidTr="000F2740">
        <w:tc>
          <w:tcPr>
            <w:tcW w:w="2376" w:type="dxa"/>
          </w:tcPr>
          <w:p w:rsidR="00BC5C9B" w:rsidRPr="00250A0D" w:rsidRDefault="0033290F" w:rsidP="00B66FDE">
            <w:pPr>
              <w:rPr>
                <w:sz w:val="20"/>
                <w:szCs w:val="20"/>
              </w:rPr>
            </w:pPr>
            <w:r w:rsidRPr="0033290F">
              <w:rPr>
                <w:b/>
                <w:sz w:val="20"/>
                <w:szCs w:val="20"/>
              </w:rPr>
              <w:lastRenderedPageBreak/>
              <w:t xml:space="preserve">Č. 6: Existence opatření pro účinné uplatňování právních předpisů Unie pro oblast životního prostředí týkajících </w:t>
            </w:r>
            <w:proofErr w:type="gramStart"/>
            <w:r w:rsidRPr="0033290F">
              <w:rPr>
                <w:b/>
                <w:sz w:val="20"/>
                <w:szCs w:val="20"/>
              </w:rPr>
              <w:t>se   EIA</w:t>
            </w:r>
            <w:proofErr w:type="gramEnd"/>
            <w:r w:rsidRPr="0033290F">
              <w:rPr>
                <w:b/>
                <w:sz w:val="20"/>
                <w:szCs w:val="20"/>
              </w:rPr>
              <w:t xml:space="preserve"> a SEA</w:t>
            </w:r>
          </w:p>
        </w:tc>
        <w:tc>
          <w:tcPr>
            <w:tcW w:w="2410" w:type="dxa"/>
          </w:tcPr>
          <w:p w:rsidR="00BC5C9B" w:rsidRPr="00250A0D" w:rsidRDefault="0033290F" w:rsidP="00B66FDE">
            <w:pPr>
              <w:rPr>
                <w:sz w:val="20"/>
                <w:szCs w:val="20"/>
              </w:rPr>
            </w:pPr>
            <w:r w:rsidRPr="0033290F">
              <w:rPr>
                <w:sz w:val="20"/>
                <w:szCs w:val="20"/>
              </w:rPr>
              <w:t xml:space="preserve">Opatření pro účinné uplatňování </w:t>
            </w:r>
            <w:r w:rsidRPr="0033290F">
              <w:rPr>
                <w:sz w:val="20"/>
                <w:szCs w:val="20"/>
                <w:u w:val="single"/>
              </w:rPr>
              <w:t xml:space="preserve">směrnice Evropského parlamentu a Rady 2011/92/EU (EIA) </w:t>
            </w:r>
            <w:r w:rsidRPr="0033290F">
              <w:rPr>
                <w:sz w:val="20"/>
                <w:szCs w:val="20"/>
              </w:rPr>
              <w:t>a směrnice Evropského parlamentu a Rady 2001/42/EC (SEA)</w:t>
            </w:r>
          </w:p>
        </w:tc>
        <w:tc>
          <w:tcPr>
            <w:tcW w:w="4961" w:type="dxa"/>
          </w:tcPr>
          <w:p w:rsidR="00BC5C9B" w:rsidRPr="00250A0D" w:rsidRDefault="0033290F" w:rsidP="007E38A1">
            <w:pPr>
              <w:spacing w:line="276" w:lineRule="auto"/>
              <w:rPr>
                <w:rFonts w:cs="Times New Roman"/>
                <w:sz w:val="20"/>
                <w:szCs w:val="20"/>
              </w:rPr>
            </w:pPr>
            <w:r w:rsidRPr="0033290F">
              <w:rPr>
                <w:sz w:val="20"/>
                <w:szCs w:val="20"/>
              </w:rPr>
              <w:t>Novelizace zákona EIA, stavebního zákona a souvisejících právních předpisů.</w:t>
            </w:r>
            <w:r w:rsidRPr="0033290F">
              <w:rPr>
                <w:rFonts w:cs="Times New Roman"/>
                <w:sz w:val="20"/>
                <w:szCs w:val="20"/>
              </w:rPr>
              <w:t xml:space="preserve"> </w:t>
            </w:r>
          </w:p>
          <w:p w:rsidR="00BC5C9B" w:rsidRPr="00250A0D" w:rsidRDefault="0033290F" w:rsidP="007E38A1">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Cílové řešení: </w:t>
            </w:r>
          </w:p>
          <w:p w:rsidR="00BC5C9B" w:rsidRPr="00250A0D" w:rsidRDefault="0033290F" w:rsidP="00821031">
            <w:pPr>
              <w:rPr>
                <w:sz w:val="20"/>
                <w:szCs w:val="20"/>
              </w:rPr>
            </w:pPr>
            <w:r w:rsidRPr="0033290F">
              <w:rPr>
                <w:sz w:val="20"/>
                <w:szCs w:val="20"/>
              </w:rPr>
              <w:t xml:space="preserve">V rámci </w:t>
            </w:r>
            <w:proofErr w:type="spellStart"/>
            <w:r w:rsidRPr="0033290F">
              <w:rPr>
                <w:sz w:val="20"/>
                <w:szCs w:val="20"/>
              </w:rPr>
              <w:t>infringementového</w:t>
            </w:r>
            <w:proofErr w:type="spellEnd"/>
            <w:r w:rsidRPr="0033290F">
              <w:rPr>
                <w:sz w:val="20"/>
                <w:szCs w:val="20"/>
              </w:rPr>
              <w:t xml:space="preserve"> řízení ke směrnici EIA bylo na jednání s Evropskou komisí ze dne 21. 1. 2014 dohodnuto řešení spočívající v úpravě české legislativy, kterou budou v termínu do konce roku 2014 vyřešeny všechny výtky Evropské komise. </w:t>
            </w:r>
            <w:r w:rsidRPr="0033290F">
              <w:rPr>
                <w:rFonts w:cs="Cambria"/>
                <w:sz w:val="20"/>
                <w:szCs w:val="20"/>
              </w:rPr>
              <w:t>Za účelem vypracování návrhu novelizace byla zřízena pracovní skupina, jež je v úzkém kontaktu s Evropskou komisí. Paragrafované znění novely zákona EIA, stavebního zákona a souvisejících právních předpisů bylo v březnu 2014 předloženo do mezirezortního připomínkového řízení, které bylo ukončeno na konci dubna 2014. Novela byla následně upravena na základě připomínek Evropské komise a dne 10. 6. 2014 odsouhlasena Evropskou komisí. Nyní bude pokračováno v souladu se stanoveným harmonogramem tak, aby byla novela účinná od  1.  1.  2015</w:t>
            </w:r>
            <w:r w:rsidRPr="0033290F">
              <w:rPr>
                <w:sz w:val="20"/>
                <w:szCs w:val="20"/>
              </w:rPr>
              <w:t>.</w:t>
            </w:r>
            <w:r w:rsidRPr="0033290F">
              <w:rPr>
                <w:rFonts w:cs="Cambria"/>
                <w:sz w:val="20"/>
                <w:szCs w:val="20"/>
              </w:rPr>
              <w:t xml:space="preserve"> Součástí novelizace je i oblast účasti veřejnosti a jejího přístupu k soudní ochraně.</w:t>
            </w:r>
          </w:p>
        </w:tc>
        <w:tc>
          <w:tcPr>
            <w:tcW w:w="2694" w:type="dxa"/>
          </w:tcPr>
          <w:p w:rsidR="00BC5C9B" w:rsidRPr="00250A0D" w:rsidRDefault="005A07F1" w:rsidP="007E38A1">
            <w:pPr>
              <w:spacing w:line="276" w:lineRule="auto"/>
              <w:rPr>
                <w:sz w:val="20"/>
                <w:szCs w:val="20"/>
              </w:rPr>
            </w:pPr>
            <w:r>
              <w:rPr>
                <w:sz w:val="20"/>
                <w:szCs w:val="20"/>
              </w:rPr>
              <w:t xml:space="preserve">platnost </w:t>
            </w:r>
            <w:proofErr w:type="gramStart"/>
            <w:r>
              <w:rPr>
                <w:sz w:val="20"/>
                <w:szCs w:val="20"/>
              </w:rPr>
              <w:t>30.</w:t>
            </w:r>
            <w:r w:rsidR="0033290F" w:rsidRPr="0033290F">
              <w:rPr>
                <w:sz w:val="20"/>
                <w:szCs w:val="20"/>
              </w:rPr>
              <w:t>11.2014</w:t>
            </w:r>
            <w:proofErr w:type="gramEnd"/>
          </w:p>
          <w:p w:rsidR="00BC5C9B" w:rsidRPr="00250A0D" w:rsidRDefault="0033290F" w:rsidP="007E38A1">
            <w:pPr>
              <w:spacing w:line="276" w:lineRule="auto"/>
              <w:rPr>
                <w:sz w:val="20"/>
                <w:szCs w:val="20"/>
              </w:rPr>
            </w:pPr>
            <w:r w:rsidRPr="0033290F">
              <w:rPr>
                <w:sz w:val="20"/>
                <w:szCs w:val="20"/>
              </w:rPr>
              <w:t>účinnost 01. 01. 2015</w:t>
            </w:r>
          </w:p>
          <w:p w:rsidR="00BC5C9B" w:rsidRPr="00250A0D" w:rsidRDefault="00BC5C9B" w:rsidP="00B66FDE">
            <w:pPr>
              <w:rPr>
                <w:sz w:val="20"/>
                <w:szCs w:val="20"/>
              </w:rPr>
            </w:pPr>
          </w:p>
        </w:tc>
        <w:tc>
          <w:tcPr>
            <w:tcW w:w="1701" w:type="dxa"/>
            <w:vAlign w:val="center"/>
          </w:tcPr>
          <w:p w:rsidR="00BC5C9B" w:rsidRPr="00250A0D" w:rsidRDefault="0033290F" w:rsidP="00B66FDE">
            <w:pPr>
              <w:rPr>
                <w:sz w:val="20"/>
                <w:szCs w:val="20"/>
              </w:rPr>
            </w:pPr>
            <w:r w:rsidRPr="0033290F">
              <w:rPr>
                <w:sz w:val="20"/>
                <w:szCs w:val="20"/>
              </w:rPr>
              <w:t>MŽP, MMR</w:t>
            </w:r>
          </w:p>
        </w:tc>
      </w:tr>
      <w:tr w:rsidR="00BC5C9B" w:rsidRPr="00250A0D" w:rsidTr="000F2740">
        <w:tc>
          <w:tcPr>
            <w:tcW w:w="2376" w:type="dxa"/>
          </w:tcPr>
          <w:p w:rsidR="00BC5C9B" w:rsidRPr="00250A0D" w:rsidRDefault="00BC5C9B" w:rsidP="00B66FDE">
            <w:pPr>
              <w:rPr>
                <w:sz w:val="20"/>
                <w:szCs w:val="20"/>
              </w:rPr>
            </w:pPr>
          </w:p>
        </w:tc>
        <w:tc>
          <w:tcPr>
            <w:tcW w:w="2410" w:type="dxa"/>
          </w:tcPr>
          <w:p w:rsidR="00BC5C9B" w:rsidRPr="00250A0D" w:rsidRDefault="00BC5C9B" w:rsidP="00B66FDE">
            <w:pPr>
              <w:spacing w:line="276" w:lineRule="auto"/>
              <w:rPr>
                <w:sz w:val="20"/>
                <w:szCs w:val="20"/>
              </w:rPr>
            </w:pPr>
          </w:p>
        </w:tc>
        <w:tc>
          <w:tcPr>
            <w:tcW w:w="4961" w:type="dxa"/>
          </w:tcPr>
          <w:p w:rsidR="00BC5C9B" w:rsidRPr="00250A0D" w:rsidRDefault="0033290F" w:rsidP="007E38A1">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Ve vazbě na požadavky EK pro sledování výsledkových indikátorů na podpořené osoby je nezbytné </w:t>
            </w:r>
            <w:r w:rsidRPr="0033290F">
              <w:rPr>
                <w:rFonts w:ascii="Cambria" w:hAnsi="Cambria"/>
                <w:b/>
                <w:bCs/>
                <w:color w:val="auto"/>
                <w:sz w:val="20"/>
                <w:szCs w:val="20"/>
              </w:rPr>
              <w:t>provést legislativní úpravy zákona č. 101/2000 Sb</w:t>
            </w:r>
            <w:r w:rsidRPr="0033290F">
              <w:rPr>
                <w:rFonts w:ascii="Cambria" w:hAnsi="Cambria"/>
                <w:color w:val="auto"/>
                <w:sz w:val="20"/>
                <w:szCs w:val="20"/>
              </w:rPr>
              <w:t xml:space="preserve">., tak aby byla zajištěna možnost sledování </w:t>
            </w:r>
            <w:proofErr w:type="spellStart"/>
            <w:r w:rsidRPr="0033290F">
              <w:rPr>
                <w:rFonts w:ascii="Cambria" w:hAnsi="Cambria"/>
                <w:color w:val="auto"/>
                <w:sz w:val="20"/>
                <w:szCs w:val="20"/>
              </w:rPr>
              <w:t>mikrodat</w:t>
            </w:r>
            <w:proofErr w:type="spellEnd"/>
            <w:r w:rsidRPr="0033290F">
              <w:rPr>
                <w:rFonts w:ascii="Cambria" w:hAnsi="Cambria"/>
                <w:color w:val="auto"/>
                <w:sz w:val="20"/>
                <w:szCs w:val="20"/>
              </w:rPr>
              <w:t xml:space="preserve"> o účastnících. </w:t>
            </w:r>
          </w:p>
          <w:p w:rsidR="00BC5C9B" w:rsidRPr="00250A0D" w:rsidRDefault="0033290F" w:rsidP="00821031">
            <w:pPr>
              <w:rPr>
                <w:sz w:val="20"/>
                <w:szCs w:val="20"/>
              </w:rPr>
            </w:pPr>
            <w:r w:rsidRPr="0033290F">
              <w:rPr>
                <w:sz w:val="20"/>
                <w:szCs w:val="20"/>
              </w:rPr>
              <w:t xml:space="preserve">Ve spolupráci s MPSV připravit technické řešení sběru údajů o účastnících intervencí v podobě zajištění technické </w:t>
            </w:r>
            <w:proofErr w:type="spellStart"/>
            <w:r w:rsidRPr="0033290F">
              <w:rPr>
                <w:sz w:val="20"/>
                <w:szCs w:val="20"/>
              </w:rPr>
              <w:t>provazby</w:t>
            </w:r>
            <w:proofErr w:type="spellEnd"/>
            <w:r w:rsidRPr="0033290F">
              <w:rPr>
                <w:sz w:val="20"/>
                <w:szCs w:val="20"/>
              </w:rPr>
              <w:t xml:space="preserve"> na vybrané datové zdroje (ČSSZ, ÚP případně další).</w:t>
            </w:r>
          </w:p>
        </w:tc>
        <w:tc>
          <w:tcPr>
            <w:tcW w:w="2694" w:type="dxa"/>
          </w:tcPr>
          <w:p w:rsidR="00BC5C9B" w:rsidRPr="00250A0D" w:rsidRDefault="00BC5C9B" w:rsidP="007E38A1">
            <w:pPr>
              <w:spacing w:line="276" w:lineRule="auto"/>
              <w:rPr>
                <w:sz w:val="20"/>
                <w:szCs w:val="20"/>
              </w:rPr>
            </w:pPr>
          </w:p>
          <w:p w:rsidR="00BC5C9B" w:rsidRPr="00250A0D" w:rsidRDefault="0033290F" w:rsidP="007E38A1">
            <w:pPr>
              <w:pStyle w:val="Default"/>
              <w:spacing w:afterAutospacing="1"/>
              <w:jc w:val="both"/>
              <w:rPr>
                <w:rFonts w:ascii="Cambria" w:hAnsi="Cambria"/>
                <w:color w:val="auto"/>
                <w:sz w:val="20"/>
                <w:szCs w:val="20"/>
              </w:rPr>
            </w:pPr>
            <w:r w:rsidRPr="0033290F">
              <w:rPr>
                <w:rFonts w:ascii="Cambria" w:hAnsi="Cambria"/>
                <w:color w:val="auto"/>
                <w:sz w:val="20"/>
                <w:szCs w:val="20"/>
              </w:rPr>
              <w:t xml:space="preserve">v průběhu roku 2014 </w:t>
            </w:r>
          </w:p>
          <w:p w:rsidR="00BC5C9B" w:rsidRPr="00250A0D" w:rsidRDefault="00BC5C9B" w:rsidP="00B66FDE">
            <w:pPr>
              <w:rPr>
                <w:sz w:val="20"/>
                <w:szCs w:val="20"/>
              </w:rPr>
            </w:pPr>
          </w:p>
        </w:tc>
        <w:tc>
          <w:tcPr>
            <w:tcW w:w="1701" w:type="dxa"/>
            <w:vAlign w:val="center"/>
          </w:tcPr>
          <w:p w:rsidR="00BC5C9B" w:rsidRPr="00250A0D" w:rsidRDefault="0033290F" w:rsidP="00B66FDE">
            <w:pPr>
              <w:rPr>
                <w:sz w:val="20"/>
                <w:szCs w:val="20"/>
              </w:rPr>
            </w:pPr>
            <w:r w:rsidRPr="0033290F">
              <w:rPr>
                <w:sz w:val="20"/>
                <w:szCs w:val="20"/>
              </w:rPr>
              <w:t xml:space="preserve">MMR, Úřad vlády (Úřad pro ochranu osobních údajů) + ŘO ESF programů, které mají povinnost monitorovat účastníky projektů v rámci </w:t>
            </w:r>
            <w:r w:rsidRPr="0033290F">
              <w:rPr>
                <w:sz w:val="20"/>
                <w:szCs w:val="20"/>
              </w:rPr>
              <w:lastRenderedPageBreak/>
              <w:t xml:space="preserve">povinných společných indikátorů ( MPSV, HMP, MŠMT) </w:t>
            </w:r>
          </w:p>
        </w:tc>
      </w:tr>
      <w:tr w:rsidR="00BC5C9B" w:rsidRPr="00250A0D" w:rsidTr="000F2740">
        <w:tc>
          <w:tcPr>
            <w:tcW w:w="2376" w:type="dxa"/>
          </w:tcPr>
          <w:p w:rsidR="00BC5C9B" w:rsidRPr="00250A0D" w:rsidRDefault="00BC5C9B" w:rsidP="00B66FDE">
            <w:pPr>
              <w:rPr>
                <w:sz w:val="20"/>
                <w:szCs w:val="20"/>
              </w:rPr>
            </w:pPr>
          </w:p>
        </w:tc>
        <w:tc>
          <w:tcPr>
            <w:tcW w:w="2410" w:type="dxa"/>
          </w:tcPr>
          <w:p w:rsidR="00BC5C9B" w:rsidRPr="00250A0D" w:rsidRDefault="00BC5C9B" w:rsidP="00B66FDE">
            <w:pPr>
              <w:spacing w:line="276" w:lineRule="auto"/>
              <w:rPr>
                <w:sz w:val="20"/>
                <w:szCs w:val="20"/>
              </w:rPr>
            </w:pPr>
          </w:p>
        </w:tc>
        <w:tc>
          <w:tcPr>
            <w:tcW w:w="4961" w:type="dxa"/>
          </w:tcPr>
          <w:p w:rsidR="00BC5C9B" w:rsidRPr="00250A0D" w:rsidRDefault="0033290F" w:rsidP="00821031">
            <w:pPr>
              <w:rPr>
                <w:sz w:val="20"/>
                <w:szCs w:val="20"/>
              </w:rPr>
            </w:pPr>
            <w:r w:rsidRPr="0033290F">
              <w:rPr>
                <w:sz w:val="20"/>
                <w:szCs w:val="20"/>
              </w:rPr>
              <w:t>Tvorba Národního číselníku indikátorů pro programové období 2014-2020</w:t>
            </w:r>
          </w:p>
        </w:tc>
        <w:tc>
          <w:tcPr>
            <w:tcW w:w="2694" w:type="dxa"/>
          </w:tcPr>
          <w:p w:rsidR="00BC5C9B" w:rsidRPr="00250A0D" w:rsidRDefault="0033290F" w:rsidP="00B66FDE">
            <w:pPr>
              <w:rPr>
                <w:sz w:val="20"/>
                <w:szCs w:val="20"/>
              </w:rPr>
            </w:pPr>
            <w:r w:rsidRPr="0033290F">
              <w:rPr>
                <w:sz w:val="20"/>
                <w:szCs w:val="20"/>
              </w:rPr>
              <w:t>v průběhu roku 2014</w:t>
            </w:r>
          </w:p>
        </w:tc>
        <w:tc>
          <w:tcPr>
            <w:tcW w:w="1701" w:type="dxa"/>
            <w:vAlign w:val="center"/>
          </w:tcPr>
          <w:p w:rsidR="00BC5C9B" w:rsidRPr="00250A0D" w:rsidRDefault="0033290F" w:rsidP="00B66FDE">
            <w:pPr>
              <w:rPr>
                <w:sz w:val="20"/>
                <w:szCs w:val="20"/>
              </w:rPr>
            </w:pPr>
            <w:r w:rsidRPr="0033290F">
              <w:rPr>
                <w:sz w:val="20"/>
                <w:szCs w:val="20"/>
              </w:rPr>
              <w:t xml:space="preserve">MMR, ŘO </w:t>
            </w:r>
          </w:p>
        </w:tc>
      </w:tr>
      <w:tr w:rsidR="00CB3D6C" w:rsidRPr="00250A0D" w:rsidTr="000F2740">
        <w:tc>
          <w:tcPr>
            <w:tcW w:w="2376" w:type="dxa"/>
          </w:tcPr>
          <w:p w:rsidR="00CB3D6C" w:rsidRPr="00250A0D" w:rsidRDefault="0033290F" w:rsidP="00451DF3">
            <w:pPr>
              <w:spacing w:line="276" w:lineRule="auto"/>
              <w:rPr>
                <w:sz w:val="20"/>
                <w:szCs w:val="20"/>
              </w:rPr>
            </w:pPr>
            <w:r w:rsidRPr="0033290F">
              <w:rPr>
                <w:sz w:val="20"/>
                <w:szCs w:val="20"/>
              </w:rPr>
              <w:t xml:space="preserve"> </w:t>
            </w:r>
            <w:r w:rsidRPr="0033290F">
              <w:rPr>
                <w:b/>
                <w:sz w:val="20"/>
                <w:szCs w:val="20"/>
              </w:rPr>
              <w:t xml:space="preserve">Č. 7a Existence statistického základu nezbytného k provádění hodnocení za účelem posouzení účinnosti a dopadu programů. </w:t>
            </w:r>
          </w:p>
        </w:tc>
        <w:tc>
          <w:tcPr>
            <w:tcW w:w="2410" w:type="dxa"/>
          </w:tcPr>
          <w:p w:rsidR="00CB3D6C" w:rsidRPr="00250A0D" w:rsidRDefault="0033290F" w:rsidP="00B66FDE">
            <w:pPr>
              <w:spacing w:line="276" w:lineRule="auto"/>
              <w:rPr>
                <w:sz w:val="20"/>
                <w:szCs w:val="20"/>
              </w:rPr>
            </w:pPr>
            <w:r w:rsidRPr="0033290F">
              <w:rPr>
                <w:sz w:val="20"/>
                <w:szCs w:val="20"/>
              </w:rPr>
              <w:t xml:space="preserve">Jsou vypracována opatření pro včasný sběr a agregaci statistických údajů, která obsahují tyto prvky: </w:t>
            </w:r>
          </w:p>
        </w:tc>
        <w:tc>
          <w:tcPr>
            <w:tcW w:w="4961" w:type="dxa"/>
          </w:tcPr>
          <w:p w:rsidR="00CB3D6C" w:rsidRPr="00250A0D" w:rsidRDefault="0033290F" w:rsidP="00821031">
            <w:pPr>
              <w:spacing w:line="276" w:lineRule="auto"/>
              <w:rPr>
                <w:sz w:val="20"/>
                <w:szCs w:val="20"/>
              </w:rPr>
            </w:pPr>
            <w:r w:rsidRPr="0033290F">
              <w:rPr>
                <w:sz w:val="20"/>
                <w:szCs w:val="20"/>
              </w:rPr>
              <w:t xml:space="preserve">Metodický pokyn pro evaluace, publicitu včetně navazujících metodických dokumentů ŘO </w:t>
            </w:r>
          </w:p>
        </w:tc>
        <w:tc>
          <w:tcPr>
            <w:tcW w:w="2694" w:type="dxa"/>
          </w:tcPr>
          <w:p w:rsidR="00CB3D6C" w:rsidRPr="00250A0D" w:rsidRDefault="0033290F" w:rsidP="00B66FDE">
            <w:pPr>
              <w:spacing w:line="276" w:lineRule="auto"/>
              <w:rPr>
                <w:sz w:val="20"/>
                <w:szCs w:val="20"/>
              </w:rPr>
            </w:pPr>
            <w:r w:rsidRPr="0033290F">
              <w:rPr>
                <w:sz w:val="20"/>
                <w:szCs w:val="20"/>
              </w:rPr>
              <w:t xml:space="preserve">v průběhu roku 2014 </w:t>
            </w:r>
          </w:p>
        </w:tc>
        <w:tc>
          <w:tcPr>
            <w:tcW w:w="1701" w:type="dxa"/>
            <w:vAlign w:val="center"/>
          </w:tcPr>
          <w:p w:rsidR="00CB3D6C" w:rsidRPr="00250A0D" w:rsidRDefault="0033290F" w:rsidP="00B66FDE">
            <w:pPr>
              <w:spacing w:line="276" w:lineRule="auto"/>
              <w:rPr>
                <w:sz w:val="20"/>
                <w:szCs w:val="20"/>
              </w:rPr>
            </w:pPr>
            <w:r w:rsidRPr="0033290F">
              <w:rPr>
                <w:sz w:val="20"/>
                <w:szCs w:val="20"/>
              </w:rPr>
              <w:t xml:space="preserve">MMR, ŘO </w:t>
            </w:r>
          </w:p>
        </w:tc>
      </w:tr>
      <w:tr w:rsidR="00CB3D6C" w:rsidRPr="00250A0D" w:rsidTr="007E38A1">
        <w:tc>
          <w:tcPr>
            <w:tcW w:w="2376" w:type="dxa"/>
          </w:tcPr>
          <w:p w:rsidR="00CB3D6C" w:rsidRPr="00250A0D" w:rsidRDefault="0033290F" w:rsidP="00451DF3">
            <w:pPr>
              <w:spacing w:line="276" w:lineRule="auto"/>
              <w:rPr>
                <w:sz w:val="20"/>
                <w:szCs w:val="20"/>
              </w:rPr>
            </w:pPr>
            <w:r w:rsidRPr="0033290F">
              <w:rPr>
                <w:sz w:val="20"/>
                <w:szCs w:val="20"/>
              </w:rPr>
              <w:t xml:space="preserve">Určení zdrojů a mechanismů pro zajištění statistického ověřování  </w:t>
            </w:r>
          </w:p>
        </w:tc>
        <w:tc>
          <w:tcPr>
            <w:tcW w:w="2410" w:type="dxa"/>
          </w:tcPr>
          <w:p w:rsidR="00CB3D6C" w:rsidRPr="00250A0D" w:rsidRDefault="0033290F" w:rsidP="00B66FDE">
            <w:pPr>
              <w:spacing w:line="276" w:lineRule="auto"/>
              <w:rPr>
                <w:sz w:val="20"/>
                <w:szCs w:val="20"/>
              </w:rPr>
            </w:pPr>
            <w:r w:rsidRPr="0033290F">
              <w:rPr>
                <w:sz w:val="20"/>
                <w:szCs w:val="20"/>
              </w:rPr>
              <w:t xml:space="preserve">Vytvoření jednotného metodického prostředí pro tvorbu programových dokumentů a indikátorových soustav (MP přípravy PD – schváleno, MP zásady tvorby a používání indikátorů – v přípravě, MP monitorování – v přípravě, Národní číselník indikátorů – v přípravě. </w:t>
            </w:r>
          </w:p>
        </w:tc>
        <w:tc>
          <w:tcPr>
            <w:tcW w:w="4961" w:type="dxa"/>
          </w:tcPr>
          <w:p w:rsidR="00CB3D6C" w:rsidRPr="00250A0D" w:rsidRDefault="0033290F" w:rsidP="00821031">
            <w:pPr>
              <w:spacing w:line="276" w:lineRule="auto"/>
              <w:rPr>
                <w:sz w:val="20"/>
                <w:szCs w:val="20"/>
              </w:rPr>
            </w:pPr>
            <w:r w:rsidRPr="0033290F">
              <w:rPr>
                <w:sz w:val="20"/>
                <w:szCs w:val="20"/>
              </w:rPr>
              <w:t xml:space="preserve">v průběhu roku 2014 </w:t>
            </w:r>
          </w:p>
        </w:tc>
        <w:tc>
          <w:tcPr>
            <w:tcW w:w="2694" w:type="dxa"/>
            <w:vAlign w:val="center"/>
          </w:tcPr>
          <w:p w:rsidR="00CB3D6C" w:rsidRPr="00250A0D" w:rsidRDefault="0033290F" w:rsidP="007E38A1">
            <w:pPr>
              <w:spacing w:line="276" w:lineRule="auto"/>
              <w:rPr>
                <w:sz w:val="20"/>
                <w:szCs w:val="20"/>
              </w:rPr>
            </w:pPr>
            <w:r w:rsidRPr="0033290F">
              <w:rPr>
                <w:sz w:val="20"/>
                <w:szCs w:val="20"/>
              </w:rPr>
              <w:t xml:space="preserve">MMR, ŘO </w:t>
            </w:r>
          </w:p>
          <w:p w:rsidR="00CB3D6C" w:rsidRPr="00250A0D" w:rsidRDefault="00CB3D6C" w:rsidP="00B66FDE">
            <w:pPr>
              <w:spacing w:line="276" w:lineRule="auto"/>
              <w:rPr>
                <w:sz w:val="20"/>
                <w:szCs w:val="20"/>
              </w:rPr>
            </w:pPr>
          </w:p>
        </w:tc>
        <w:tc>
          <w:tcPr>
            <w:tcW w:w="1701" w:type="dxa"/>
            <w:vAlign w:val="center"/>
          </w:tcPr>
          <w:p w:rsidR="00CB3D6C" w:rsidRPr="00250A0D" w:rsidRDefault="00CB3D6C" w:rsidP="00B66FDE">
            <w:pPr>
              <w:spacing w:line="276" w:lineRule="auto"/>
              <w:rPr>
                <w:sz w:val="20"/>
                <w:szCs w:val="20"/>
              </w:rPr>
            </w:pPr>
          </w:p>
        </w:tc>
      </w:tr>
      <w:tr w:rsidR="00CB3D6C" w:rsidRPr="00250A0D" w:rsidTr="007E38A1">
        <w:tc>
          <w:tcPr>
            <w:tcW w:w="2376" w:type="dxa"/>
          </w:tcPr>
          <w:p w:rsidR="00CB3D6C" w:rsidRPr="00250A0D" w:rsidRDefault="0033290F" w:rsidP="00451DF3">
            <w:pPr>
              <w:spacing w:line="276" w:lineRule="auto"/>
              <w:rPr>
                <w:sz w:val="20"/>
                <w:szCs w:val="20"/>
              </w:rPr>
            </w:pPr>
            <w:r w:rsidRPr="0033290F">
              <w:rPr>
                <w:sz w:val="20"/>
                <w:szCs w:val="20"/>
              </w:rPr>
              <w:lastRenderedPageBreak/>
              <w:t xml:space="preserve">Opatření pro zveřejňování a zpřístupňování souhrnných informací veřejnosti </w:t>
            </w:r>
          </w:p>
        </w:tc>
        <w:tc>
          <w:tcPr>
            <w:tcW w:w="2410" w:type="dxa"/>
          </w:tcPr>
          <w:p w:rsidR="00CB3D6C" w:rsidRPr="00250A0D" w:rsidRDefault="0033290F" w:rsidP="00B66FDE">
            <w:pPr>
              <w:spacing w:line="276" w:lineRule="auto"/>
              <w:rPr>
                <w:sz w:val="20"/>
                <w:szCs w:val="20"/>
              </w:rPr>
            </w:pPr>
            <w:r w:rsidRPr="0033290F">
              <w:rPr>
                <w:sz w:val="20"/>
                <w:szCs w:val="20"/>
              </w:rPr>
              <w:t xml:space="preserve">Vytvoření jednotného metodického prostředí pro tvorbu programových dokumentů a indikátorových soustav. </w:t>
            </w:r>
          </w:p>
        </w:tc>
        <w:tc>
          <w:tcPr>
            <w:tcW w:w="4961" w:type="dxa"/>
          </w:tcPr>
          <w:p w:rsidR="00CB3D6C" w:rsidRPr="00250A0D" w:rsidRDefault="0033290F" w:rsidP="00821031">
            <w:pPr>
              <w:spacing w:line="276" w:lineRule="auto"/>
              <w:rPr>
                <w:sz w:val="20"/>
                <w:szCs w:val="20"/>
              </w:rPr>
            </w:pPr>
            <w:r w:rsidRPr="0033290F">
              <w:rPr>
                <w:sz w:val="20"/>
                <w:szCs w:val="20"/>
              </w:rPr>
              <w:t xml:space="preserve">v průběhu roku 2014 </w:t>
            </w:r>
          </w:p>
        </w:tc>
        <w:tc>
          <w:tcPr>
            <w:tcW w:w="2694" w:type="dxa"/>
            <w:vAlign w:val="center"/>
          </w:tcPr>
          <w:p w:rsidR="00CB3D6C" w:rsidRPr="00250A0D" w:rsidRDefault="0033290F" w:rsidP="007E38A1">
            <w:pPr>
              <w:spacing w:line="276" w:lineRule="auto"/>
              <w:rPr>
                <w:sz w:val="20"/>
                <w:szCs w:val="20"/>
              </w:rPr>
            </w:pPr>
            <w:r w:rsidRPr="0033290F">
              <w:rPr>
                <w:sz w:val="20"/>
                <w:szCs w:val="20"/>
              </w:rPr>
              <w:t xml:space="preserve">MMR, ŘO </w:t>
            </w:r>
          </w:p>
          <w:p w:rsidR="00CB3D6C" w:rsidRPr="00250A0D" w:rsidRDefault="00CB3D6C" w:rsidP="00B66FDE">
            <w:pPr>
              <w:spacing w:line="276" w:lineRule="auto"/>
              <w:rPr>
                <w:sz w:val="20"/>
                <w:szCs w:val="20"/>
              </w:rPr>
            </w:pPr>
          </w:p>
        </w:tc>
        <w:tc>
          <w:tcPr>
            <w:tcW w:w="1701" w:type="dxa"/>
            <w:vAlign w:val="center"/>
          </w:tcPr>
          <w:p w:rsidR="00CB3D6C" w:rsidRPr="00250A0D" w:rsidRDefault="00CB3D6C" w:rsidP="00B66FDE">
            <w:pPr>
              <w:spacing w:line="276" w:lineRule="auto"/>
              <w:rPr>
                <w:sz w:val="20"/>
                <w:szCs w:val="20"/>
              </w:rPr>
            </w:pPr>
          </w:p>
        </w:tc>
      </w:tr>
      <w:tr w:rsidR="00CB3D6C" w:rsidRPr="00250A0D" w:rsidTr="000F2740">
        <w:tc>
          <w:tcPr>
            <w:tcW w:w="2376" w:type="dxa"/>
          </w:tcPr>
          <w:p w:rsidR="00CB3D6C" w:rsidRPr="00250A0D" w:rsidRDefault="0033290F" w:rsidP="00CB3D6C">
            <w:pPr>
              <w:spacing w:line="276" w:lineRule="auto"/>
              <w:rPr>
                <w:b/>
                <w:sz w:val="20"/>
                <w:szCs w:val="20"/>
              </w:rPr>
            </w:pPr>
            <w:r w:rsidRPr="0033290F">
              <w:rPr>
                <w:b/>
                <w:sz w:val="20"/>
                <w:szCs w:val="20"/>
              </w:rPr>
              <w:t>7b Existence systému ukazatelů výsledku nezbytného k výběru opatření, jež budou nejúčinněji přispívat k dosahování požadovaných výsledků, k monitorování pokroků při dosahování výsledků a k provedení posouzení dopadů</w:t>
            </w:r>
          </w:p>
          <w:p w:rsidR="00CB3D6C" w:rsidRPr="00250A0D" w:rsidRDefault="00CB3D6C" w:rsidP="00451DF3">
            <w:pPr>
              <w:spacing w:line="276" w:lineRule="auto"/>
              <w:rPr>
                <w:b/>
                <w:sz w:val="20"/>
                <w:szCs w:val="20"/>
              </w:rPr>
            </w:pPr>
          </w:p>
        </w:tc>
        <w:tc>
          <w:tcPr>
            <w:tcW w:w="2410" w:type="dxa"/>
          </w:tcPr>
          <w:p w:rsidR="00CB3D6C" w:rsidRPr="00250A0D" w:rsidDel="00451DF3" w:rsidRDefault="0033290F" w:rsidP="00B66FDE">
            <w:pPr>
              <w:rPr>
                <w:sz w:val="20"/>
                <w:szCs w:val="20"/>
              </w:rPr>
            </w:pPr>
            <w:r w:rsidRPr="0033290F">
              <w:rPr>
                <w:sz w:val="20"/>
                <w:szCs w:val="20"/>
              </w:rPr>
              <w:t xml:space="preserve">Účinný systém ukazatelů výsledků, včetně: </w:t>
            </w:r>
          </w:p>
        </w:tc>
        <w:tc>
          <w:tcPr>
            <w:tcW w:w="4961" w:type="dxa"/>
          </w:tcPr>
          <w:p w:rsidR="00CB3D6C" w:rsidRPr="00250A0D" w:rsidDel="007471B7" w:rsidRDefault="0033290F" w:rsidP="00821031">
            <w:pPr>
              <w:rPr>
                <w:sz w:val="20"/>
                <w:szCs w:val="20"/>
              </w:rPr>
            </w:pPr>
            <w:r w:rsidRPr="0033290F">
              <w:rPr>
                <w:sz w:val="20"/>
                <w:szCs w:val="20"/>
              </w:rPr>
              <w:t xml:space="preserve">Schválení programů </w:t>
            </w:r>
          </w:p>
        </w:tc>
        <w:tc>
          <w:tcPr>
            <w:tcW w:w="2694" w:type="dxa"/>
          </w:tcPr>
          <w:p w:rsidR="00CB3D6C" w:rsidRPr="00250A0D" w:rsidDel="007471B7" w:rsidRDefault="0033290F" w:rsidP="00B66FDE">
            <w:pPr>
              <w:rPr>
                <w:sz w:val="20"/>
                <w:szCs w:val="20"/>
              </w:rPr>
            </w:pPr>
            <w:r w:rsidRPr="0033290F">
              <w:rPr>
                <w:sz w:val="20"/>
                <w:szCs w:val="20"/>
              </w:rPr>
              <w:t xml:space="preserve">v průběhu roku 2014 </w:t>
            </w:r>
          </w:p>
        </w:tc>
        <w:tc>
          <w:tcPr>
            <w:tcW w:w="1701" w:type="dxa"/>
            <w:vAlign w:val="center"/>
          </w:tcPr>
          <w:p w:rsidR="00CB3D6C" w:rsidRPr="00250A0D" w:rsidRDefault="0033290F" w:rsidP="007E38A1">
            <w:pPr>
              <w:spacing w:line="276" w:lineRule="auto"/>
              <w:rPr>
                <w:sz w:val="20"/>
                <w:szCs w:val="20"/>
              </w:rPr>
            </w:pPr>
            <w:r w:rsidRPr="0033290F">
              <w:rPr>
                <w:sz w:val="20"/>
                <w:szCs w:val="20"/>
              </w:rPr>
              <w:t xml:space="preserve">ŘO </w:t>
            </w:r>
          </w:p>
          <w:p w:rsidR="00CB3D6C" w:rsidRPr="00250A0D" w:rsidDel="00451DF3" w:rsidRDefault="00CB3D6C" w:rsidP="00B66FDE">
            <w:pPr>
              <w:rPr>
                <w:sz w:val="20"/>
                <w:szCs w:val="20"/>
              </w:rPr>
            </w:pPr>
          </w:p>
        </w:tc>
      </w:tr>
      <w:tr w:rsidR="00CB3D6C" w:rsidRPr="00250A0D" w:rsidTr="000F2740">
        <w:tc>
          <w:tcPr>
            <w:tcW w:w="2376" w:type="dxa"/>
            <w:vMerge w:val="restart"/>
          </w:tcPr>
          <w:p w:rsidR="00CB3D6C" w:rsidRPr="00250A0D" w:rsidRDefault="00CB3D6C" w:rsidP="00B66FDE">
            <w:pPr>
              <w:spacing w:line="276" w:lineRule="auto"/>
              <w:rPr>
                <w:sz w:val="20"/>
                <w:szCs w:val="20"/>
              </w:rPr>
            </w:pPr>
            <w:r w:rsidRPr="00250A0D">
              <w:rPr>
                <w:sz w:val="20"/>
                <w:szCs w:val="20"/>
              </w:rPr>
              <w:t xml:space="preserve"> </w:t>
            </w:r>
          </w:p>
        </w:tc>
        <w:tc>
          <w:tcPr>
            <w:tcW w:w="2410" w:type="dxa"/>
          </w:tcPr>
          <w:p w:rsidR="00CB3D6C" w:rsidRPr="00250A0D" w:rsidRDefault="0033290F" w:rsidP="00B66FDE">
            <w:pPr>
              <w:spacing w:line="276" w:lineRule="auto"/>
              <w:rPr>
                <w:sz w:val="20"/>
                <w:szCs w:val="20"/>
              </w:rPr>
            </w:pPr>
            <w:r w:rsidRPr="0033290F">
              <w:rPr>
                <w:sz w:val="20"/>
                <w:szCs w:val="20"/>
              </w:rPr>
              <w:t xml:space="preserve">výběru ukazatelů výsledků pro každý program, poskytujících informace o tom, co motivuje k výběru opatření financovaných daným programem </w:t>
            </w:r>
          </w:p>
        </w:tc>
        <w:tc>
          <w:tcPr>
            <w:tcW w:w="4961" w:type="dxa"/>
          </w:tcPr>
          <w:p w:rsidR="00CB3D6C" w:rsidRPr="00250A0D" w:rsidRDefault="0033290F" w:rsidP="00CB3D6C">
            <w:pPr>
              <w:spacing w:line="276" w:lineRule="auto"/>
              <w:rPr>
                <w:sz w:val="20"/>
                <w:szCs w:val="20"/>
              </w:rPr>
            </w:pPr>
            <w:r w:rsidRPr="0033290F">
              <w:rPr>
                <w:sz w:val="20"/>
                <w:szCs w:val="20"/>
              </w:rPr>
              <w:t xml:space="preserve">Vytvoření jednotného metodického prostředí pro tvorbu indikátorových soustav a monitorování (MP Zásady tvorby a používání indikátorů v programovém období 2014-2020, včetně Národního číselníku indikátorů a navazující MP monitorování 2014-2020) </w:t>
            </w:r>
          </w:p>
        </w:tc>
        <w:tc>
          <w:tcPr>
            <w:tcW w:w="2694" w:type="dxa"/>
          </w:tcPr>
          <w:p w:rsidR="00CB3D6C" w:rsidRPr="00250A0D" w:rsidRDefault="0033290F" w:rsidP="00B66FDE">
            <w:pPr>
              <w:spacing w:line="276" w:lineRule="auto"/>
              <w:rPr>
                <w:sz w:val="20"/>
                <w:szCs w:val="20"/>
              </w:rPr>
            </w:pPr>
            <w:r w:rsidRPr="0033290F">
              <w:rPr>
                <w:sz w:val="20"/>
                <w:szCs w:val="20"/>
              </w:rPr>
              <w:t xml:space="preserve">v průběhu roku 2014 </w:t>
            </w:r>
          </w:p>
        </w:tc>
        <w:tc>
          <w:tcPr>
            <w:tcW w:w="1701" w:type="dxa"/>
            <w:vAlign w:val="center"/>
          </w:tcPr>
          <w:p w:rsidR="00CB3D6C" w:rsidRPr="00250A0D" w:rsidRDefault="0033290F" w:rsidP="007E38A1">
            <w:pPr>
              <w:spacing w:line="276" w:lineRule="auto"/>
              <w:rPr>
                <w:sz w:val="20"/>
                <w:szCs w:val="20"/>
              </w:rPr>
            </w:pPr>
            <w:r w:rsidRPr="0033290F">
              <w:rPr>
                <w:sz w:val="20"/>
                <w:szCs w:val="20"/>
              </w:rPr>
              <w:t xml:space="preserve">MMR, ŘO </w:t>
            </w:r>
          </w:p>
          <w:p w:rsidR="00CB3D6C" w:rsidRPr="00250A0D" w:rsidRDefault="00CB3D6C" w:rsidP="00451DF3">
            <w:pPr>
              <w:spacing w:line="276" w:lineRule="auto"/>
              <w:rPr>
                <w:sz w:val="20"/>
                <w:szCs w:val="20"/>
              </w:rPr>
            </w:pPr>
          </w:p>
        </w:tc>
      </w:tr>
      <w:tr w:rsidR="00CB3D6C" w:rsidRPr="00250A0D" w:rsidTr="000F2740">
        <w:tc>
          <w:tcPr>
            <w:tcW w:w="2376" w:type="dxa"/>
            <w:vMerge/>
          </w:tcPr>
          <w:p w:rsidR="00CB3D6C" w:rsidRPr="00250A0D" w:rsidRDefault="00CB3D6C" w:rsidP="00B66FDE">
            <w:pPr>
              <w:spacing w:line="276" w:lineRule="auto"/>
              <w:rPr>
                <w:sz w:val="20"/>
                <w:szCs w:val="20"/>
              </w:rPr>
            </w:pPr>
          </w:p>
        </w:tc>
        <w:tc>
          <w:tcPr>
            <w:tcW w:w="2410" w:type="dxa"/>
          </w:tcPr>
          <w:p w:rsidR="00CB3D6C" w:rsidRPr="00250A0D" w:rsidRDefault="0033290F" w:rsidP="00B66FDE">
            <w:pPr>
              <w:spacing w:line="276" w:lineRule="auto"/>
              <w:rPr>
                <w:sz w:val="20"/>
                <w:szCs w:val="20"/>
              </w:rPr>
            </w:pPr>
            <w:r w:rsidRPr="0033290F">
              <w:rPr>
                <w:sz w:val="20"/>
                <w:szCs w:val="20"/>
              </w:rPr>
              <w:t>vytyčení cílů pro tyto ukazatele</w:t>
            </w:r>
          </w:p>
        </w:tc>
        <w:tc>
          <w:tcPr>
            <w:tcW w:w="4961" w:type="dxa"/>
          </w:tcPr>
          <w:p w:rsidR="00CB3D6C" w:rsidRPr="00250A0D" w:rsidRDefault="0033290F" w:rsidP="00821031">
            <w:pPr>
              <w:spacing w:line="276" w:lineRule="auto"/>
              <w:rPr>
                <w:sz w:val="20"/>
                <w:szCs w:val="20"/>
              </w:rPr>
            </w:pPr>
            <w:r w:rsidRPr="0033290F">
              <w:rPr>
                <w:sz w:val="20"/>
                <w:szCs w:val="20"/>
              </w:rPr>
              <w:t>Vytvoření jednotného metodického prostředí pro tvorbu indikátorových soustav – MP indikátorů 2014-2020 a</w:t>
            </w:r>
            <w:r w:rsidR="00060663">
              <w:rPr>
                <w:sz w:val="20"/>
                <w:szCs w:val="20"/>
              </w:rPr>
              <w:t xml:space="preserve"> </w:t>
            </w:r>
            <w:r w:rsidRPr="0033290F">
              <w:rPr>
                <w:sz w:val="20"/>
                <w:szCs w:val="20"/>
              </w:rPr>
              <w:t>následně NČI2014+</w:t>
            </w:r>
            <w:r w:rsidR="00060663">
              <w:rPr>
                <w:sz w:val="20"/>
                <w:szCs w:val="20"/>
              </w:rPr>
              <w:t>.</w:t>
            </w:r>
            <w:r w:rsidRPr="0033290F">
              <w:rPr>
                <w:sz w:val="20"/>
                <w:szCs w:val="20"/>
              </w:rPr>
              <w:t xml:space="preserve"> </w:t>
            </w:r>
          </w:p>
        </w:tc>
        <w:tc>
          <w:tcPr>
            <w:tcW w:w="2694" w:type="dxa"/>
          </w:tcPr>
          <w:p w:rsidR="00CB3D6C" w:rsidRPr="00250A0D" w:rsidRDefault="0033290F" w:rsidP="007E38A1">
            <w:pPr>
              <w:spacing w:line="276" w:lineRule="auto"/>
              <w:rPr>
                <w:sz w:val="20"/>
                <w:szCs w:val="20"/>
              </w:rPr>
            </w:pPr>
            <w:r w:rsidRPr="0033290F">
              <w:rPr>
                <w:sz w:val="20"/>
                <w:szCs w:val="20"/>
              </w:rPr>
              <w:t>MP indikátorů 2014-2020 – plněno</w:t>
            </w:r>
          </w:p>
          <w:p w:rsidR="00CB3D6C" w:rsidRPr="00250A0D" w:rsidRDefault="0033290F" w:rsidP="007E38A1">
            <w:pPr>
              <w:spacing w:line="276" w:lineRule="auto"/>
              <w:rPr>
                <w:sz w:val="20"/>
                <w:szCs w:val="20"/>
              </w:rPr>
            </w:pPr>
            <w:r w:rsidRPr="0033290F">
              <w:rPr>
                <w:sz w:val="20"/>
                <w:szCs w:val="20"/>
              </w:rPr>
              <w:t>NČI 2014+ - v průběhu roku 2014</w:t>
            </w:r>
          </w:p>
          <w:p w:rsidR="00CB3D6C" w:rsidRPr="00250A0D" w:rsidRDefault="0033290F" w:rsidP="00B66FDE">
            <w:pPr>
              <w:spacing w:line="276" w:lineRule="auto"/>
              <w:rPr>
                <w:sz w:val="20"/>
                <w:szCs w:val="20"/>
              </w:rPr>
            </w:pPr>
            <w:r w:rsidRPr="0033290F">
              <w:rPr>
                <w:sz w:val="20"/>
                <w:szCs w:val="20"/>
              </w:rPr>
              <w:t xml:space="preserve">v průběhu roku 2014 </w:t>
            </w:r>
          </w:p>
        </w:tc>
        <w:tc>
          <w:tcPr>
            <w:tcW w:w="1701" w:type="dxa"/>
            <w:vAlign w:val="center"/>
          </w:tcPr>
          <w:p w:rsidR="00CB3D6C" w:rsidRPr="00250A0D" w:rsidRDefault="0033290F" w:rsidP="007E38A1">
            <w:pPr>
              <w:spacing w:line="276" w:lineRule="auto"/>
              <w:rPr>
                <w:sz w:val="20"/>
                <w:szCs w:val="20"/>
              </w:rPr>
            </w:pPr>
            <w:r w:rsidRPr="0033290F">
              <w:rPr>
                <w:sz w:val="20"/>
                <w:szCs w:val="20"/>
              </w:rPr>
              <w:t xml:space="preserve">MMR, ŘO </w:t>
            </w:r>
          </w:p>
          <w:p w:rsidR="00674BC9" w:rsidRDefault="00674BC9">
            <w:pPr>
              <w:rPr>
                <w:sz w:val="20"/>
                <w:szCs w:val="20"/>
              </w:rPr>
            </w:pPr>
          </w:p>
        </w:tc>
      </w:tr>
      <w:tr w:rsidR="00CB3D6C" w:rsidRPr="00250A0D" w:rsidTr="000F2740">
        <w:tc>
          <w:tcPr>
            <w:tcW w:w="2376" w:type="dxa"/>
          </w:tcPr>
          <w:p w:rsidR="00CB3D6C" w:rsidRPr="00250A0D" w:rsidRDefault="00CB3D6C" w:rsidP="00B66FDE">
            <w:pPr>
              <w:rPr>
                <w:sz w:val="20"/>
                <w:szCs w:val="20"/>
              </w:rPr>
            </w:pPr>
          </w:p>
        </w:tc>
        <w:tc>
          <w:tcPr>
            <w:tcW w:w="2410" w:type="dxa"/>
          </w:tcPr>
          <w:p w:rsidR="00CB3D6C" w:rsidRPr="00250A0D" w:rsidRDefault="0033290F" w:rsidP="00B66FDE">
            <w:pPr>
              <w:spacing w:line="276" w:lineRule="auto"/>
              <w:rPr>
                <w:sz w:val="20"/>
                <w:szCs w:val="20"/>
              </w:rPr>
            </w:pPr>
            <w:r w:rsidRPr="0033290F">
              <w:rPr>
                <w:sz w:val="20"/>
                <w:szCs w:val="20"/>
              </w:rPr>
              <w:t xml:space="preserve">každý ukazatel musí splňovat tyto podmínky: robustnost a statistickou validaci, jasný normativní výklad, soulad s politikami, včasný sběr údajů </w:t>
            </w:r>
          </w:p>
        </w:tc>
        <w:tc>
          <w:tcPr>
            <w:tcW w:w="4961" w:type="dxa"/>
          </w:tcPr>
          <w:p w:rsidR="00CB3D6C" w:rsidRPr="00250A0D" w:rsidRDefault="00CB3D6C" w:rsidP="00821031">
            <w:pPr>
              <w:spacing w:line="276" w:lineRule="auto"/>
              <w:rPr>
                <w:sz w:val="20"/>
                <w:szCs w:val="20"/>
              </w:rPr>
            </w:pPr>
          </w:p>
        </w:tc>
        <w:tc>
          <w:tcPr>
            <w:tcW w:w="2694" w:type="dxa"/>
          </w:tcPr>
          <w:p w:rsidR="00CB3D6C" w:rsidRPr="00250A0D" w:rsidRDefault="00CB3D6C" w:rsidP="007E38A1">
            <w:pPr>
              <w:spacing w:line="276" w:lineRule="auto"/>
              <w:rPr>
                <w:sz w:val="20"/>
                <w:szCs w:val="20"/>
              </w:rPr>
            </w:pPr>
          </w:p>
        </w:tc>
        <w:tc>
          <w:tcPr>
            <w:tcW w:w="1701" w:type="dxa"/>
            <w:vAlign w:val="center"/>
          </w:tcPr>
          <w:p w:rsidR="00CB3D6C" w:rsidRPr="00250A0D" w:rsidRDefault="00CB3D6C" w:rsidP="007E38A1">
            <w:pPr>
              <w:spacing w:line="276" w:lineRule="auto"/>
              <w:rPr>
                <w:sz w:val="20"/>
                <w:szCs w:val="20"/>
              </w:rPr>
            </w:pPr>
          </w:p>
        </w:tc>
      </w:tr>
      <w:tr w:rsidR="00CB3D6C" w:rsidRPr="00250A0D" w:rsidTr="000F2740">
        <w:tc>
          <w:tcPr>
            <w:tcW w:w="2376" w:type="dxa"/>
          </w:tcPr>
          <w:p w:rsidR="00CB3D6C" w:rsidRPr="00250A0D" w:rsidRDefault="00CB3D6C" w:rsidP="00B66FDE">
            <w:pPr>
              <w:rPr>
                <w:sz w:val="20"/>
                <w:szCs w:val="20"/>
              </w:rPr>
            </w:pPr>
          </w:p>
        </w:tc>
        <w:tc>
          <w:tcPr>
            <w:tcW w:w="2410" w:type="dxa"/>
          </w:tcPr>
          <w:p w:rsidR="00CB3D6C" w:rsidRPr="00250A0D" w:rsidRDefault="0033290F" w:rsidP="00B66FDE">
            <w:pPr>
              <w:spacing w:line="276" w:lineRule="auto"/>
              <w:rPr>
                <w:sz w:val="20"/>
                <w:szCs w:val="20"/>
              </w:rPr>
            </w:pPr>
            <w:r w:rsidRPr="0033290F">
              <w:rPr>
                <w:sz w:val="20"/>
                <w:szCs w:val="20"/>
              </w:rPr>
              <w:t xml:space="preserve">postupy zajišťující, aby všechny operace financované z programu používaly účinný systém ukazatelů </w:t>
            </w:r>
          </w:p>
        </w:tc>
        <w:tc>
          <w:tcPr>
            <w:tcW w:w="4961" w:type="dxa"/>
          </w:tcPr>
          <w:p w:rsidR="00CB3D6C" w:rsidRPr="00250A0D" w:rsidRDefault="00CB3D6C" w:rsidP="00821031">
            <w:pPr>
              <w:spacing w:line="276" w:lineRule="auto"/>
              <w:rPr>
                <w:sz w:val="20"/>
                <w:szCs w:val="20"/>
              </w:rPr>
            </w:pPr>
          </w:p>
        </w:tc>
        <w:tc>
          <w:tcPr>
            <w:tcW w:w="2694" w:type="dxa"/>
          </w:tcPr>
          <w:p w:rsidR="00CB3D6C" w:rsidRPr="00250A0D" w:rsidRDefault="00CB3D6C" w:rsidP="007E38A1">
            <w:pPr>
              <w:spacing w:line="276" w:lineRule="auto"/>
              <w:rPr>
                <w:sz w:val="20"/>
                <w:szCs w:val="20"/>
              </w:rPr>
            </w:pPr>
          </w:p>
        </w:tc>
        <w:tc>
          <w:tcPr>
            <w:tcW w:w="1701" w:type="dxa"/>
            <w:vAlign w:val="center"/>
          </w:tcPr>
          <w:p w:rsidR="00CB3D6C" w:rsidRPr="00250A0D" w:rsidRDefault="00CB3D6C" w:rsidP="007E38A1">
            <w:pPr>
              <w:spacing w:line="276" w:lineRule="auto"/>
              <w:rPr>
                <w:sz w:val="20"/>
                <w:szCs w:val="20"/>
              </w:rPr>
            </w:pPr>
          </w:p>
        </w:tc>
      </w:tr>
    </w:tbl>
    <w:p w:rsidR="009F47AE" w:rsidRDefault="009F47AE" w:rsidP="00B66FDE"/>
    <w:p w:rsidR="009F47AE" w:rsidRDefault="009F47AE" w:rsidP="00B66FDE">
      <w:bookmarkStart w:id="3473" w:name="_Toc384907555"/>
    </w:p>
    <w:p w:rsidR="009E5E7B" w:rsidRDefault="009E5E7B" w:rsidP="00B66FDE"/>
    <w:p w:rsidR="009E5E7B" w:rsidRDefault="009E5E7B" w:rsidP="00B66FDE"/>
    <w:p w:rsidR="009E5E7B" w:rsidRDefault="009E5E7B" w:rsidP="00B66FDE"/>
    <w:p w:rsidR="00B540DC" w:rsidRPr="004314F4" w:rsidRDefault="00273E5C" w:rsidP="002C1A28">
      <w:pPr>
        <w:pStyle w:val="Titulek"/>
      </w:pPr>
      <w:r>
        <w:lastRenderedPageBreak/>
        <w:t xml:space="preserve">Opatření, která je třeba přijmout, aby byly splněny tematické předběžné podmínky </w:t>
      </w:r>
      <w:bookmarkEnd w:id="3473"/>
    </w:p>
    <w:tbl>
      <w:tblPr>
        <w:tblStyle w:val="Mkatabulky"/>
        <w:tblW w:w="14177" w:type="dxa"/>
        <w:tblLook w:val="04A0" w:firstRow="1" w:lastRow="0" w:firstColumn="1" w:lastColumn="0" w:noHBand="0" w:noVBand="1"/>
      </w:tblPr>
      <w:tblGrid>
        <w:gridCol w:w="6"/>
        <w:gridCol w:w="2366"/>
        <w:gridCol w:w="2397"/>
        <w:gridCol w:w="3703"/>
        <w:gridCol w:w="2483"/>
        <w:gridCol w:w="3222"/>
      </w:tblGrid>
      <w:tr w:rsidR="00867818" w:rsidRPr="00250A0D" w:rsidTr="009E5E7B">
        <w:trPr>
          <w:gridBefore w:val="1"/>
          <w:wBefore w:w="6" w:type="dxa"/>
          <w:tblHeader/>
        </w:trPr>
        <w:tc>
          <w:tcPr>
            <w:tcW w:w="2366" w:type="dxa"/>
            <w:tcBorders>
              <w:bottom w:val="single" w:sz="12" w:space="0" w:color="auto"/>
            </w:tcBorders>
            <w:shd w:val="clear" w:color="auto" w:fill="A6A6A6" w:themeFill="background1" w:themeFillShade="A6"/>
          </w:tcPr>
          <w:p w:rsidR="00B540DC" w:rsidRPr="00250A0D" w:rsidRDefault="0033290F" w:rsidP="00B66FDE">
            <w:pPr>
              <w:spacing w:line="276" w:lineRule="auto"/>
              <w:rPr>
                <w:b/>
                <w:sz w:val="20"/>
                <w:szCs w:val="20"/>
              </w:rPr>
            </w:pPr>
            <w:r w:rsidRPr="009E5E7B">
              <w:rPr>
                <w:b/>
                <w:sz w:val="20"/>
                <w:szCs w:val="20"/>
              </w:rPr>
              <w:t xml:space="preserve">Tematické </w:t>
            </w:r>
            <w:r w:rsidRPr="0033290F">
              <w:rPr>
                <w:b/>
                <w:sz w:val="20"/>
                <w:szCs w:val="20"/>
              </w:rPr>
              <w:t>předběžné podmínky</w:t>
            </w:r>
          </w:p>
        </w:tc>
        <w:tc>
          <w:tcPr>
            <w:tcW w:w="2397" w:type="dxa"/>
            <w:tcBorders>
              <w:bottom w:val="single" w:sz="12" w:space="0" w:color="auto"/>
            </w:tcBorders>
            <w:shd w:val="clear" w:color="auto" w:fill="A6A6A6" w:themeFill="background1" w:themeFillShade="A6"/>
          </w:tcPr>
          <w:p w:rsidR="00B540DC" w:rsidRPr="00250A0D" w:rsidRDefault="0033290F" w:rsidP="00B66FDE">
            <w:pPr>
              <w:spacing w:line="276" w:lineRule="auto"/>
              <w:rPr>
                <w:b/>
                <w:sz w:val="20"/>
                <w:szCs w:val="20"/>
              </w:rPr>
            </w:pPr>
            <w:r w:rsidRPr="0033290F">
              <w:rPr>
                <w:b/>
                <w:sz w:val="20"/>
                <w:szCs w:val="20"/>
              </w:rPr>
              <w:t>Nesplněná kritéria</w:t>
            </w:r>
          </w:p>
        </w:tc>
        <w:tc>
          <w:tcPr>
            <w:tcW w:w="3703" w:type="dxa"/>
            <w:tcBorders>
              <w:bottom w:val="single" w:sz="12" w:space="0" w:color="auto"/>
            </w:tcBorders>
            <w:shd w:val="clear" w:color="auto" w:fill="A6A6A6" w:themeFill="background1" w:themeFillShade="A6"/>
          </w:tcPr>
          <w:p w:rsidR="00B540DC" w:rsidRPr="00250A0D" w:rsidRDefault="0033290F" w:rsidP="00273E5C">
            <w:pPr>
              <w:spacing w:line="276" w:lineRule="auto"/>
              <w:rPr>
                <w:b/>
                <w:sz w:val="20"/>
                <w:szCs w:val="20"/>
              </w:rPr>
            </w:pPr>
            <w:r w:rsidRPr="0033290F">
              <w:rPr>
                <w:b/>
                <w:sz w:val="20"/>
                <w:szCs w:val="20"/>
              </w:rPr>
              <w:t xml:space="preserve">Opatření, která je třeba přijmout </w:t>
            </w:r>
          </w:p>
        </w:tc>
        <w:tc>
          <w:tcPr>
            <w:tcW w:w="2483" w:type="dxa"/>
            <w:tcBorders>
              <w:bottom w:val="single" w:sz="12" w:space="0" w:color="auto"/>
            </w:tcBorders>
            <w:shd w:val="clear" w:color="auto" w:fill="A6A6A6" w:themeFill="background1" w:themeFillShade="A6"/>
          </w:tcPr>
          <w:p w:rsidR="00B540DC" w:rsidRPr="00250A0D" w:rsidRDefault="0033290F" w:rsidP="00B66FDE">
            <w:pPr>
              <w:spacing w:line="276" w:lineRule="auto"/>
              <w:rPr>
                <w:b/>
                <w:sz w:val="20"/>
                <w:szCs w:val="20"/>
              </w:rPr>
            </w:pPr>
            <w:r w:rsidRPr="0033290F">
              <w:rPr>
                <w:b/>
                <w:sz w:val="20"/>
                <w:szCs w:val="20"/>
              </w:rPr>
              <w:t>Lhůta (datum)</w:t>
            </w:r>
          </w:p>
        </w:tc>
        <w:tc>
          <w:tcPr>
            <w:tcW w:w="3222" w:type="dxa"/>
            <w:tcBorders>
              <w:bottom w:val="single" w:sz="12" w:space="0" w:color="auto"/>
            </w:tcBorders>
            <w:shd w:val="clear" w:color="auto" w:fill="A6A6A6" w:themeFill="background1" w:themeFillShade="A6"/>
          </w:tcPr>
          <w:p w:rsidR="00B540DC" w:rsidRPr="00250A0D" w:rsidRDefault="0033290F" w:rsidP="00B66FDE">
            <w:pPr>
              <w:spacing w:line="276" w:lineRule="auto"/>
              <w:rPr>
                <w:b/>
                <w:sz w:val="20"/>
                <w:szCs w:val="20"/>
              </w:rPr>
            </w:pPr>
            <w:r w:rsidRPr="0033290F">
              <w:rPr>
                <w:b/>
                <w:sz w:val="20"/>
                <w:szCs w:val="20"/>
              </w:rPr>
              <w:t>Subjekty odpovědné za plnění</w:t>
            </w:r>
          </w:p>
        </w:tc>
      </w:tr>
      <w:tr w:rsidR="00EA3429" w:rsidRPr="00250A0D" w:rsidTr="00F625C4">
        <w:trPr>
          <w:gridBefore w:val="1"/>
          <w:wBefore w:w="6" w:type="dxa"/>
        </w:trPr>
        <w:tc>
          <w:tcPr>
            <w:tcW w:w="2366" w:type="dxa"/>
            <w:vMerge w:val="restart"/>
            <w:tcBorders>
              <w:top w:val="single" w:sz="12" w:space="0" w:color="auto"/>
            </w:tcBorders>
          </w:tcPr>
          <w:p w:rsidR="00EA3429" w:rsidRPr="00250A0D" w:rsidRDefault="0033290F" w:rsidP="007E38A1">
            <w:pPr>
              <w:spacing w:line="276" w:lineRule="auto"/>
              <w:rPr>
                <w:b/>
                <w:sz w:val="20"/>
                <w:szCs w:val="20"/>
              </w:rPr>
            </w:pPr>
            <w:r w:rsidRPr="0033290F">
              <w:rPr>
                <w:rFonts w:cs="Arial"/>
                <w:b/>
                <w:bCs/>
                <w:sz w:val="20"/>
                <w:szCs w:val="20"/>
              </w:rPr>
              <w:t>4.1. Byla provedena opatření na podporu nákladově efektivního zvyšování energetické účinnosti u koncového uživatele a nákladově efektivních investic do energetické účinnosti při výstavbě a renovaci budov.</w:t>
            </w:r>
          </w:p>
        </w:tc>
        <w:tc>
          <w:tcPr>
            <w:tcW w:w="2397" w:type="dxa"/>
            <w:tcBorders>
              <w:top w:val="single" w:sz="12" w:space="0" w:color="auto"/>
            </w:tcBorders>
          </w:tcPr>
          <w:p w:rsidR="00EA3429" w:rsidRPr="00250A0D" w:rsidRDefault="0033290F" w:rsidP="007E38A1">
            <w:pPr>
              <w:spacing w:line="276" w:lineRule="auto"/>
              <w:rPr>
                <w:rFonts w:cs="Arial"/>
                <w:sz w:val="20"/>
                <w:szCs w:val="20"/>
              </w:rPr>
            </w:pPr>
            <w:r w:rsidRPr="0033290F">
              <w:rPr>
                <w:rFonts w:cs="Arial"/>
                <w:sz w:val="20"/>
                <w:szCs w:val="20"/>
              </w:rPr>
              <w:t xml:space="preserve">Opatření k zajištění minimálních požadavků týkajících se energetické náročnosti budov v souladu s články 3, 4 a 5 směrnice Evropského parlamentu a Rady 2010/31/EU, </w:t>
            </w:r>
          </w:p>
        </w:tc>
        <w:tc>
          <w:tcPr>
            <w:tcW w:w="3703" w:type="dxa"/>
            <w:tcBorders>
              <w:top w:val="single" w:sz="12" w:space="0" w:color="auto"/>
            </w:tcBorders>
          </w:tcPr>
          <w:p w:rsidR="00EA3429" w:rsidRPr="00250A0D" w:rsidRDefault="0033290F" w:rsidP="007E38A1">
            <w:pPr>
              <w:pStyle w:val="Tabulka"/>
              <w:jc w:val="left"/>
              <w:rPr>
                <w:rFonts w:ascii="Cambria" w:hAnsi="Cambria"/>
                <w:sz w:val="20"/>
                <w:szCs w:val="20"/>
              </w:rPr>
            </w:pPr>
            <w:r w:rsidRPr="0033290F">
              <w:rPr>
                <w:rFonts w:ascii="Cambria" w:hAnsi="Cambria"/>
                <w:sz w:val="20"/>
                <w:szCs w:val="20"/>
              </w:rPr>
              <w:t xml:space="preserve">Úprava zákona č. 406/2000 Sb., o hospodaření energií a vyhlášky č. 78/2013 Sb. </w:t>
            </w:r>
          </w:p>
          <w:p w:rsidR="00EA3429" w:rsidRPr="00250A0D" w:rsidDel="00C8176E" w:rsidRDefault="00EA3429" w:rsidP="007E38A1">
            <w:pPr>
              <w:pStyle w:val="Tabulka"/>
              <w:jc w:val="left"/>
              <w:rPr>
                <w:rFonts w:ascii="Cambria" w:hAnsi="Cambria"/>
                <w:sz w:val="20"/>
                <w:szCs w:val="20"/>
              </w:rPr>
            </w:pPr>
          </w:p>
          <w:p w:rsidR="00EA3429" w:rsidRPr="00250A0D" w:rsidRDefault="00EA3429" w:rsidP="007E38A1">
            <w:pPr>
              <w:spacing w:line="276" w:lineRule="auto"/>
              <w:rPr>
                <w:rFonts w:cs="Arial"/>
                <w:sz w:val="20"/>
                <w:szCs w:val="20"/>
              </w:rPr>
            </w:pPr>
          </w:p>
          <w:p w:rsidR="00EA3429" w:rsidRPr="00250A0D" w:rsidRDefault="00EA3429" w:rsidP="007E38A1">
            <w:pPr>
              <w:spacing w:line="276" w:lineRule="auto"/>
              <w:rPr>
                <w:rFonts w:cs="Arial"/>
                <w:sz w:val="20"/>
                <w:szCs w:val="20"/>
              </w:rPr>
            </w:pPr>
          </w:p>
        </w:tc>
        <w:tc>
          <w:tcPr>
            <w:tcW w:w="2483" w:type="dxa"/>
            <w:tcBorders>
              <w:top w:val="single" w:sz="12" w:space="0" w:color="auto"/>
            </w:tcBorders>
          </w:tcPr>
          <w:p w:rsidR="00EA3429" w:rsidRPr="00250A0D" w:rsidRDefault="0033290F" w:rsidP="007E38A1">
            <w:pPr>
              <w:pStyle w:val="Tabulka"/>
              <w:spacing w:after="100"/>
              <w:jc w:val="left"/>
              <w:rPr>
                <w:rFonts w:ascii="Cambria" w:hAnsi="Cambria"/>
                <w:sz w:val="20"/>
                <w:szCs w:val="20"/>
              </w:rPr>
            </w:pPr>
            <w:r w:rsidRPr="0033290F">
              <w:rPr>
                <w:rFonts w:ascii="Cambria" w:hAnsi="Cambria"/>
                <w:sz w:val="20"/>
                <w:szCs w:val="20"/>
              </w:rPr>
              <w:t>Předložení návrhu vládě</w:t>
            </w:r>
          </w:p>
          <w:p w:rsidR="00EA3429" w:rsidRPr="00250A0D" w:rsidRDefault="0033290F" w:rsidP="007E38A1">
            <w:pPr>
              <w:pStyle w:val="Tabulka"/>
              <w:spacing w:after="100"/>
              <w:jc w:val="left"/>
              <w:rPr>
                <w:rFonts w:ascii="Cambria" w:hAnsi="Cambria"/>
                <w:sz w:val="20"/>
                <w:szCs w:val="20"/>
              </w:rPr>
            </w:pPr>
            <w:proofErr w:type="gramStart"/>
            <w:r w:rsidRPr="0033290F">
              <w:rPr>
                <w:rFonts w:ascii="Cambria" w:hAnsi="Cambria"/>
                <w:sz w:val="20"/>
                <w:szCs w:val="20"/>
              </w:rPr>
              <w:t>30.06.2014</w:t>
            </w:r>
            <w:proofErr w:type="gramEnd"/>
          </w:p>
          <w:p w:rsidR="00EA3429" w:rsidRPr="00250A0D" w:rsidRDefault="0033290F" w:rsidP="007E38A1">
            <w:pPr>
              <w:pStyle w:val="Tabulka"/>
              <w:spacing w:after="100"/>
              <w:jc w:val="left"/>
              <w:rPr>
                <w:rFonts w:ascii="Cambria" w:hAnsi="Cambria"/>
                <w:sz w:val="20"/>
                <w:szCs w:val="20"/>
              </w:rPr>
            </w:pPr>
            <w:r w:rsidRPr="0033290F">
              <w:rPr>
                <w:rFonts w:ascii="Cambria" w:hAnsi="Cambria"/>
                <w:sz w:val="20"/>
                <w:szCs w:val="20"/>
              </w:rPr>
              <w:t xml:space="preserve">Předložení Parlamentu </w:t>
            </w:r>
          </w:p>
          <w:p w:rsidR="00EA3429" w:rsidRPr="00250A0D" w:rsidRDefault="0033290F" w:rsidP="007E38A1">
            <w:pPr>
              <w:pStyle w:val="Tabulka"/>
              <w:spacing w:after="100"/>
              <w:jc w:val="left"/>
              <w:rPr>
                <w:rFonts w:ascii="Cambria" w:hAnsi="Cambria"/>
                <w:sz w:val="20"/>
                <w:szCs w:val="20"/>
              </w:rPr>
            </w:pPr>
            <w:proofErr w:type="gramStart"/>
            <w:r w:rsidRPr="0033290F">
              <w:rPr>
                <w:rFonts w:ascii="Cambria" w:hAnsi="Cambria"/>
                <w:sz w:val="20"/>
                <w:szCs w:val="20"/>
              </w:rPr>
              <w:t>30.09.2014</w:t>
            </w:r>
            <w:proofErr w:type="gramEnd"/>
          </w:p>
          <w:p w:rsidR="00EA3429" w:rsidRPr="00250A0D" w:rsidRDefault="0033290F" w:rsidP="007E38A1">
            <w:pPr>
              <w:pStyle w:val="Tabulka"/>
              <w:spacing w:after="100"/>
              <w:jc w:val="left"/>
              <w:rPr>
                <w:rFonts w:ascii="Cambria" w:hAnsi="Cambria"/>
                <w:sz w:val="20"/>
                <w:szCs w:val="20"/>
              </w:rPr>
            </w:pPr>
            <w:r w:rsidRPr="0033290F">
              <w:rPr>
                <w:rFonts w:ascii="Cambria" w:hAnsi="Cambria"/>
                <w:sz w:val="20"/>
                <w:szCs w:val="20"/>
              </w:rPr>
              <w:t>Předpokládané nabytí účinnosti</w:t>
            </w:r>
          </w:p>
          <w:p w:rsidR="00EA3429" w:rsidRPr="00250A0D" w:rsidRDefault="0033290F" w:rsidP="007E38A1">
            <w:pPr>
              <w:spacing w:line="276" w:lineRule="auto"/>
              <w:rPr>
                <w:rFonts w:cs="Arial"/>
                <w:sz w:val="20"/>
                <w:szCs w:val="20"/>
              </w:rPr>
            </w:pPr>
            <w:proofErr w:type="gramStart"/>
            <w:r w:rsidRPr="0033290F">
              <w:rPr>
                <w:sz w:val="20"/>
                <w:szCs w:val="20"/>
              </w:rPr>
              <w:t>01.01.2015</w:t>
            </w:r>
            <w:proofErr w:type="gramEnd"/>
          </w:p>
        </w:tc>
        <w:tc>
          <w:tcPr>
            <w:tcW w:w="3222" w:type="dxa"/>
            <w:tcBorders>
              <w:top w:val="single" w:sz="12" w:space="0" w:color="auto"/>
            </w:tcBorders>
          </w:tcPr>
          <w:p w:rsidR="00EA3429" w:rsidRPr="00250A0D" w:rsidRDefault="0033290F" w:rsidP="007E38A1">
            <w:pPr>
              <w:spacing w:line="276" w:lineRule="auto"/>
              <w:rPr>
                <w:sz w:val="20"/>
                <w:szCs w:val="20"/>
              </w:rPr>
            </w:pPr>
            <w:r w:rsidRPr="0033290F">
              <w:rPr>
                <w:sz w:val="20"/>
                <w:szCs w:val="20"/>
              </w:rPr>
              <w:t>MPO</w:t>
            </w:r>
          </w:p>
        </w:tc>
      </w:tr>
      <w:tr w:rsidR="00EA3429" w:rsidRPr="00250A0D" w:rsidTr="00F625C4">
        <w:trPr>
          <w:gridBefore w:val="1"/>
          <w:wBefore w:w="6" w:type="dxa"/>
        </w:trPr>
        <w:tc>
          <w:tcPr>
            <w:tcW w:w="2366" w:type="dxa"/>
            <w:vMerge/>
            <w:tcBorders>
              <w:bottom w:val="nil"/>
            </w:tcBorders>
          </w:tcPr>
          <w:p w:rsidR="00EA3429" w:rsidRPr="00250A0D" w:rsidRDefault="00EA3429" w:rsidP="007E38A1">
            <w:pPr>
              <w:spacing w:line="276" w:lineRule="auto"/>
              <w:rPr>
                <w:sz w:val="20"/>
                <w:szCs w:val="20"/>
              </w:rPr>
            </w:pPr>
          </w:p>
        </w:tc>
        <w:tc>
          <w:tcPr>
            <w:tcW w:w="2397" w:type="dxa"/>
          </w:tcPr>
          <w:p w:rsidR="00EA3429" w:rsidRPr="00250A0D" w:rsidRDefault="0033290F" w:rsidP="007E38A1">
            <w:pPr>
              <w:spacing w:line="276" w:lineRule="auto"/>
              <w:rPr>
                <w:rFonts w:cs="Arial"/>
                <w:sz w:val="20"/>
                <w:szCs w:val="20"/>
              </w:rPr>
            </w:pPr>
            <w:r w:rsidRPr="0033290F">
              <w:rPr>
                <w:rFonts w:cs="Arial"/>
                <w:sz w:val="20"/>
                <w:szCs w:val="20"/>
              </w:rPr>
              <w:t>Opatření nezbytná pro zavedení systému certifikace energetické náročnosti budov v souladu s článkem 11 směrnice 2010/31/EU,</w:t>
            </w:r>
          </w:p>
        </w:tc>
        <w:tc>
          <w:tcPr>
            <w:tcW w:w="3703" w:type="dxa"/>
          </w:tcPr>
          <w:p w:rsidR="00EA3429" w:rsidRPr="00250A0D" w:rsidRDefault="0033290F" w:rsidP="007E38A1">
            <w:pPr>
              <w:pStyle w:val="Tabulka"/>
              <w:jc w:val="left"/>
              <w:rPr>
                <w:rFonts w:ascii="Cambria" w:hAnsi="Cambria"/>
                <w:sz w:val="20"/>
                <w:szCs w:val="20"/>
              </w:rPr>
            </w:pPr>
            <w:r w:rsidRPr="0033290F">
              <w:rPr>
                <w:rFonts w:ascii="Cambria" w:hAnsi="Cambria"/>
                <w:sz w:val="20"/>
                <w:szCs w:val="20"/>
              </w:rPr>
              <w:t xml:space="preserve">Úprava zákona č. 406/2000 Sb., o hospodaření energií a vyhlášky č. 78/2013 Sb. </w:t>
            </w:r>
          </w:p>
          <w:p w:rsidR="00EA3429" w:rsidRPr="00250A0D" w:rsidRDefault="00EA3429" w:rsidP="007E38A1">
            <w:pPr>
              <w:spacing w:line="276" w:lineRule="auto"/>
              <w:rPr>
                <w:rFonts w:cs="Arial"/>
                <w:sz w:val="20"/>
                <w:szCs w:val="20"/>
              </w:rPr>
            </w:pPr>
          </w:p>
        </w:tc>
        <w:tc>
          <w:tcPr>
            <w:tcW w:w="2483" w:type="dxa"/>
          </w:tcPr>
          <w:p w:rsidR="00EA3429" w:rsidRPr="00250A0D" w:rsidRDefault="0033290F" w:rsidP="007E38A1">
            <w:pPr>
              <w:pStyle w:val="Tabulka"/>
              <w:jc w:val="left"/>
              <w:rPr>
                <w:rFonts w:ascii="Cambria" w:hAnsi="Cambria"/>
                <w:sz w:val="20"/>
                <w:szCs w:val="20"/>
              </w:rPr>
            </w:pPr>
            <w:r w:rsidRPr="0033290F">
              <w:rPr>
                <w:rFonts w:ascii="Cambria" w:hAnsi="Cambria"/>
                <w:sz w:val="20"/>
                <w:szCs w:val="20"/>
              </w:rPr>
              <w:t>Předložení návrhu vládě</w:t>
            </w:r>
          </w:p>
          <w:p w:rsidR="00EA3429" w:rsidRPr="00250A0D" w:rsidRDefault="0033290F" w:rsidP="007E38A1">
            <w:pPr>
              <w:pStyle w:val="Tabulka"/>
              <w:jc w:val="left"/>
              <w:rPr>
                <w:rFonts w:ascii="Cambria" w:hAnsi="Cambria"/>
                <w:sz w:val="20"/>
                <w:szCs w:val="20"/>
              </w:rPr>
            </w:pPr>
            <w:proofErr w:type="gramStart"/>
            <w:r w:rsidRPr="0033290F">
              <w:rPr>
                <w:rFonts w:ascii="Cambria" w:hAnsi="Cambria"/>
                <w:sz w:val="20"/>
                <w:szCs w:val="20"/>
              </w:rPr>
              <w:t>30.06.2014</w:t>
            </w:r>
            <w:proofErr w:type="gramEnd"/>
          </w:p>
          <w:p w:rsidR="00EA3429" w:rsidRPr="00250A0D" w:rsidRDefault="0033290F" w:rsidP="007E38A1">
            <w:pPr>
              <w:pStyle w:val="Tabulka"/>
              <w:jc w:val="left"/>
              <w:rPr>
                <w:rFonts w:ascii="Cambria" w:hAnsi="Cambria"/>
                <w:sz w:val="20"/>
                <w:szCs w:val="20"/>
              </w:rPr>
            </w:pPr>
            <w:r w:rsidRPr="0033290F">
              <w:rPr>
                <w:rFonts w:ascii="Cambria" w:hAnsi="Cambria"/>
                <w:sz w:val="20"/>
                <w:szCs w:val="20"/>
              </w:rPr>
              <w:t xml:space="preserve">Předložení Parlamentu </w:t>
            </w:r>
          </w:p>
          <w:p w:rsidR="00EA3429" w:rsidRPr="00250A0D" w:rsidRDefault="0033290F" w:rsidP="007E38A1">
            <w:pPr>
              <w:pStyle w:val="Tabulka"/>
              <w:jc w:val="left"/>
              <w:rPr>
                <w:rFonts w:ascii="Cambria" w:hAnsi="Cambria"/>
                <w:sz w:val="20"/>
                <w:szCs w:val="20"/>
              </w:rPr>
            </w:pPr>
            <w:proofErr w:type="gramStart"/>
            <w:r w:rsidRPr="0033290F">
              <w:rPr>
                <w:rFonts w:ascii="Cambria" w:hAnsi="Cambria"/>
                <w:sz w:val="20"/>
                <w:szCs w:val="20"/>
              </w:rPr>
              <w:t>30.09.2014</w:t>
            </w:r>
            <w:proofErr w:type="gramEnd"/>
          </w:p>
          <w:p w:rsidR="00EA3429" w:rsidRPr="00250A0D" w:rsidRDefault="0033290F" w:rsidP="007E38A1">
            <w:pPr>
              <w:pStyle w:val="Tabulka"/>
              <w:jc w:val="left"/>
              <w:rPr>
                <w:rFonts w:ascii="Cambria" w:hAnsi="Cambria"/>
                <w:sz w:val="20"/>
                <w:szCs w:val="20"/>
              </w:rPr>
            </w:pPr>
            <w:r w:rsidRPr="0033290F">
              <w:rPr>
                <w:rFonts w:ascii="Cambria" w:hAnsi="Cambria"/>
                <w:sz w:val="20"/>
                <w:szCs w:val="20"/>
              </w:rPr>
              <w:t>Předpokládané nabytí účinnosti</w:t>
            </w:r>
          </w:p>
          <w:p w:rsidR="00EA3429" w:rsidRPr="00250A0D" w:rsidRDefault="0033290F" w:rsidP="007E38A1">
            <w:pPr>
              <w:spacing w:line="276" w:lineRule="auto"/>
              <w:rPr>
                <w:rFonts w:cs="Arial"/>
                <w:sz w:val="20"/>
                <w:szCs w:val="20"/>
              </w:rPr>
            </w:pPr>
            <w:proofErr w:type="gramStart"/>
            <w:r w:rsidRPr="0033290F">
              <w:rPr>
                <w:sz w:val="20"/>
                <w:szCs w:val="20"/>
              </w:rPr>
              <w:t>01.01.2015</w:t>
            </w:r>
            <w:proofErr w:type="gramEnd"/>
          </w:p>
        </w:tc>
        <w:tc>
          <w:tcPr>
            <w:tcW w:w="3222" w:type="dxa"/>
          </w:tcPr>
          <w:p w:rsidR="00EA3429" w:rsidRPr="00250A0D" w:rsidRDefault="0033290F" w:rsidP="007E38A1">
            <w:pPr>
              <w:spacing w:line="276" w:lineRule="auto"/>
              <w:rPr>
                <w:sz w:val="20"/>
                <w:szCs w:val="20"/>
              </w:rPr>
            </w:pPr>
            <w:r w:rsidRPr="0033290F">
              <w:rPr>
                <w:sz w:val="20"/>
                <w:szCs w:val="20"/>
              </w:rPr>
              <w:t>MPO</w:t>
            </w:r>
            <w:bookmarkStart w:id="3474" w:name="_GoBack"/>
            <w:bookmarkEnd w:id="3474"/>
          </w:p>
        </w:tc>
      </w:tr>
      <w:tr w:rsidR="00EA3429" w:rsidRPr="00250A0D" w:rsidTr="00F625C4">
        <w:trPr>
          <w:gridBefore w:val="1"/>
          <w:wBefore w:w="6" w:type="dxa"/>
        </w:trPr>
        <w:tc>
          <w:tcPr>
            <w:tcW w:w="2366" w:type="dxa"/>
            <w:tcBorders>
              <w:top w:val="nil"/>
            </w:tcBorders>
          </w:tcPr>
          <w:p w:rsidR="00EA3429" w:rsidRPr="00250A0D" w:rsidRDefault="00EA3429" w:rsidP="007E38A1">
            <w:pPr>
              <w:spacing w:line="276" w:lineRule="auto"/>
              <w:rPr>
                <w:rFonts w:cs="Arial"/>
                <w:bCs/>
                <w:sz w:val="20"/>
                <w:szCs w:val="20"/>
              </w:rPr>
            </w:pPr>
          </w:p>
        </w:tc>
        <w:tc>
          <w:tcPr>
            <w:tcW w:w="2397" w:type="dxa"/>
          </w:tcPr>
          <w:p w:rsidR="00EA3429" w:rsidRPr="00250A0D" w:rsidRDefault="0033290F" w:rsidP="007E38A1">
            <w:pPr>
              <w:pStyle w:val="Default"/>
              <w:spacing w:afterAutospacing="1"/>
              <w:jc w:val="both"/>
              <w:rPr>
                <w:rFonts w:ascii="Cambria" w:hAnsi="Cambria"/>
                <w:sz w:val="20"/>
                <w:szCs w:val="20"/>
              </w:rPr>
            </w:pPr>
            <w:r w:rsidRPr="0033290F">
              <w:rPr>
                <w:rFonts w:ascii="Cambria" w:hAnsi="Cambria"/>
                <w:sz w:val="20"/>
                <w:szCs w:val="20"/>
              </w:rPr>
              <w:t xml:space="preserve">Opatření v souladu s článkem 13 směrnice Evropského parlamentu a Rady2006/32/ES, zajišťující, aby pokud je to technicky možné, </w:t>
            </w:r>
            <w:r w:rsidRPr="0033290F">
              <w:rPr>
                <w:rFonts w:ascii="Cambria" w:hAnsi="Cambria"/>
                <w:sz w:val="20"/>
                <w:szCs w:val="20"/>
              </w:rPr>
              <w:lastRenderedPageBreak/>
              <w:t xml:space="preserve">finančně únosné a úměrné potenciálním úsporám energie, byli koneční zákazníci vybaveni individuálními měřiči. </w:t>
            </w:r>
          </w:p>
          <w:p w:rsidR="00EA3429" w:rsidRPr="00250A0D" w:rsidRDefault="00EA3429" w:rsidP="007E38A1">
            <w:pPr>
              <w:spacing w:line="276" w:lineRule="auto"/>
              <w:rPr>
                <w:rFonts w:cs="Arial"/>
                <w:sz w:val="20"/>
                <w:szCs w:val="20"/>
              </w:rPr>
            </w:pPr>
          </w:p>
        </w:tc>
        <w:tc>
          <w:tcPr>
            <w:tcW w:w="3703" w:type="dxa"/>
          </w:tcPr>
          <w:p w:rsidR="00EA3429" w:rsidRPr="00250A0D" w:rsidRDefault="0033290F" w:rsidP="007E38A1">
            <w:pPr>
              <w:pStyle w:val="Default"/>
              <w:spacing w:afterAutospacing="1"/>
              <w:jc w:val="both"/>
              <w:rPr>
                <w:rFonts w:ascii="Cambria" w:hAnsi="Cambria"/>
                <w:sz w:val="20"/>
                <w:szCs w:val="20"/>
              </w:rPr>
            </w:pPr>
            <w:r w:rsidRPr="0033290F">
              <w:rPr>
                <w:rFonts w:ascii="Cambria" w:hAnsi="Cambria"/>
                <w:sz w:val="20"/>
                <w:szCs w:val="20"/>
              </w:rPr>
              <w:lastRenderedPageBreak/>
              <w:t xml:space="preserve">Doplnění energetického zákona (zákon č. 458/2000 Sb.) a novelizace vyhlášky č. 194/2007 Sb., úprava zákona č. 406/2000 Sb., o hospodaření energií </w:t>
            </w:r>
          </w:p>
          <w:p w:rsidR="00EA3429" w:rsidRPr="00250A0D" w:rsidRDefault="00EA3429" w:rsidP="007E38A1">
            <w:pPr>
              <w:pStyle w:val="Default"/>
              <w:spacing w:afterAutospacing="1"/>
              <w:jc w:val="both"/>
              <w:rPr>
                <w:rFonts w:ascii="Cambria" w:hAnsi="Cambria"/>
                <w:sz w:val="20"/>
                <w:szCs w:val="20"/>
              </w:rPr>
            </w:pPr>
          </w:p>
        </w:tc>
        <w:tc>
          <w:tcPr>
            <w:tcW w:w="2483" w:type="dxa"/>
          </w:tcPr>
          <w:p w:rsidR="00EA3429" w:rsidRPr="00250A0D" w:rsidRDefault="0033290F" w:rsidP="007E38A1">
            <w:pPr>
              <w:pStyle w:val="Tabulka"/>
              <w:jc w:val="left"/>
              <w:rPr>
                <w:rFonts w:ascii="Cambria" w:hAnsi="Cambria"/>
                <w:sz w:val="20"/>
                <w:szCs w:val="20"/>
              </w:rPr>
            </w:pPr>
            <w:r w:rsidRPr="0033290F">
              <w:rPr>
                <w:rFonts w:ascii="Cambria" w:hAnsi="Cambria"/>
                <w:sz w:val="20"/>
                <w:szCs w:val="20"/>
              </w:rPr>
              <w:t>Předložení návrhu vládě</w:t>
            </w:r>
          </w:p>
          <w:p w:rsidR="00EA3429" w:rsidRPr="00250A0D" w:rsidRDefault="0033290F" w:rsidP="007E38A1">
            <w:pPr>
              <w:pStyle w:val="Tabulka"/>
              <w:jc w:val="left"/>
              <w:rPr>
                <w:rFonts w:ascii="Cambria" w:hAnsi="Cambria"/>
                <w:sz w:val="20"/>
                <w:szCs w:val="20"/>
              </w:rPr>
            </w:pPr>
            <w:proofErr w:type="gramStart"/>
            <w:r w:rsidRPr="0033290F">
              <w:rPr>
                <w:rFonts w:ascii="Cambria" w:hAnsi="Cambria"/>
                <w:sz w:val="20"/>
                <w:szCs w:val="20"/>
              </w:rPr>
              <w:t>30.06.2014</w:t>
            </w:r>
            <w:proofErr w:type="gramEnd"/>
          </w:p>
          <w:p w:rsidR="00EA3429" w:rsidRPr="00250A0D" w:rsidRDefault="0033290F" w:rsidP="007E38A1">
            <w:pPr>
              <w:pStyle w:val="Tabulka"/>
              <w:jc w:val="left"/>
              <w:rPr>
                <w:rFonts w:ascii="Cambria" w:hAnsi="Cambria"/>
                <w:sz w:val="20"/>
                <w:szCs w:val="20"/>
              </w:rPr>
            </w:pPr>
            <w:r w:rsidRPr="0033290F">
              <w:rPr>
                <w:rFonts w:ascii="Cambria" w:hAnsi="Cambria"/>
                <w:sz w:val="20"/>
                <w:szCs w:val="20"/>
              </w:rPr>
              <w:t xml:space="preserve">Předložení Parlamentu </w:t>
            </w:r>
          </w:p>
          <w:p w:rsidR="00EA3429" w:rsidRPr="00250A0D" w:rsidRDefault="0033290F" w:rsidP="007E38A1">
            <w:pPr>
              <w:pStyle w:val="Tabulka"/>
              <w:jc w:val="left"/>
              <w:rPr>
                <w:rFonts w:ascii="Cambria" w:hAnsi="Cambria"/>
                <w:sz w:val="20"/>
                <w:szCs w:val="20"/>
              </w:rPr>
            </w:pPr>
            <w:proofErr w:type="gramStart"/>
            <w:r w:rsidRPr="0033290F">
              <w:rPr>
                <w:rFonts w:ascii="Cambria" w:hAnsi="Cambria"/>
                <w:sz w:val="20"/>
                <w:szCs w:val="20"/>
              </w:rPr>
              <w:lastRenderedPageBreak/>
              <w:t>30.09.2014</w:t>
            </w:r>
            <w:proofErr w:type="gramEnd"/>
          </w:p>
          <w:p w:rsidR="00EA3429" w:rsidRPr="00250A0D" w:rsidRDefault="0033290F" w:rsidP="007E38A1">
            <w:pPr>
              <w:pStyle w:val="Tabulka"/>
              <w:jc w:val="left"/>
              <w:rPr>
                <w:rFonts w:ascii="Cambria" w:hAnsi="Cambria"/>
                <w:sz w:val="20"/>
                <w:szCs w:val="20"/>
              </w:rPr>
            </w:pPr>
            <w:r w:rsidRPr="0033290F">
              <w:rPr>
                <w:rFonts w:ascii="Cambria" w:hAnsi="Cambria"/>
                <w:sz w:val="20"/>
                <w:szCs w:val="20"/>
              </w:rPr>
              <w:t>Předpokládané nabytí účinnosti</w:t>
            </w:r>
          </w:p>
          <w:p w:rsidR="00EA3429" w:rsidRPr="00250A0D" w:rsidRDefault="0033290F" w:rsidP="007E38A1">
            <w:pPr>
              <w:spacing w:line="276" w:lineRule="auto"/>
              <w:rPr>
                <w:rFonts w:cs="Arial"/>
                <w:sz w:val="20"/>
                <w:szCs w:val="20"/>
              </w:rPr>
            </w:pPr>
            <w:proofErr w:type="gramStart"/>
            <w:r w:rsidRPr="0033290F">
              <w:rPr>
                <w:sz w:val="20"/>
                <w:szCs w:val="20"/>
              </w:rPr>
              <w:t>01.01.2015</w:t>
            </w:r>
            <w:proofErr w:type="gramEnd"/>
          </w:p>
        </w:tc>
        <w:tc>
          <w:tcPr>
            <w:tcW w:w="3222" w:type="dxa"/>
          </w:tcPr>
          <w:p w:rsidR="00EA3429" w:rsidRPr="00250A0D" w:rsidRDefault="0033290F" w:rsidP="007E38A1">
            <w:pPr>
              <w:spacing w:line="276" w:lineRule="auto"/>
              <w:rPr>
                <w:sz w:val="20"/>
                <w:szCs w:val="20"/>
              </w:rPr>
            </w:pPr>
            <w:r w:rsidRPr="0033290F">
              <w:rPr>
                <w:sz w:val="20"/>
                <w:szCs w:val="20"/>
              </w:rPr>
              <w:lastRenderedPageBreak/>
              <w:t>MPO</w:t>
            </w:r>
          </w:p>
        </w:tc>
      </w:tr>
      <w:tr w:rsidR="005220B2" w:rsidRPr="00250A0D" w:rsidTr="005220B2">
        <w:trPr>
          <w:gridBefore w:val="1"/>
          <w:wBefore w:w="6" w:type="dxa"/>
          <w:trHeight w:val="1005"/>
        </w:trPr>
        <w:tc>
          <w:tcPr>
            <w:tcW w:w="2366" w:type="dxa"/>
            <w:vMerge w:val="restart"/>
          </w:tcPr>
          <w:p w:rsidR="005220B2" w:rsidRPr="00250A0D" w:rsidRDefault="005220B2" w:rsidP="007E38A1">
            <w:pPr>
              <w:spacing w:line="276" w:lineRule="auto"/>
              <w:rPr>
                <w:b/>
                <w:sz w:val="20"/>
                <w:szCs w:val="20"/>
              </w:rPr>
            </w:pPr>
            <w:r w:rsidRPr="0033290F">
              <w:rPr>
                <w:b/>
                <w:sz w:val="20"/>
                <w:szCs w:val="20"/>
              </w:rPr>
              <w:lastRenderedPageBreak/>
              <w:t>5.1. Předcházení riziku a jeho řízení: Existence vnitrostátního nebo regionálního posuzování rizik pro zvládání katastrof s ohledem na přizpůsobení se změně klimatu</w:t>
            </w:r>
          </w:p>
        </w:tc>
        <w:tc>
          <w:tcPr>
            <w:tcW w:w="2397" w:type="dxa"/>
            <w:vMerge w:val="restart"/>
          </w:tcPr>
          <w:p w:rsidR="005220B2" w:rsidRPr="00250A0D" w:rsidRDefault="005220B2" w:rsidP="007E38A1">
            <w:pPr>
              <w:spacing w:line="276" w:lineRule="auto"/>
              <w:rPr>
                <w:rFonts w:cs="Arial"/>
                <w:sz w:val="20"/>
                <w:szCs w:val="20"/>
              </w:rPr>
            </w:pPr>
            <w:r>
              <w:rPr>
                <w:rFonts w:cs="Arial"/>
                <w:sz w:val="20"/>
                <w:szCs w:val="20"/>
              </w:rPr>
              <w:t>Je zavedeno</w:t>
            </w:r>
            <w:r w:rsidRPr="0033290F">
              <w:rPr>
                <w:rFonts w:cs="Arial"/>
                <w:sz w:val="20"/>
                <w:szCs w:val="20"/>
              </w:rPr>
              <w:t xml:space="preserve"> vnitrostátní nebo regionální posouzení rizik obsahující tyto prvky:</w:t>
            </w:r>
          </w:p>
          <w:p w:rsidR="005220B2" w:rsidRPr="00250A0D" w:rsidRDefault="005220B2" w:rsidP="007E38A1">
            <w:pPr>
              <w:spacing w:line="276" w:lineRule="auto"/>
              <w:rPr>
                <w:rFonts w:cs="Arial"/>
                <w:sz w:val="20"/>
                <w:szCs w:val="20"/>
              </w:rPr>
            </w:pPr>
          </w:p>
        </w:tc>
        <w:tc>
          <w:tcPr>
            <w:tcW w:w="3703" w:type="dxa"/>
          </w:tcPr>
          <w:p w:rsidR="005220B2" w:rsidRPr="00250A0D" w:rsidRDefault="005220B2" w:rsidP="007E38A1">
            <w:pPr>
              <w:spacing w:line="276" w:lineRule="auto"/>
              <w:rPr>
                <w:sz w:val="20"/>
                <w:szCs w:val="20"/>
              </w:rPr>
            </w:pPr>
            <w:r w:rsidRPr="0033290F">
              <w:rPr>
                <w:sz w:val="20"/>
                <w:szCs w:val="20"/>
              </w:rPr>
              <w:t>Schválení Plánů pro zvládání p</w:t>
            </w:r>
            <w:r w:rsidR="00332B77">
              <w:rPr>
                <w:sz w:val="20"/>
                <w:szCs w:val="20"/>
              </w:rPr>
              <w:t>ovodňových rizik</w:t>
            </w:r>
          </w:p>
        </w:tc>
        <w:tc>
          <w:tcPr>
            <w:tcW w:w="2483" w:type="dxa"/>
          </w:tcPr>
          <w:p w:rsidR="005220B2" w:rsidRPr="00250A0D" w:rsidRDefault="005220B2" w:rsidP="005220B2">
            <w:pPr>
              <w:spacing w:line="276" w:lineRule="auto"/>
              <w:rPr>
                <w:sz w:val="20"/>
                <w:szCs w:val="20"/>
              </w:rPr>
            </w:pPr>
            <w:proofErr w:type="gramStart"/>
            <w:r w:rsidRPr="0033290F">
              <w:rPr>
                <w:sz w:val="20"/>
                <w:szCs w:val="20"/>
              </w:rPr>
              <w:t>22.12.2015</w:t>
            </w:r>
            <w:proofErr w:type="gramEnd"/>
          </w:p>
        </w:tc>
        <w:tc>
          <w:tcPr>
            <w:tcW w:w="3222" w:type="dxa"/>
          </w:tcPr>
          <w:p w:rsidR="005220B2" w:rsidRPr="00250A0D" w:rsidRDefault="005220B2" w:rsidP="007E38A1">
            <w:pPr>
              <w:spacing w:line="276" w:lineRule="auto"/>
              <w:rPr>
                <w:sz w:val="20"/>
                <w:szCs w:val="20"/>
              </w:rPr>
            </w:pPr>
            <w:r w:rsidRPr="0033290F">
              <w:rPr>
                <w:sz w:val="20"/>
                <w:szCs w:val="20"/>
              </w:rPr>
              <w:t xml:space="preserve">MŽP a </w:t>
            </w:r>
            <w:proofErr w:type="spellStart"/>
            <w:r w:rsidRPr="0033290F">
              <w:rPr>
                <w:sz w:val="20"/>
                <w:szCs w:val="20"/>
              </w:rPr>
              <w:t>MZe</w:t>
            </w:r>
            <w:proofErr w:type="spellEnd"/>
            <w:r w:rsidRPr="0033290F">
              <w:rPr>
                <w:sz w:val="20"/>
                <w:szCs w:val="20"/>
              </w:rPr>
              <w:t>, schvaluje vláda</w:t>
            </w:r>
          </w:p>
        </w:tc>
      </w:tr>
      <w:tr w:rsidR="005A07F1" w:rsidRPr="00250A0D" w:rsidTr="005220B2">
        <w:trPr>
          <w:gridBefore w:val="1"/>
          <w:wBefore w:w="6" w:type="dxa"/>
          <w:trHeight w:val="1005"/>
        </w:trPr>
        <w:tc>
          <w:tcPr>
            <w:tcW w:w="2366" w:type="dxa"/>
            <w:vMerge/>
          </w:tcPr>
          <w:p w:rsidR="005A07F1" w:rsidRPr="0033290F" w:rsidRDefault="005A07F1" w:rsidP="007E38A1">
            <w:pPr>
              <w:rPr>
                <w:b/>
                <w:sz w:val="20"/>
                <w:szCs w:val="20"/>
              </w:rPr>
            </w:pPr>
          </w:p>
        </w:tc>
        <w:tc>
          <w:tcPr>
            <w:tcW w:w="2397" w:type="dxa"/>
            <w:vMerge/>
          </w:tcPr>
          <w:p w:rsidR="005A07F1" w:rsidRDefault="005A07F1" w:rsidP="007E38A1">
            <w:pPr>
              <w:rPr>
                <w:rFonts w:cs="Arial"/>
                <w:sz w:val="20"/>
                <w:szCs w:val="20"/>
              </w:rPr>
            </w:pPr>
          </w:p>
        </w:tc>
        <w:tc>
          <w:tcPr>
            <w:tcW w:w="3703" w:type="dxa"/>
          </w:tcPr>
          <w:p w:rsidR="005A07F1" w:rsidRPr="0033290F" w:rsidRDefault="005A07F1" w:rsidP="007E38A1">
            <w:pPr>
              <w:rPr>
                <w:sz w:val="20"/>
                <w:szCs w:val="20"/>
              </w:rPr>
            </w:pPr>
            <w:r>
              <w:rPr>
                <w:sz w:val="20"/>
                <w:szCs w:val="20"/>
              </w:rPr>
              <w:t>Schválení aktualizovaných Plánů povodí</w:t>
            </w:r>
          </w:p>
        </w:tc>
        <w:tc>
          <w:tcPr>
            <w:tcW w:w="2483" w:type="dxa"/>
          </w:tcPr>
          <w:p w:rsidR="005A07F1" w:rsidRPr="0033290F" w:rsidRDefault="005A07F1" w:rsidP="005220B2">
            <w:pPr>
              <w:rPr>
                <w:sz w:val="20"/>
                <w:szCs w:val="20"/>
              </w:rPr>
            </w:pPr>
            <w:proofErr w:type="gramStart"/>
            <w:r>
              <w:rPr>
                <w:sz w:val="20"/>
                <w:szCs w:val="20"/>
              </w:rPr>
              <w:t>22.12.2015</w:t>
            </w:r>
            <w:proofErr w:type="gramEnd"/>
          </w:p>
        </w:tc>
        <w:tc>
          <w:tcPr>
            <w:tcW w:w="3222" w:type="dxa"/>
          </w:tcPr>
          <w:p w:rsidR="005A07F1" w:rsidRPr="0033290F" w:rsidRDefault="00870F5B" w:rsidP="007E38A1">
            <w:pPr>
              <w:rPr>
                <w:sz w:val="20"/>
                <w:szCs w:val="20"/>
              </w:rPr>
            </w:pPr>
            <w:r w:rsidRPr="0033290F">
              <w:rPr>
                <w:sz w:val="20"/>
                <w:szCs w:val="20"/>
              </w:rPr>
              <w:t xml:space="preserve">MŽP a </w:t>
            </w:r>
            <w:proofErr w:type="spellStart"/>
            <w:r w:rsidRPr="0033290F">
              <w:rPr>
                <w:sz w:val="20"/>
                <w:szCs w:val="20"/>
              </w:rPr>
              <w:t>MZe</w:t>
            </w:r>
            <w:proofErr w:type="spellEnd"/>
            <w:r w:rsidRPr="0033290F">
              <w:rPr>
                <w:sz w:val="20"/>
                <w:szCs w:val="20"/>
              </w:rPr>
              <w:t>, schvaluje vláda</w:t>
            </w:r>
          </w:p>
        </w:tc>
      </w:tr>
      <w:tr w:rsidR="005220B2" w:rsidRPr="00250A0D" w:rsidTr="00F625C4">
        <w:trPr>
          <w:gridBefore w:val="1"/>
          <w:wBefore w:w="6" w:type="dxa"/>
          <w:trHeight w:val="1005"/>
        </w:trPr>
        <w:tc>
          <w:tcPr>
            <w:tcW w:w="2366" w:type="dxa"/>
            <w:vMerge/>
          </w:tcPr>
          <w:p w:rsidR="005220B2" w:rsidRPr="0033290F" w:rsidRDefault="005220B2" w:rsidP="007E38A1">
            <w:pPr>
              <w:rPr>
                <w:b/>
                <w:sz w:val="20"/>
                <w:szCs w:val="20"/>
              </w:rPr>
            </w:pPr>
          </w:p>
        </w:tc>
        <w:tc>
          <w:tcPr>
            <w:tcW w:w="2397" w:type="dxa"/>
            <w:vMerge/>
          </w:tcPr>
          <w:p w:rsidR="005220B2" w:rsidRDefault="005220B2" w:rsidP="007E38A1">
            <w:pPr>
              <w:rPr>
                <w:rFonts w:cs="Arial"/>
                <w:sz w:val="20"/>
                <w:szCs w:val="20"/>
              </w:rPr>
            </w:pPr>
          </w:p>
        </w:tc>
        <w:tc>
          <w:tcPr>
            <w:tcW w:w="3703" w:type="dxa"/>
          </w:tcPr>
          <w:p w:rsidR="005220B2" w:rsidRPr="00250A0D" w:rsidRDefault="005220B2" w:rsidP="005220B2">
            <w:pPr>
              <w:spacing w:line="276" w:lineRule="auto"/>
              <w:rPr>
                <w:sz w:val="20"/>
                <w:szCs w:val="20"/>
              </w:rPr>
            </w:pPr>
            <w:r w:rsidRPr="0033290F">
              <w:rPr>
                <w:sz w:val="20"/>
                <w:szCs w:val="20"/>
              </w:rPr>
              <w:t>Schválení Koncepce environmentální bezpečnosti 2015-2020 s výhledem do roku 2030</w:t>
            </w:r>
          </w:p>
          <w:p w:rsidR="005220B2" w:rsidRPr="0033290F" w:rsidRDefault="005220B2" w:rsidP="007E38A1">
            <w:pPr>
              <w:rPr>
                <w:sz w:val="20"/>
                <w:szCs w:val="20"/>
              </w:rPr>
            </w:pPr>
          </w:p>
        </w:tc>
        <w:tc>
          <w:tcPr>
            <w:tcW w:w="2483" w:type="dxa"/>
          </w:tcPr>
          <w:p w:rsidR="005220B2" w:rsidRPr="00250A0D" w:rsidRDefault="005220B2" w:rsidP="005220B2">
            <w:pPr>
              <w:spacing w:line="276" w:lineRule="auto"/>
              <w:rPr>
                <w:sz w:val="20"/>
                <w:szCs w:val="20"/>
              </w:rPr>
            </w:pPr>
            <w:proofErr w:type="gramStart"/>
            <w:r w:rsidRPr="0033290F">
              <w:rPr>
                <w:sz w:val="20"/>
                <w:szCs w:val="20"/>
              </w:rPr>
              <w:t>31.12.2015</w:t>
            </w:r>
            <w:proofErr w:type="gramEnd"/>
          </w:p>
          <w:p w:rsidR="005220B2" w:rsidRPr="0033290F" w:rsidRDefault="005220B2" w:rsidP="007E38A1">
            <w:pPr>
              <w:rPr>
                <w:sz w:val="20"/>
                <w:szCs w:val="20"/>
              </w:rPr>
            </w:pPr>
          </w:p>
        </w:tc>
        <w:tc>
          <w:tcPr>
            <w:tcW w:w="3222" w:type="dxa"/>
          </w:tcPr>
          <w:p w:rsidR="005220B2" w:rsidRPr="00250A0D" w:rsidRDefault="005220B2" w:rsidP="005220B2">
            <w:pPr>
              <w:spacing w:line="276" w:lineRule="auto"/>
              <w:rPr>
                <w:sz w:val="20"/>
                <w:szCs w:val="20"/>
              </w:rPr>
            </w:pPr>
            <w:r w:rsidRPr="0033290F">
              <w:rPr>
                <w:sz w:val="20"/>
                <w:szCs w:val="20"/>
              </w:rPr>
              <w:t>MŽP, schvaluje vláda</w:t>
            </w:r>
          </w:p>
          <w:p w:rsidR="005220B2" w:rsidRPr="0033290F" w:rsidRDefault="005220B2" w:rsidP="007E38A1">
            <w:pPr>
              <w:rPr>
                <w:sz w:val="20"/>
                <w:szCs w:val="20"/>
              </w:rPr>
            </w:pPr>
          </w:p>
        </w:tc>
      </w:tr>
      <w:tr w:rsidR="005220B2" w:rsidRPr="00250A0D" w:rsidTr="00F625C4">
        <w:trPr>
          <w:gridBefore w:val="1"/>
          <w:wBefore w:w="6" w:type="dxa"/>
          <w:trHeight w:val="1005"/>
        </w:trPr>
        <w:tc>
          <w:tcPr>
            <w:tcW w:w="2366" w:type="dxa"/>
            <w:vMerge/>
          </w:tcPr>
          <w:p w:rsidR="005220B2" w:rsidRPr="0033290F" w:rsidRDefault="005220B2" w:rsidP="007E38A1">
            <w:pPr>
              <w:rPr>
                <w:b/>
                <w:sz w:val="20"/>
                <w:szCs w:val="20"/>
              </w:rPr>
            </w:pPr>
          </w:p>
        </w:tc>
        <w:tc>
          <w:tcPr>
            <w:tcW w:w="2397" w:type="dxa"/>
            <w:vMerge/>
          </w:tcPr>
          <w:p w:rsidR="005220B2" w:rsidRDefault="005220B2" w:rsidP="007E38A1">
            <w:pPr>
              <w:rPr>
                <w:rFonts w:cs="Arial"/>
                <w:sz w:val="20"/>
                <w:szCs w:val="20"/>
              </w:rPr>
            </w:pPr>
          </w:p>
        </w:tc>
        <w:tc>
          <w:tcPr>
            <w:tcW w:w="3703" w:type="dxa"/>
          </w:tcPr>
          <w:p w:rsidR="005220B2" w:rsidRPr="0033290F" w:rsidRDefault="005220B2" w:rsidP="007E38A1">
            <w:pPr>
              <w:rPr>
                <w:sz w:val="20"/>
                <w:szCs w:val="20"/>
              </w:rPr>
            </w:pPr>
            <w:r w:rsidRPr="0033290F">
              <w:rPr>
                <w:sz w:val="20"/>
                <w:szCs w:val="20"/>
              </w:rPr>
              <w:t>Schválení Strategie přizpůsobení se změně klimatu v podmínkách ČR (dále adaptační strategie</w:t>
            </w:r>
            <w:r w:rsidR="000342DA">
              <w:rPr>
                <w:sz w:val="20"/>
                <w:szCs w:val="20"/>
              </w:rPr>
              <w:t>)</w:t>
            </w:r>
          </w:p>
        </w:tc>
        <w:tc>
          <w:tcPr>
            <w:tcW w:w="2483" w:type="dxa"/>
          </w:tcPr>
          <w:p w:rsidR="005220B2" w:rsidRPr="00250A0D" w:rsidRDefault="005220B2" w:rsidP="005220B2">
            <w:pPr>
              <w:spacing w:line="276" w:lineRule="auto"/>
              <w:rPr>
                <w:sz w:val="20"/>
                <w:szCs w:val="20"/>
              </w:rPr>
            </w:pPr>
            <w:proofErr w:type="gramStart"/>
            <w:r w:rsidRPr="0033290F">
              <w:rPr>
                <w:sz w:val="20"/>
                <w:szCs w:val="20"/>
              </w:rPr>
              <w:t>30.06.2015</w:t>
            </w:r>
            <w:proofErr w:type="gramEnd"/>
          </w:p>
          <w:p w:rsidR="005220B2" w:rsidRPr="0033290F" w:rsidRDefault="005220B2" w:rsidP="007E38A1">
            <w:pPr>
              <w:rPr>
                <w:sz w:val="20"/>
                <w:szCs w:val="20"/>
              </w:rPr>
            </w:pPr>
          </w:p>
        </w:tc>
        <w:tc>
          <w:tcPr>
            <w:tcW w:w="3222" w:type="dxa"/>
          </w:tcPr>
          <w:p w:rsidR="005220B2" w:rsidRPr="0033290F" w:rsidRDefault="005220B2" w:rsidP="007E38A1">
            <w:pPr>
              <w:rPr>
                <w:sz w:val="20"/>
                <w:szCs w:val="20"/>
              </w:rPr>
            </w:pPr>
            <w:r w:rsidRPr="0033290F">
              <w:rPr>
                <w:sz w:val="20"/>
                <w:szCs w:val="20"/>
              </w:rPr>
              <w:t>Koordinuje a předkládá MŽP, schvaluje vláda.</w:t>
            </w:r>
          </w:p>
        </w:tc>
      </w:tr>
      <w:tr w:rsidR="00870F5B" w:rsidRPr="00250A0D" w:rsidTr="00F625C4">
        <w:trPr>
          <w:gridBefore w:val="1"/>
          <w:wBefore w:w="6" w:type="dxa"/>
        </w:trPr>
        <w:tc>
          <w:tcPr>
            <w:tcW w:w="2366" w:type="dxa"/>
            <w:vMerge/>
          </w:tcPr>
          <w:p w:rsidR="00870F5B" w:rsidRPr="00250A0D" w:rsidRDefault="00870F5B" w:rsidP="007E38A1">
            <w:pPr>
              <w:spacing w:line="276" w:lineRule="auto"/>
              <w:rPr>
                <w:sz w:val="20"/>
                <w:szCs w:val="20"/>
              </w:rPr>
            </w:pPr>
          </w:p>
        </w:tc>
        <w:tc>
          <w:tcPr>
            <w:tcW w:w="2397" w:type="dxa"/>
            <w:vMerge w:val="restart"/>
          </w:tcPr>
          <w:p w:rsidR="00870F5B" w:rsidRPr="00250A0D" w:rsidRDefault="00870F5B" w:rsidP="007E38A1">
            <w:pPr>
              <w:spacing w:line="276" w:lineRule="auto"/>
              <w:rPr>
                <w:rFonts w:cs="Arial"/>
                <w:sz w:val="20"/>
                <w:szCs w:val="20"/>
              </w:rPr>
            </w:pPr>
            <w:r w:rsidRPr="0033290F">
              <w:rPr>
                <w:rFonts w:cs="Arial"/>
                <w:sz w:val="20"/>
                <w:szCs w:val="20"/>
              </w:rPr>
              <w:t xml:space="preserve">popis postupu, metodiky, metod a jiných než citlivých údajů používaných pro účely posuzování rizik, jakož i kritéria pro stanovování </w:t>
            </w:r>
            <w:r w:rsidRPr="0033290F">
              <w:rPr>
                <w:rFonts w:cs="Arial"/>
                <w:sz w:val="20"/>
                <w:szCs w:val="20"/>
              </w:rPr>
              <w:lastRenderedPageBreak/>
              <w:t>investičních priorit v závislosti na riziku,</w:t>
            </w:r>
          </w:p>
        </w:tc>
        <w:tc>
          <w:tcPr>
            <w:tcW w:w="3703" w:type="dxa"/>
          </w:tcPr>
          <w:p w:rsidR="00870F5B" w:rsidRPr="00250A0D" w:rsidRDefault="00870F5B" w:rsidP="007E38A1">
            <w:pPr>
              <w:spacing w:line="276" w:lineRule="auto"/>
              <w:rPr>
                <w:rFonts w:cs="Arial"/>
                <w:sz w:val="20"/>
                <w:szCs w:val="20"/>
              </w:rPr>
            </w:pPr>
            <w:r w:rsidRPr="0033290F">
              <w:rPr>
                <w:rFonts w:cs="Arial"/>
                <w:sz w:val="20"/>
                <w:szCs w:val="20"/>
              </w:rPr>
              <w:lastRenderedPageBreak/>
              <w:t> Zpracování komplexní studie dopadů, zranitelnosti a zdrojů rizik souvisejících se změnou klimatu pro nejohroženější sektory</w:t>
            </w:r>
          </w:p>
        </w:tc>
        <w:tc>
          <w:tcPr>
            <w:tcW w:w="2483" w:type="dxa"/>
          </w:tcPr>
          <w:p w:rsidR="00870F5B" w:rsidRPr="00250A0D" w:rsidRDefault="00870F5B" w:rsidP="007E38A1">
            <w:pPr>
              <w:spacing w:line="276" w:lineRule="auto"/>
              <w:rPr>
                <w:rFonts w:cs="Arial"/>
                <w:sz w:val="20"/>
                <w:szCs w:val="20"/>
              </w:rPr>
            </w:pPr>
            <w:proofErr w:type="gramStart"/>
            <w:r w:rsidRPr="0033290F">
              <w:rPr>
                <w:rFonts w:cs="Arial"/>
                <w:sz w:val="20"/>
                <w:szCs w:val="20"/>
              </w:rPr>
              <w:t>31.12.2015</w:t>
            </w:r>
            <w:proofErr w:type="gramEnd"/>
          </w:p>
        </w:tc>
        <w:tc>
          <w:tcPr>
            <w:tcW w:w="3222" w:type="dxa"/>
          </w:tcPr>
          <w:p w:rsidR="00870F5B" w:rsidRPr="00250A0D" w:rsidRDefault="00870F5B" w:rsidP="007E38A1">
            <w:pPr>
              <w:spacing w:line="276" w:lineRule="auto"/>
              <w:rPr>
                <w:sz w:val="20"/>
                <w:szCs w:val="20"/>
              </w:rPr>
            </w:pPr>
            <w:r w:rsidRPr="0033290F">
              <w:rPr>
                <w:sz w:val="20"/>
                <w:szCs w:val="20"/>
              </w:rPr>
              <w:t xml:space="preserve">MŽP / spolupráce </w:t>
            </w:r>
            <w:proofErr w:type="spellStart"/>
            <w:r w:rsidRPr="0033290F">
              <w:rPr>
                <w:sz w:val="20"/>
                <w:szCs w:val="20"/>
              </w:rPr>
              <w:t>MZe</w:t>
            </w:r>
            <w:proofErr w:type="spellEnd"/>
            <w:r w:rsidRPr="0033290F">
              <w:rPr>
                <w:sz w:val="20"/>
                <w:szCs w:val="20"/>
              </w:rPr>
              <w:t xml:space="preserve">, MV, MPO, MD, </w:t>
            </w:r>
            <w:proofErr w:type="spellStart"/>
            <w:r w:rsidRPr="0033290F">
              <w:rPr>
                <w:sz w:val="20"/>
                <w:szCs w:val="20"/>
              </w:rPr>
              <w:t>MZdr</w:t>
            </w:r>
            <w:proofErr w:type="spellEnd"/>
          </w:p>
          <w:p w:rsidR="00870F5B" w:rsidRPr="00250A0D" w:rsidRDefault="00870F5B" w:rsidP="007E38A1">
            <w:pPr>
              <w:spacing w:line="276" w:lineRule="auto"/>
              <w:rPr>
                <w:sz w:val="20"/>
                <w:szCs w:val="20"/>
              </w:rPr>
            </w:pPr>
          </w:p>
          <w:p w:rsidR="00870F5B" w:rsidRPr="00250A0D" w:rsidRDefault="00870F5B" w:rsidP="007E38A1">
            <w:pPr>
              <w:spacing w:line="276" w:lineRule="auto"/>
              <w:rPr>
                <w:sz w:val="20"/>
                <w:szCs w:val="20"/>
              </w:rPr>
            </w:pPr>
          </w:p>
        </w:tc>
      </w:tr>
      <w:tr w:rsidR="00870F5B" w:rsidRPr="00250A0D" w:rsidTr="00F625C4">
        <w:trPr>
          <w:gridBefore w:val="1"/>
          <w:wBefore w:w="6" w:type="dxa"/>
        </w:trPr>
        <w:tc>
          <w:tcPr>
            <w:tcW w:w="2366" w:type="dxa"/>
            <w:vMerge/>
          </w:tcPr>
          <w:p w:rsidR="00870F5B" w:rsidRPr="00250A0D" w:rsidRDefault="00870F5B" w:rsidP="007E38A1">
            <w:pPr>
              <w:rPr>
                <w:sz w:val="20"/>
                <w:szCs w:val="20"/>
              </w:rPr>
            </w:pPr>
          </w:p>
        </w:tc>
        <w:tc>
          <w:tcPr>
            <w:tcW w:w="2397" w:type="dxa"/>
            <w:vMerge/>
          </w:tcPr>
          <w:p w:rsidR="00870F5B" w:rsidRPr="0033290F" w:rsidRDefault="00870F5B" w:rsidP="007E38A1">
            <w:pPr>
              <w:rPr>
                <w:rFonts w:cs="Arial"/>
                <w:sz w:val="20"/>
                <w:szCs w:val="20"/>
              </w:rPr>
            </w:pPr>
          </w:p>
        </w:tc>
        <w:tc>
          <w:tcPr>
            <w:tcW w:w="3703" w:type="dxa"/>
          </w:tcPr>
          <w:p w:rsidR="00870F5B" w:rsidRPr="0033290F" w:rsidRDefault="00870F5B" w:rsidP="007E38A1">
            <w:pPr>
              <w:rPr>
                <w:rFonts w:cs="Arial"/>
                <w:sz w:val="20"/>
                <w:szCs w:val="20"/>
              </w:rPr>
            </w:pPr>
            <w:r w:rsidRPr="0033290F">
              <w:rPr>
                <w:rFonts w:cs="Arial"/>
                <w:sz w:val="20"/>
                <w:szCs w:val="20"/>
              </w:rPr>
              <w:t>Definování kritérií pro stanovování investičních priorit v závislosti na riziku</w:t>
            </w:r>
          </w:p>
        </w:tc>
        <w:tc>
          <w:tcPr>
            <w:tcW w:w="2483" w:type="dxa"/>
          </w:tcPr>
          <w:p w:rsidR="00870F5B" w:rsidRPr="0033290F" w:rsidRDefault="00870F5B" w:rsidP="007E38A1">
            <w:pPr>
              <w:rPr>
                <w:rFonts w:cs="Arial"/>
                <w:sz w:val="20"/>
                <w:szCs w:val="20"/>
              </w:rPr>
            </w:pPr>
            <w:proofErr w:type="gramStart"/>
            <w:r w:rsidRPr="0033290F">
              <w:rPr>
                <w:rFonts w:cs="Arial"/>
                <w:sz w:val="20"/>
                <w:szCs w:val="20"/>
              </w:rPr>
              <w:t>31.12.2015</w:t>
            </w:r>
            <w:proofErr w:type="gramEnd"/>
          </w:p>
        </w:tc>
        <w:tc>
          <w:tcPr>
            <w:tcW w:w="3222" w:type="dxa"/>
          </w:tcPr>
          <w:p w:rsidR="00870F5B" w:rsidRPr="0033290F" w:rsidRDefault="00870F5B" w:rsidP="007E38A1">
            <w:pPr>
              <w:rPr>
                <w:sz w:val="20"/>
                <w:szCs w:val="20"/>
              </w:rPr>
            </w:pPr>
            <w:r w:rsidRPr="0033290F">
              <w:rPr>
                <w:sz w:val="20"/>
                <w:szCs w:val="20"/>
              </w:rPr>
              <w:t xml:space="preserve">MŽP / spolupráce </w:t>
            </w:r>
            <w:proofErr w:type="spellStart"/>
            <w:r w:rsidRPr="0033290F">
              <w:rPr>
                <w:sz w:val="20"/>
                <w:szCs w:val="20"/>
              </w:rPr>
              <w:t>MZe</w:t>
            </w:r>
            <w:proofErr w:type="spellEnd"/>
            <w:r w:rsidRPr="0033290F">
              <w:rPr>
                <w:sz w:val="20"/>
                <w:szCs w:val="20"/>
              </w:rPr>
              <w:t xml:space="preserve">, MV, MPO, MD, </w:t>
            </w:r>
            <w:proofErr w:type="spellStart"/>
            <w:r w:rsidRPr="0033290F">
              <w:rPr>
                <w:sz w:val="20"/>
                <w:szCs w:val="20"/>
              </w:rPr>
              <w:t>MZdr</w:t>
            </w:r>
            <w:proofErr w:type="spellEnd"/>
          </w:p>
        </w:tc>
      </w:tr>
      <w:tr w:rsidR="00F01994" w:rsidRPr="00250A0D" w:rsidTr="00F625C4">
        <w:trPr>
          <w:gridBefore w:val="1"/>
          <w:wBefore w:w="6" w:type="dxa"/>
        </w:trPr>
        <w:tc>
          <w:tcPr>
            <w:tcW w:w="2366" w:type="dxa"/>
            <w:vMerge/>
          </w:tcPr>
          <w:p w:rsidR="00F01994" w:rsidRPr="00250A0D" w:rsidRDefault="00F01994" w:rsidP="007E38A1">
            <w:pPr>
              <w:rPr>
                <w:sz w:val="20"/>
                <w:szCs w:val="20"/>
              </w:rPr>
            </w:pPr>
          </w:p>
        </w:tc>
        <w:tc>
          <w:tcPr>
            <w:tcW w:w="2397" w:type="dxa"/>
            <w:vMerge w:val="restart"/>
          </w:tcPr>
          <w:p w:rsidR="00F01994" w:rsidRPr="0033290F" w:rsidRDefault="00F01994" w:rsidP="007E38A1">
            <w:pPr>
              <w:spacing w:line="276" w:lineRule="auto"/>
              <w:rPr>
                <w:rFonts w:cs="Arial"/>
                <w:sz w:val="20"/>
                <w:szCs w:val="20"/>
              </w:rPr>
            </w:pPr>
            <w:r w:rsidRPr="0033290F">
              <w:rPr>
                <w:rFonts w:cs="Arial"/>
                <w:sz w:val="20"/>
                <w:szCs w:val="20"/>
              </w:rPr>
              <w:t>případné zohlednění vnitrostátních strategií pro přizpůsobení se změně klimatu.</w:t>
            </w:r>
          </w:p>
        </w:tc>
        <w:tc>
          <w:tcPr>
            <w:tcW w:w="3703" w:type="dxa"/>
          </w:tcPr>
          <w:p w:rsidR="00F01994" w:rsidRPr="0033290F" w:rsidRDefault="00F01994" w:rsidP="00F01994">
            <w:pPr>
              <w:spacing w:line="276" w:lineRule="auto"/>
              <w:rPr>
                <w:rFonts w:cs="Arial"/>
                <w:sz w:val="20"/>
                <w:szCs w:val="20"/>
              </w:rPr>
            </w:pPr>
            <w:r w:rsidRPr="0033290F">
              <w:rPr>
                <w:rFonts w:cs="Arial"/>
                <w:sz w:val="20"/>
                <w:szCs w:val="20"/>
              </w:rPr>
              <w:t>Schválení Strategie přizpůsobení se změně klimatu v podmínkách v ČR (adaptační strategie)</w:t>
            </w:r>
          </w:p>
        </w:tc>
        <w:tc>
          <w:tcPr>
            <w:tcW w:w="2483" w:type="dxa"/>
          </w:tcPr>
          <w:p w:rsidR="00F01994" w:rsidRPr="00250A0D" w:rsidRDefault="00F01994" w:rsidP="00F01994">
            <w:pPr>
              <w:spacing w:line="276" w:lineRule="auto"/>
              <w:rPr>
                <w:rFonts w:cs="Arial"/>
                <w:sz w:val="20"/>
                <w:szCs w:val="20"/>
              </w:rPr>
            </w:pPr>
            <w:proofErr w:type="gramStart"/>
            <w:r w:rsidRPr="0033290F">
              <w:rPr>
                <w:rFonts w:cs="Arial"/>
                <w:sz w:val="20"/>
                <w:szCs w:val="20"/>
              </w:rPr>
              <w:t>30.06.2015</w:t>
            </w:r>
            <w:proofErr w:type="gramEnd"/>
          </w:p>
          <w:p w:rsidR="00F01994" w:rsidRPr="0033290F" w:rsidRDefault="00F01994" w:rsidP="007E38A1">
            <w:pPr>
              <w:rPr>
                <w:rFonts w:cs="Arial"/>
                <w:sz w:val="20"/>
                <w:szCs w:val="20"/>
              </w:rPr>
            </w:pPr>
          </w:p>
        </w:tc>
        <w:tc>
          <w:tcPr>
            <w:tcW w:w="3222" w:type="dxa"/>
          </w:tcPr>
          <w:p w:rsidR="00F01994" w:rsidRPr="00250A0D" w:rsidRDefault="00F01994" w:rsidP="00F01994">
            <w:pPr>
              <w:spacing w:line="276" w:lineRule="auto"/>
              <w:rPr>
                <w:rFonts w:cs="Arial"/>
                <w:sz w:val="20"/>
                <w:szCs w:val="20"/>
              </w:rPr>
            </w:pPr>
            <w:r w:rsidRPr="0033290F">
              <w:rPr>
                <w:rFonts w:cs="Arial"/>
                <w:sz w:val="20"/>
                <w:szCs w:val="20"/>
              </w:rPr>
              <w:t>Koordinuje a předkládá MŽP, schvaluje vláda</w:t>
            </w:r>
          </w:p>
          <w:p w:rsidR="00F01994" w:rsidRPr="0033290F" w:rsidRDefault="00F01994" w:rsidP="007E38A1">
            <w:pPr>
              <w:rPr>
                <w:rFonts w:cs="Arial"/>
                <w:sz w:val="20"/>
                <w:szCs w:val="20"/>
              </w:rPr>
            </w:pPr>
          </w:p>
        </w:tc>
      </w:tr>
      <w:tr w:rsidR="00F01994" w:rsidRPr="00250A0D" w:rsidTr="00F625C4">
        <w:trPr>
          <w:gridBefore w:val="1"/>
          <w:wBefore w:w="6" w:type="dxa"/>
        </w:trPr>
        <w:tc>
          <w:tcPr>
            <w:tcW w:w="2366" w:type="dxa"/>
            <w:vMerge/>
          </w:tcPr>
          <w:p w:rsidR="00F01994" w:rsidRPr="00250A0D" w:rsidRDefault="00F01994" w:rsidP="007E38A1">
            <w:pPr>
              <w:spacing w:line="276" w:lineRule="auto"/>
              <w:rPr>
                <w:sz w:val="20"/>
                <w:szCs w:val="20"/>
              </w:rPr>
            </w:pPr>
          </w:p>
        </w:tc>
        <w:tc>
          <w:tcPr>
            <w:tcW w:w="2397" w:type="dxa"/>
            <w:vMerge/>
          </w:tcPr>
          <w:p w:rsidR="00F01994" w:rsidRPr="00250A0D" w:rsidRDefault="00F01994" w:rsidP="007E38A1">
            <w:pPr>
              <w:spacing w:line="276" w:lineRule="auto"/>
              <w:rPr>
                <w:rFonts w:cs="Arial"/>
                <w:sz w:val="20"/>
                <w:szCs w:val="20"/>
              </w:rPr>
            </w:pPr>
          </w:p>
        </w:tc>
        <w:tc>
          <w:tcPr>
            <w:tcW w:w="3703" w:type="dxa"/>
          </w:tcPr>
          <w:p w:rsidR="00F01994" w:rsidRPr="00250A0D" w:rsidRDefault="00F01994" w:rsidP="007E38A1">
            <w:pPr>
              <w:spacing w:line="276" w:lineRule="auto"/>
              <w:rPr>
                <w:rFonts w:cs="Arial"/>
                <w:sz w:val="20"/>
                <w:szCs w:val="20"/>
              </w:rPr>
            </w:pPr>
            <w:r w:rsidRPr="0033290F">
              <w:rPr>
                <w:rFonts w:cs="Arial"/>
                <w:sz w:val="20"/>
                <w:szCs w:val="20"/>
              </w:rPr>
              <w:t>Případně zohlednění adaptační strategie v</w:t>
            </w:r>
            <w:r w:rsidR="004D7B8E">
              <w:rPr>
                <w:rFonts w:cs="Arial"/>
                <w:sz w:val="20"/>
                <w:szCs w:val="20"/>
              </w:rPr>
              <w:t> </w:t>
            </w:r>
            <w:r w:rsidRPr="0033290F">
              <w:rPr>
                <w:rFonts w:cs="Arial"/>
                <w:sz w:val="20"/>
                <w:szCs w:val="20"/>
              </w:rPr>
              <w:t>odpovídají</w:t>
            </w:r>
            <w:r w:rsidR="004D7B8E">
              <w:rPr>
                <w:rFonts w:cs="Arial"/>
                <w:sz w:val="20"/>
                <w:szCs w:val="20"/>
              </w:rPr>
              <w:t xml:space="preserve">cích </w:t>
            </w:r>
            <w:r w:rsidRPr="0033290F">
              <w:rPr>
                <w:rFonts w:cs="Arial"/>
                <w:sz w:val="20"/>
                <w:szCs w:val="20"/>
              </w:rPr>
              <w:t>vnitrostátních nebo regionálních posouzeních rizik.</w:t>
            </w:r>
          </w:p>
          <w:p w:rsidR="00F01994" w:rsidRPr="00250A0D" w:rsidRDefault="00F01994" w:rsidP="007E38A1">
            <w:pPr>
              <w:spacing w:line="276" w:lineRule="auto"/>
              <w:rPr>
                <w:rFonts w:cs="Arial"/>
                <w:sz w:val="20"/>
                <w:szCs w:val="20"/>
              </w:rPr>
            </w:pPr>
            <w:r w:rsidRPr="0033290F">
              <w:rPr>
                <w:sz w:val="20"/>
                <w:szCs w:val="20"/>
              </w:rPr>
              <w:t xml:space="preserve">Návrh adaptační strategie je odpovídajícím způsobem zohledňován v připravovaných Plánech pro zvládání povodňových rizik a aktualizovaných Plánech povodí a Koncepci environmentální bezpečnosti. Případné relevantní změny adaptační strategie (jež mohou být vyvolané procesem SEA nebo MPŘ) budou do Plánů pro zvládání povodňových rizik a Plánů povodí uplatněny v rámci připomínek veřejnosti (do </w:t>
            </w:r>
            <w:proofErr w:type="gramStart"/>
            <w:r w:rsidRPr="0033290F">
              <w:rPr>
                <w:sz w:val="20"/>
                <w:szCs w:val="20"/>
              </w:rPr>
              <w:t>22.6.2015</w:t>
            </w:r>
            <w:proofErr w:type="gramEnd"/>
            <w:r w:rsidRPr="0033290F">
              <w:rPr>
                <w:sz w:val="20"/>
                <w:szCs w:val="20"/>
              </w:rPr>
              <w:t xml:space="preserve">) a do Koncepce environmentální bezpečnosti před jejím schválením (do 31.12.2015). Adaptační strategie bude po svém schválení uplatněna v odpovídající krizové dokumentaci dotčených resortů do </w:t>
            </w:r>
            <w:proofErr w:type="gramStart"/>
            <w:r w:rsidRPr="0033290F">
              <w:rPr>
                <w:sz w:val="20"/>
                <w:szCs w:val="20"/>
              </w:rPr>
              <w:t>31.12.2015</w:t>
            </w:r>
            <w:proofErr w:type="gramEnd"/>
            <w:r w:rsidRPr="0033290F">
              <w:rPr>
                <w:sz w:val="20"/>
                <w:szCs w:val="20"/>
              </w:rPr>
              <w:t>.</w:t>
            </w:r>
          </w:p>
        </w:tc>
        <w:tc>
          <w:tcPr>
            <w:tcW w:w="2483" w:type="dxa"/>
          </w:tcPr>
          <w:p w:rsidR="00F01994" w:rsidRPr="00250A0D" w:rsidRDefault="00F01994" w:rsidP="007E38A1">
            <w:pPr>
              <w:spacing w:line="276" w:lineRule="auto"/>
              <w:rPr>
                <w:rFonts w:cs="Arial"/>
                <w:sz w:val="20"/>
                <w:szCs w:val="20"/>
              </w:rPr>
            </w:pPr>
            <w:proofErr w:type="gramStart"/>
            <w:r w:rsidRPr="0033290F">
              <w:rPr>
                <w:rFonts w:cs="Arial"/>
                <w:sz w:val="20"/>
                <w:szCs w:val="20"/>
              </w:rPr>
              <w:t>31.12.2015</w:t>
            </w:r>
            <w:proofErr w:type="gramEnd"/>
          </w:p>
        </w:tc>
        <w:tc>
          <w:tcPr>
            <w:tcW w:w="3222" w:type="dxa"/>
          </w:tcPr>
          <w:p w:rsidR="00F01994" w:rsidRPr="00250A0D" w:rsidRDefault="00F01994" w:rsidP="007E38A1">
            <w:pPr>
              <w:spacing w:line="276" w:lineRule="auto"/>
              <w:rPr>
                <w:rFonts w:cs="Arial"/>
                <w:sz w:val="20"/>
                <w:szCs w:val="20"/>
              </w:rPr>
            </w:pPr>
            <w:r w:rsidRPr="0033290F">
              <w:rPr>
                <w:rFonts w:cs="Arial"/>
                <w:sz w:val="20"/>
                <w:szCs w:val="20"/>
              </w:rPr>
              <w:t>Příslušná ministerstva.</w:t>
            </w:r>
          </w:p>
        </w:tc>
      </w:tr>
      <w:tr w:rsidR="00754315" w:rsidRPr="00250A0D" w:rsidTr="00F625C4">
        <w:tc>
          <w:tcPr>
            <w:tcW w:w="2372" w:type="dxa"/>
            <w:gridSpan w:val="2"/>
            <w:vMerge w:val="restart"/>
          </w:tcPr>
          <w:p w:rsidR="00754315" w:rsidRPr="00250A0D" w:rsidRDefault="00754315" w:rsidP="00B66FDE">
            <w:pPr>
              <w:spacing w:line="276" w:lineRule="auto"/>
              <w:rPr>
                <w:sz w:val="20"/>
                <w:szCs w:val="20"/>
              </w:rPr>
            </w:pPr>
            <w:r w:rsidRPr="00250A0D">
              <w:rPr>
                <w:sz w:val="20"/>
                <w:szCs w:val="20"/>
              </w:rPr>
              <w:t>6.</w:t>
            </w:r>
            <w:r w:rsidR="0033290F" w:rsidRPr="0033290F">
              <w:rPr>
                <w:sz w:val="20"/>
                <w:szCs w:val="20"/>
              </w:rPr>
              <w:t xml:space="preserve">1. Vodní hospodářství: existence a) politiky </w:t>
            </w:r>
            <w:r w:rsidR="0033290F" w:rsidRPr="0033290F">
              <w:rPr>
                <w:sz w:val="20"/>
                <w:szCs w:val="20"/>
              </w:rPr>
              <w:lastRenderedPageBreak/>
              <w:t>stanovování poplatků za vodu, která vhodným způsobem podněcuje uživatele k účinnému využívání vodních zdrojů, a b) odpovídajícího podílu různých způsobů využívání vody na úhradě nákladů na vodohospodářské služby v sazbě stanovené ve schváleném plánu povodí pro investice podporované příslušnými programy.</w:t>
            </w:r>
          </w:p>
        </w:tc>
        <w:tc>
          <w:tcPr>
            <w:tcW w:w="2397" w:type="dxa"/>
          </w:tcPr>
          <w:p w:rsidR="00754315" w:rsidRPr="00250A0D" w:rsidRDefault="004D7B8E" w:rsidP="00B66FDE">
            <w:pPr>
              <w:spacing w:line="276" w:lineRule="auto"/>
              <w:rPr>
                <w:rFonts w:cs="Arial"/>
                <w:sz w:val="20"/>
                <w:szCs w:val="20"/>
              </w:rPr>
            </w:pPr>
            <w:r>
              <w:rPr>
                <w:rFonts w:cs="Arial"/>
                <w:sz w:val="20"/>
                <w:szCs w:val="20"/>
              </w:rPr>
              <w:lastRenderedPageBreak/>
              <w:t>V odvětvích podporova</w:t>
            </w:r>
            <w:r w:rsidR="0033290F" w:rsidRPr="0033290F">
              <w:rPr>
                <w:rFonts w:cs="Arial"/>
                <w:sz w:val="20"/>
                <w:szCs w:val="20"/>
              </w:rPr>
              <w:t xml:space="preserve">ných z </w:t>
            </w:r>
            <w:r w:rsidR="0033290F" w:rsidRPr="0033290F">
              <w:rPr>
                <w:rFonts w:cs="Arial"/>
                <w:sz w:val="20"/>
                <w:szCs w:val="20"/>
              </w:rPr>
              <w:lastRenderedPageBreak/>
              <w:t>prostředků EFRR, EFRR a Fondu soudržnosti, členský stát zajistil, aby se na úhradě nákladů na vodohospodářské služby podílely různé způsoby využívání vody v členění podle odvětví, v souladu s čl. 9 odst. 1 první odrážkou směrnice 2000/60/ES, případně s ohledem na sociální dopad, dopad na životní prostředí a hospodářský dopad takové úhrady, jakož i zeměpisné a klimatické podmínky dotčeného regionu či regionů.</w:t>
            </w:r>
          </w:p>
        </w:tc>
        <w:tc>
          <w:tcPr>
            <w:tcW w:w="3703" w:type="dxa"/>
          </w:tcPr>
          <w:p w:rsidR="00754315" w:rsidRPr="00250A0D" w:rsidRDefault="0033290F" w:rsidP="007E38A1">
            <w:pPr>
              <w:autoSpaceDE w:val="0"/>
              <w:autoSpaceDN w:val="0"/>
              <w:adjustRightInd w:val="0"/>
              <w:spacing w:line="276" w:lineRule="auto"/>
              <w:rPr>
                <w:rFonts w:cs="Helv"/>
                <w:color w:val="000000"/>
                <w:sz w:val="20"/>
                <w:szCs w:val="20"/>
              </w:rPr>
            </w:pPr>
            <w:r w:rsidRPr="0033290F">
              <w:rPr>
                <w:rFonts w:cs="Helv"/>
                <w:color w:val="000000"/>
                <w:sz w:val="20"/>
                <w:szCs w:val="20"/>
              </w:rPr>
              <w:lastRenderedPageBreak/>
              <w:t xml:space="preserve">MPO ve spolupráci s MŽP, MF, </w:t>
            </w:r>
            <w:proofErr w:type="spellStart"/>
            <w:r w:rsidRPr="0033290F">
              <w:rPr>
                <w:rFonts w:cs="Helv"/>
                <w:color w:val="000000"/>
                <w:sz w:val="20"/>
                <w:szCs w:val="20"/>
              </w:rPr>
              <w:t>MZe</w:t>
            </w:r>
            <w:proofErr w:type="spellEnd"/>
            <w:r w:rsidRPr="0033290F">
              <w:rPr>
                <w:rFonts w:cs="Helv"/>
                <w:color w:val="000000"/>
                <w:sz w:val="20"/>
                <w:szCs w:val="20"/>
              </w:rPr>
              <w:t xml:space="preserve"> a MMR vypracovalo materiál, který byl </w:t>
            </w:r>
            <w:r w:rsidRPr="0033290F">
              <w:rPr>
                <w:rFonts w:cs="Helv"/>
                <w:color w:val="000000"/>
                <w:sz w:val="20"/>
                <w:szCs w:val="20"/>
              </w:rPr>
              <w:lastRenderedPageBreak/>
              <w:t xml:space="preserve">dne </w:t>
            </w:r>
            <w:proofErr w:type="gramStart"/>
            <w:r w:rsidRPr="0033290F">
              <w:rPr>
                <w:rFonts w:cs="Helv"/>
                <w:color w:val="000000"/>
                <w:sz w:val="20"/>
                <w:szCs w:val="20"/>
              </w:rPr>
              <w:t>4.6.2014</w:t>
            </w:r>
            <w:proofErr w:type="gramEnd"/>
            <w:r w:rsidRPr="0033290F">
              <w:rPr>
                <w:rFonts w:cs="Helv"/>
                <w:color w:val="000000"/>
                <w:sz w:val="20"/>
                <w:szCs w:val="20"/>
              </w:rPr>
              <w:t xml:space="preserve"> schválen vládou ČR.  Tento materiál navrhuje koncepční řešení regulace cen ve vodárenství v ČR ve formě 2 variantních řešení, nicméně musí dojít ke shodě na národní úrovni zejména mezi dotčenými resorty (MŽP, </w:t>
            </w:r>
            <w:proofErr w:type="spellStart"/>
            <w:r w:rsidRPr="0033290F">
              <w:rPr>
                <w:rFonts w:cs="Helv"/>
                <w:color w:val="000000"/>
                <w:sz w:val="20"/>
                <w:szCs w:val="20"/>
              </w:rPr>
              <w:t>MZe</w:t>
            </w:r>
            <w:proofErr w:type="spellEnd"/>
            <w:r w:rsidRPr="0033290F">
              <w:rPr>
                <w:rFonts w:cs="Helv"/>
                <w:color w:val="000000"/>
                <w:sz w:val="20"/>
                <w:szCs w:val="20"/>
              </w:rPr>
              <w:t xml:space="preserve">, MF, MMR).  </w:t>
            </w:r>
          </w:p>
          <w:p w:rsidR="00754315" w:rsidRPr="00250A0D" w:rsidRDefault="0033290F" w:rsidP="007E38A1">
            <w:pPr>
              <w:autoSpaceDE w:val="0"/>
              <w:autoSpaceDN w:val="0"/>
              <w:adjustRightInd w:val="0"/>
              <w:spacing w:line="276" w:lineRule="auto"/>
              <w:rPr>
                <w:rFonts w:cs="Helv"/>
                <w:color w:val="000000"/>
                <w:sz w:val="20"/>
                <w:szCs w:val="20"/>
              </w:rPr>
            </w:pPr>
            <w:r w:rsidRPr="0033290F">
              <w:rPr>
                <w:rFonts w:cs="Helv"/>
                <w:color w:val="000000"/>
                <w:sz w:val="20"/>
                <w:szCs w:val="20"/>
              </w:rPr>
              <w:t xml:space="preserve">Do konce listopadu 2014 musí MPO ve spolupráci s MŽP, </w:t>
            </w:r>
            <w:proofErr w:type="spellStart"/>
            <w:r w:rsidRPr="0033290F">
              <w:rPr>
                <w:rFonts w:cs="Helv"/>
                <w:color w:val="000000"/>
                <w:sz w:val="20"/>
                <w:szCs w:val="20"/>
              </w:rPr>
              <w:t>MZe</w:t>
            </w:r>
            <w:proofErr w:type="spellEnd"/>
            <w:r w:rsidRPr="0033290F">
              <w:rPr>
                <w:rFonts w:cs="Helv"/>
                <w:color w:val="000000"/>
                <w:sz w:val="20"/>
                <w:szCs w:val="20"/>
              </w:rPr>
              <w:t>, MMR, MF a ERÚ zanalyzovat navrhované varianty a vypracovat materiál na základě kterého bude rozhodnuto o preferované variantě. Do doby účinnosti případných změn na národní úrovni, bude MŽP postupovat podle Přílohy č. 6 v rámci OP ŽP 2014-2020. Finální podoba bude známa na konci roku 2014.</w:t>
            </w:r>
          </w:p>
          <w:p w:rsidR="00754315" w:rsidRPr="00250A0D" w:rsidRDefault="0033290F" w:rsidP="00B66FDE">
            <w:pPr>
              <w:spacing w:line="276" w:lineRule="auto"/>
              <w:rPr>
                <w:sz w:val="20"/>
                <w:szCs w:val="20"/>
              </w:rPr>
            </w:pPr>
            <w:r w:rsidRPr="0033290F">
              <w:rPr>
                <w:b/>
                <w:sz w:val="20"/>
                <w:szCs w:val="20"/>
              </w:rPr>
              <w:t>Podrobnější specifikace v rámci Akčního plánu 6.1 v příloze č. 7.</w:t>
            </w:r>
          </w:p>
        </w:tc>
        <w:tc>
          <w:tcPr>
            <w:tcW w:w="2483" w:type="dxa"/>
          </w:tcPr>
          <w:p w:rsidR="00754315" w:rsidRPr="00250A0D" w:rsidRDefault="0033290F" w:rsidP="00B66FDE">
            <w:pPr>
              <w:spacing w:line="276" w:lineRule="auto"/>
              <w:rPr>
                <w:sz w:val="20"/>
                <w:szCs w:val="20"/>
              </w:rPr>
            </w:pPr>
            <w:r w:rsidRPr="0033290F">
              <w:rPr>
                <w:sz w:val="20"/>
                <w:szCs w:val="20"/>
              </w:rPr>
              <w:lastRenderedPageBreak/>
              <w:t>31. 12. 2016</w:t>
            </w:r>
          </w:p>
        </w:tc>
        <w:tc>
          <w:tcPr>
            <w:tcW w:w="3222" w:type="dxa"/>
          </w:tcPr>
          <w:p w:rsidR="00754315" w:rsidRPr="00250A0D" w:rsidRDefault="0033290F" w:rsidP="00B66FDE">
            <w:pPr>
              <w:spacing w:line="276" w:lineRule="auto"/>
              <w:rPr>
                <w:rFonts w:cs="Arial"/>
                <w:sz w:val="20"/>
                <w:szCs w:val="20"/>
              </w:rPr>
            </w:pPr>
            <w:r w:rsidRPr="0033290F">
              <w:rPr>
                <w:sz w:val="20"/>
                <w:szCs w:val="20"/>
              </w:rPr>
              <w:t xml:space="preserve">MŽP, </w:t>
            </w:r>
            <w:proofErr w:type="spellStart"/>
            <w:r w:rsidRPr="0033290F">
              <w:rPr>
                <w:sz w:val="20"/>
                <w:szCs w:val="20"/>
              </w:rPr>
              <w:t>MZe</w:t>
            </w:r>
            <w:proofErr w:type="spellEnd"/>
            <w:r w:rsidRPr="0033290F">
              <w:rPr>
                <w:sz w:val="20"/>
                <w:szCs w:val="20"/>
              </w:rPr>
              <w:t>, MF</w:t>
            </w:r>
          </w:p>
        </w:tc>
      </w:tr>
      <w:tr w:rsidR="00754315" w:rsidRPr="00250A0D" w:rsidTr="00F625C4">
        <w:tc>
          <w:tcPr>
            <w:tcW w:w="2372" w:type="dxa"/>
            <w:gridSpan w:val="2"/>
            <w:vMerge/>
          </w:tcPr>
          <w:p w:rsidR="00754315" w:rsidRPr="00250A0D" w:rsidRDefault="00754315" w:rsidP="00B66FDE">
            <w:pPr>
              <w:spacing w:line="276" w:lineRule="auto"/>
              <w:rPr>
                <w:sz w:val="20"/>
                <w:szCs w:val="20"/>
              </w:rPr>
            </w:pPr>
          </w:p>
        </w:tc>
        <w:tc>
          <w:tcPr>
            <w:tcW w:w="2397" w:type="dxa"/>
          </w:tcPr>
          <w:p w:rsidR="00754315" w:rsidRPr="00250A0D" w:rsidRDefault="0033290F" w:rsidP="00B66FDE">
            <w:pPr>
              <w:spacing w:line="276" w:lineRule="auto"/>
              <w:rPr>
                <w:rFonts w:cs="Arial"/>
                <w:sz w:val="20"/>
                <w:szCs w:val="20"/>
              </w:rPr>
            </w:pPr>
            <w:r w:rsidRPr="0033290F">
              <w:rPr>
                <w:rFonts w:cs="Arial"/>
                <w:sz w:val="20"/>
                <w:szCs w:val="20"/>
              </w:rPr>
              <w:t xml:space="preserve">Přijetí plánu povodí pro oblasti povodí v souladu s článkem 13 směrnice 2006/60/ES </w:t>
            </w:r>
          </w:p>
        </w:tc>
        <w:tc>
          <w:tcPr>
            <w:tcW w:w="3703" w:type="dxa"/>
          </w:tcPr>
          <w:p w:rsidR="00754315" w:rsidRPr="00250A0D" w:rsidRDefault="0033290F" w:rsidP="00B66FDE">
            <w:pPr>
              <w:spacing w:line="276" w:lineRule="auto"/>
              <w:rPr>
                <w:sz w:val="20"/>
                <w:szCs w:val="20"/>
              </w:rPr>
            </w:pPr>
            <w:r w:rsidRPr="0033290F">
              <w:rPr>
                <w:sz w:val="20"/>
                <w:szCs w:val="20"/>
              </w:rPr>
              <w:t>Schválení aktualizovaných plánů povodí v souladu s Rámcovou směrnicí o vodách 2000/60/ES.</w:t>
            </w:r>
          </w:p>
          <w:p w:rsidR="00754315" w:rsidRPr="00250A0D" w:rsidRDefault="0033290F" w:rsidP="00B66FDE">
            <w:pPr>
              <w:spacing w:line="276" w:lineRule="auto"/>
              <w:rPr>
                <w:rFonts w:cs="Arial"/>
                <w:sz w:val="20"/>
                <w:szCs w:val="20"/>
              </w:rPr>
            </w:pPr>
            <w:r w:rsidRPr="0033290F">
              <w:rPr>
                <w:rFonts w:cs="Arial"/>
                <w:sz w:val="20"/>
                <w:szCs w:val="20"/>
              </w:rPr>
              <w:t>Schválení plánů pro zvládání povodňových rizik v souladu se Směrnicí 2007/60/ES o vyhodnocování a zvládání povodňových rizik.</w:t>
            </w:r>
          </w:p>
        </w:tc>
        <w:tc>
          <w:tcPr>
            <w:tcW w:w="2483" w:type="dxa"/>
          </w:tcPr>
          <w:p w:rsidR="00754315" w:rsidRPr="00250A0D" w:rsidRDefault="0033290F" w:rsidP="00B66FDE">
            <w:pPr>
              <w:spacing w:line="276" w:lineRule="auto"/>
              <w:rPr>
                <w:sz w:val="20"/>
                <w:szCs w:val="20"/>
              </w:rPr>
            </w:pPr>
            <w:r w:rsidRPr="0033290F">
              <w:rPr>
                <w:sz w:val="20"/>
                <w:szCs w:val="20"/>
              </w:rPr>
              <w:t xml:space="preserve">22. 12. 2015. </w:t>
            </w:r>
          </w:p>
          <w:p w:rsidR="00754315" w:rsidRPr="00250A0D" w:rsidRDefault="00754315" w:rsidP="00B66FDE">
            <w:pPr>
              <w:spacing w:line="276" w:lineRule="auto"/>
              <w:rPr>
                <w:rFonts w:cs="Arial"/>
                <w:sz w:val="20"/>
                <w:szCs w:val="20"/>
              </w:rPr>
            </w:pPr>
          </w:p>
        </w:tc>
        <w:tc>
          <w:tcPr>
            <w:tcW w:w="3222" w:type="dxa"/>
          </w:tcPr>
          <w:p w:rsidR="00754315" w:rsidRPr="00250A0D" w:rsidRDefault="0033290F" w:rsidP="00B66FDE">
            <w:pPr>
              <w:spacing w:line="276" w:lineRule="auto"/>
              <w:rPr>
                <w:rFonts w:cs="Arial"/>
                <w:sz w:val="20"/>
                <w:szCs w:val="20"/>
              </w:rPr>
            </w:pPr>
            <w:r w:rsidRPr="0033290F">
              <w:rPr>
                <w:sz w:val="20"/>
                <w:szCs w:val="20"/>
              </w:rPr>
              <w:t xml:space="preserve">MŽP, </w:t>
            </w:r>
            <w:proofErr w:type="spellStart"/>
            <w:r w:rsidRPr="0033290F">
              <w:rPr>
                <w:sz w:val="20"/>
                <w:szCs w:val="20"/>
              </w:rPr>
              <w:t>MZe</w:t>
            </w:r>
            <w:proofErr w:type="spellEnd"/>
          </w:p>
        </w:tc>
      </w:tr>
      <w:tr w:rsidR="006A4D9E" w:rsidRPr="00250A0D" w:rsidTr="00F625C4">
        <w:tc>
          <w:tcPr>
            <w:tcW w:w="2372" w:type="dxa"/>
            <w:gridSpan w:val="2"/>
            <w:vMerge w:val="restart"/>
          </w:tcPr>
          <w:p w:rsidR="006A4D9E" w:rsidRPr="00250A0D" w:rsidRDefault="006A4D9E" w:rsidP="00CC711C">
            <w:pPr>
              <w:spacing w:line="276" w:lineRule="auto"/>
              <w:rPr>
                <w:sz w:val="20"/>
                <w:szCs w:val="20"/>
              </w:rPr>
            </w:pPr>
            <w:r w:rsidRPr="00250A0D">
              <w:rPr>
                <w:sz w:val="20"/>
                <w:szCs w:val="20"/>
              </w:rPr>
              <w:lastRenderedPageBreak/>
              <w:t xml:space="preserve">6.2. Odpadové hospodářství: </w:t>
            </w:r>
            <w:r w:rsidR="0033290F" w:rsidRPr="0033290F">
              <w:rPr>
                <w:sz w:val="20"/>
                <w:szCs w:val="20"/>
              </w:rPr>
              <w:t>podpora investic do odpadového hospodářství udržitelných z hospodářského a environmentálního hlediska, zejména vypracování plánů pro nakládání s odpady v souladu se směrnicí 2008/98/ES o odpadech a s hierarchií způsobů nakládání s odpady</w:t>
            </w:r>
          </w:p>
        </w:tc>
        <w:tc>
          <w:tcPr>
            <w:tcW w:w="2397" w:type="dxa"/>
          </w:tcPr>
          <w:p w:rsidR="006A4D9E" w:rsidRPr="00250A0D" w:rsidRDefault="0033290F" w:rsidP="007E38A1">
            <w:pPr>
              <w:pStyle w:val="Default"/>
              <w:spacing w:afterAutospacing="1"/>
              <w:jc w:val="both"/>
              <w:rPr>
                <w:rFonts w:ascii="Cambria" w:hAnsi="Cambria"/>
                <w:sz w:val="20"/>
                <w:szCs w:val="20"/>
              </w:rPr>
            </w:pPr>
            <w:r w:rsidRPr="0033290F">
              <w:rPr>
                <w:rFonts w:ascii="Cambria" w:hAnsi="Cambria"/>
                <w:sz w:val="20"/>
                <w:szCs w:val="20"/>
              </w:rPr>
              <w:t xml:space="preserve">Existence jednoho nebo více plánů pro nakládání s odpady požadovanými v článku 28 směrnice 2008/98/ES. </w:t>
            </w:r>
          </w:p>
          <w:p w:rsidR="006A4D9E" w:rsidRPr="00250A0D" w:rsidRDefault="006A4D9E" w:rsidP="00B66FDE">
            <w:pPr>
              <w:rPr>
                <w:rFonts w:cs="Arial"/>
                <w:sz w:val="20"/>
                <w:szCs w:val="20"/>
              </w:rPr>
            </w:pPr>
          </w:p>
        </w:tc>
        <w:tc>
          <w:tcPr>
            <w:tcW w:w="3703" w:type="dxa"/>
          </w:tcPr>
          <w:p w:rsidR="006A4D9E" w:rsidRPr="00250A0D" w:rsidRDefault="0033290F" w:rsidP="007E38A1">
            <w:pPr>
              <w:pStyle w:val="Default"/>
              <w:spacing w:afterAutospacing="1"/>
              <w:jc w:val="both"/>
              <w:rPr>
                <w:rFonts w:ascii="Cambria" w:hAnsi="Cambria"/>
                <w:sz w:val="20"/>
                <w:szCs w:val="20"/>
              </w:rPr>
            </w:pPr>
            <w:r w:rsidRPr="0033290F">
              <w:rPr>
                <w:rFonts w:ascii="Cambria" w:hAnsi="Cambria"/>
                <w:sz w:val="20"/>
                <w:szCs w:val="20"/>
              </w:rPr>
              <w:t xml:space="preserve">V současnosti je platný Plán odpadového hospodářství (POH) z roku 2003. </w:t>
            </w:r>
            <w:proofErr w:type="gramStart"/>
            <w:r w:rsidRPr="0033290F">
              <w:rPr>
                <w:rFonts w:ascii="Cambria" w:hAnsi="Cambria"/>
                <w:sz w:val="20"/>
                <w:szCs w:val="20"/>
              </w:rPr>
              <w:t>POH</w:t>
            </w:r>
            <w:proofErr w:type="gramEnd"/>
            <w:r w:rsidRPr="0033290F">
              <w:rPr>
                <w:rFonts w:ascii="Cambria" w:hAnsi="Cambria"/>
                <w:sz w:val="20"/>
                <w:szCs w:val="20"/>
              </w:rPr>
              <w:t xml:space="preserve"> ČR </w:t>
            </w:r>
            <w:proofErr w:type="gramStart"/>
            <w:r w:rsidRPr="0033290F">
              <w:rPr>
                <w:rFonts w:ascii="Cambria" w:hAnsi="Cambria"/>
                <w:sz w:val="20"/>
                <w:szCs w:val="20"/>
              </w:rPr>
              <w:t>byl</w:t>
            </w:r>
            <w:proofErr w:type="gramEnd"/>
            <w:r w:rsidRPr="0033290F">
              <w:rPr>
                <w:rFonts w:ascii="Cambria" w:hAnsi="Cambria"/>
                <w:sz w:val="20"/>
                <w:szCs w:val="20"/>
              </w:rPr>
              <w:t xml:space="preserve"> vyhlášen nařízením vlády č.197/2003 Sb., ze dne 4. června 2003 a je zpracován na dobu nejméně 10 let (původně do 1. 7. 201</w:t>
            </w:r>
            <w:r w:rsidR="00D82F04">
              <w:rPr>
                <w:rFonts w:ascii="Cambria" w:hAnsi="Cambria"/>
                <w:sz w:val="20"/>
                <w:szCs w:val="20"/>
              </w:rPr>
              <w:t xml:space="preserve">3). Platnost stávajícího POH </w:t>
            </w:r>
            <w:proofErr w:type="gramStart"/>
            <w:r w:rsidR="00D82F04">
              <w:rPr>
                <w:rFonts w:ascii="Cambria" w:hAnsi="Cambria"/>
                <w:sz w:val="20"/>
                <w:szCs w:val="20"/>
              </w:rPr>
              <w:t xml:space="preserve">ČR </w:t>
            </w:r>
            <w:r w:rsidRPr="0033290F">
              <w:rPr>
                <w:rFonts w:ascii="Cambria" w:hAnsi="Cambria"/>
                <w:sz w:val="20"/>
                <w:szCs w:val="20"/>
              </w:rPr>
              <w:t>však</w:t>
            </w:r>
            <w:proofErr w:type="gramEnd"/>
            <w:r w:rsidRPr="0033290F">
              <w:rPr>
                <w:rFonts w:ascii="Cambria" w:hAnsi="Cambria"/>
                <w:sz w:val="20"/>
                <w:szCs w:val="20"/>
              </w:rPr>
              <w:t xml:space="preserve"> byla prodloužena, a to do konce roku 2014 vydáním nařízení vlády č. 181/2013 Sb., ze dne 19. června 2013, které nabylo účinnosti dne1. července 2013 a kterým se mění nařízení vlády č. 473/2009 Sb. </w:t>
            </w:r>
          </w:p>
          <w:p w:rsidR="006A4D9E" w:rsidRPr="00250A0D" w:rsidRDefault="0033290F" w:rsidP="00B66FDE">
            <w:pPr>
              <w:spacing w:line="276" w:lineRule="auto"/>
              <w:rPr>
                <w:sz w:val="20"/>
                <w:szCs w:val="20"/>
              </w:rPr>
            </w:pPr>
            <w:r w:rsidRPr="0033290F">
              <w:rPr>
                <w:rFonts w:eastAsia="Calibri" w:cs="Calibri"/>
                <w:sz w:val="20"/>
                <w:szCs w:val="20"/>
                <w:lang w:eastAsia="en-US"/>
              </w:rPr>
              <w:t xml:space="preserve">K nově zpracovanému </w:t>
            </w:r>
            <w:proofErr w:type="gramStart"/>
            <w:r w:rsidRPr="0033290F">
              <w:rPr>
                <w:rFonts w:eastAsia="Calibri" w:cs="Calibri"/>
                <w:sz w:val="20"/>
                <w:szCs w:val="20"/>
                <w:lang w:eastAsia="en-US"/>
              </w:rPr>
              <w:t>POH</w:t>
            </w:r>
            <w:proofErr w:type="gramEnd"/>
            <w:r w:rsidRPr="0033290F">
              <w:rPr>
                <w:rFonts w:eastAsia="Calibri" w:cs="Calibri"/>
                <w:sz w:val="20"/>
                <w:szCs w:val="20"/>
                <w:lang w:eastAsia="en-US"/>
              </w:rPr>
              <w:t xml:space="preserve"> ČR </w:t>
            </w:r>
            <w:proofErr w:type="gramStart"/>
            <w:r w:rsidRPr="0033290F">
              <w:rPr>
                <w:rFonts w:eastAsia="Calibri" w:cs="Calibri"/>
                <w:sz w:val="20"/>
                <w:szCs w:val="20"/>
                <w:lang w:eastAsia="en-US"/>
              </w:rPr>
              <w:t>bylo</w:t>
            </w:r>
            <w:proofErr w:type="gramEnd"/>
            <w:r w:rsidRPr="0033290F">
              <w:rPr>
                <w:rFonts w:eastAsia="Calibri" w:cs="Calibri"/>
                <w:sz w:val="20"/>
                <w:szCs w:val="20"/>
                <w:lang w:eastAsia="en-US"/>
              </w:rPr>
              <w:t xml:space="preserve"> v průběhu května 2014 zahájeno posuzování vlivů koncepce na životní prostředí (proces SEA). </w:t>
            </w:r>
            <w:r w:rsidRPr="0033290F">
              <w:rPr>
                <w:sz w:val="20"/>
                <w:szCs w:val="20"/>
              </w:rPr>
              <w:t xml:space="preserve">Nový POH ČR bude předložen vládě ČR do konce roku 2014 tak, aby mohl být vydán jejím nařízením (platnost nového POH ČR </w:t>
            </w:r>
            <w:proofErr w:type="gramStart"/>
            <w:r w:rsidRPr="0033290F">
              <w:rPr>
                <w:sz w:val="20"/>
                <w:szCs w:val="20"/>
              </w:rPr>
              <w:t>od 1 .1. 2015</w:t>
            </w:r>
            <w:proofErr w:type="gramEnd"/>
            <w:r w:rsidRPr="0033290F">
              <w:rPr>
                <w:sz w:val="20"/>
                <w:szCs w:val="20"/>
              </w:rPr>
              <w:t xml:space="preserve">). Do této doby </w:t>
            </w:r>
            <w:proofErr w:type="gramStart"/>
            <w:r w:rsidRPr="0033290F">
              <w:rPr>
                <w:sz w:val="20"/>
                <w:szCs w:val="20"/>
              </w:rPr>
              <w:t>zůstává</w:t>
            </w:r>
            <w:proofErr w:type="gramEnd"/>
            <w:r w:rsidRPr="0033290F">
              <w:rPr>
                <w:sz w:val="20"/>
                <w:szCs w:val="20"/>
              </w:rPr>
              <w:t xml:space="preserve"> v platnosti stávající </w:t>
            </w:r>
            <w:proofErr w:type="gramStart"/>
            <w:r w:rsidRPr="0033290F">
              <w:rPr>
                <w:sz w:val="20"/>
                <w:szCs w:val="20"/>
              </w:rPr>
              <w:t>POH</w:t>
            </w:r>
            <w:proofErr w:type="gramEnd"/>
            <w:r w:rsidRPr="0033290F">
              <w:rPr>
                <w:sz w:val="20"/>
                <w:szCs w:val="20"/>
              </w:rPr>
              <w:t xml:space="preserve"> ČR. To znamená, že ČR </w:t>
            </w:r>
            <w:proofErr w:type="gramStart"/>
            <w:r w:rsidRPr="0033290F">
              <w:rPr>
                <w:sz w:val="20"/>
                <w:szCs w:val="20"/>
              </w:rPr>
              <w:t>bude</w:t>
            </w:r>
            <w:proofErr w:type="gramEnd"/>
            <w:r w:rsidRPr="0033290F">
              <w:rPr>
                <w:sz w:val="20"/>
                <w:szCs w:val="20"/>
              </w:rPr>
              <w:t xml:space="preserve"> mít v každém okamžiku platný nejméně jeden </w:t>
            </w:r>
            <w:proofErr w:type="gramStart"/>
            <w:r w:rsidRPr="0033290F">
              <w:rPr>
                <w:sz w:val="20"/>
                <w:szCs w:val="20"/>
              </w:rPr>
              <w:t>POH</w:t>
            </w:r>
            <w:proofErr w:type="gramEnd"/>
            <w:r w:rsidRPr="0033290F">
              <w:rPr>
                <w:sz w:val="20"/>
                <w:szCs w:val="20"/>
              </w:rPr>
              <w:t>.</w:t>
            </w:r>
          </w:p>
        </w:tc>
        <w:tc>
          <w:tcPr>
            <w:tcW w:w="2483" w:type="dxa"/>
          </w:tcPr>
          <w:p w:rsidR="00D82F04" w:rsidRDefault="0033290F" w:rsidP="00B66FDE">
            <w:pPr>
              <w:rPr>
                <w:rFonts w:cs="Arial"/>
                <w:sz w:val="20"/>
                <w:szCs w:val="20"/>
              </w:rPr>
            </w:pPr>
            <w:proofErr w:type="gramStart"/>
            <w:r w:rsidRPr="0033290F">
              <w:rPr>
                <w:rFonts w:cs="Arial"/>
                <w:sz w:val="20"/>
                <w:szCs w:val="20"/>
              </w:rPr>
              <w:t>01.01.2015</w:t>
            </w:r>
            <w:proofErr w:type="gramEnd"/>
          </w:p>
          <w:p w:rsidR="006A4D9E" w:rsidRPr="00D82F04" w:rsidRDefault="006A4D9E" w:rsidP="00D82F04">
            <w:pPr>
              <w:rPr>
                <w:rFonts w:cs="Arial"/>
                <w:sz w:val="20"/>
                <w:szCs w:val="20"/>
              </w:rPr>
            </w:pPr>
          </w:p>
        </w:tc>
        <w:tc>
          <w:tcPr>
            <w:tcW w:w="3222" w:type="dxa"/>
          </w:tcPr>
          <w:p w:rsidR="006A4D9E" w:rsidRPr="00250A0D" w:rsidRDefault="0033290F" w:rsidP="00B66FDE">
            <w:pPr>
              <w:spacing w:line="276" w:lineRule="auto"/>
              <w:rPr>
                <w:rFonts w:cs="Arial"/>
                <w:sz w:val="20"/>
                <w:szCs w:val="20"/>
              </w:rPr>
            </w:pPr>
            <w:r w:rsidRPr="0033290F">
              <w:rPr>
                <w:rFonts w:cs="Arial"/>
                <w:sz w:val="20"/>
                <w:szCs w:val="20"/>
              </w:rPr>
              <w:t>MŽP</w:t>
            </w:r>
          </w:p>
        </w:tc>
      </w:tr>
      <w:tr w:rsidR="00442B93" w:rsidRPr="00250A0D" w:rsidTr="00F625C4">
        <w:tc>
          <w:tcPr>
            <w:tcW w:w="2372" w:type="dxa"/>
            <w:gridSpan w:val="2"/>
            <w:vMerge/>
          </w:tcPr>
          <w:p w:rsidR="00442B93" w:rsidRPr="00250A0D" w:rsidRDefault="00442B93" w:rsidP="00B66FDE">
            <w:pPr>
              <w:spacing w:line="276" w:lineRule="auto"/>
              <w:rPr>
                <w:sz w:val="20"/>
                <w:szCs w:val="20"/>
              </w:rPr>
            </w:pPr>
          </w:p>
        </w:tc>
        <w:tc>
          <w:tcPr>
            <w:tcW w:w="2397" w:type="dxa"/>
          </w:tcPr>
          <w:p w:rsidR="00442B93" w:rsidRPr="00250A0D" w:rsidRDefault="0033290F" w:rsidP="00F625C4">
            <w:pPr>
              <w:pStyle w:val="Default"/>
              <w:spacing w:afterAutospacing="1"/>
              <w:jc w:val="both"/>
              <w:rPr>
                <w:sz w:val="20"/>
                <w:szCs w:val="20"/>
              </w:rPr>
            </w:pPr>
            <w:r w:rsidRPr="0033290F">
              <w:rPr>
                <w:rFonts w:ascii="Cambria" w:hAnsi="Cambria"/>
                <w:sz w:val="20"/>
                <w:szCs w:val="20"/>
              </w:rPr>
              <w:t xml:space="preserve">Existence programů předcházení vzniku odpadů, jak vyžaduje článek 29 směrnice 2008/98/ES. </w:t>
            </w:r>
          </w:p>
        </w:tc>
        <w:tc>
          <w:tcPr>
            <w:tcW w:w="3703" w:type="dxa"/>
          </w:tcPr>
          <w:p w:rsidR="00442B93" w:rsidRPr="00250A0D" w:rsidRDefault="0033290F" w:rsidP="00B66FDE">
            <w:pPr>
              <w:spacing w:line="276" w:lineRule="auto"/>
              <w:rPr>
                <w:rFonts w:cs="Arial"/>
                <w:sz w:val="20"/>
                <w:szCs w:val="20"/>
              </w:rPr>
            </w:pPr>
            <w:r w:rsidRPr="0033290F">
              <w:rPr>
                <w:sz w:val="20"/>
                <w:szCs w:val="20"/>
              </w:rPr>
              <w:t>Návrh Programu prevence vzniku odpadů byl předložen vládě pro informaci dne 18. 12. 2013.</w:t>
            </w:r>
          </w:p>
        </w:tc>
        <w:tc>
          <w:tcPr>
            <w:tcW w:w="2483" w:type="dxa"/>
            <w:vAlign w:val="center"/>
          </w:tcPr>
          <w:p w:rsidR="00442B93" w:rsidRPr="00D82F04" w:rsidRDefault="0033290F" w:rsidP="00B66FDE">
            <w:pPr>
              <w:spacing w:line="276" w:lineRule="auto"/>
              <w:rPr>
                <w:sz w:val="20"/>
                <w:szCs w:val="20"/>
              </w:rPr>
            </w:pPr>
            <w:proofErr w:type="gramStart"/>
            <w:r w:rsidRPr="0033290F">
              <w:rPr>
                <w:sz w:val="20"/>
                <w:szCs w:val="20"/>
              </w:rPr>
              <w:t>01.01.2015</w:t>
            </w:r>
            <w:proofErr w:type="gramEnd"/>
          </w:p>
        </w:tc>
        <w:tc>
          <w:tcPr>
            <w:tcW w:w="3222" w:type="dxa"/>
            <w:vAlign w:val="center"/>
          </w:tcPr>
          <w:p w:rsidR="00442B93" w:rsidRPr="00250A0D" w:rsidRDefault="0033290F" w:rsidP="00B66FDE">
            <w:pPr>
              <w:spacing w:line="276" w:lineRule="auto"/>
              <w:rPr>
                <w:rFonts w:cs="Arial"/>
                <w:sz w:val="20"/>
                <w:szCs w:val="20"/>
              </w:rPr>
            </w:pPr>
            <w:r w:rsidRPr="0033290F">
              <w:rPr>
                <w:rFonts w:cs="Arial"/>
                <w:sz w:val="20"/>
                <w:szCs w:val="20"/>
              </w:rPr>
              <w:t>MŽP</w:t>
            </w:r>
          </w:p>
        </w:tc>
      </w:tr>
      <w:tr w:rsidR="00442B93" w:rsidRPr="00250A0D" w:rsidTr="00F625C4">
        <w:tc>
          <w:tcPr>
            <w:tcW w:w="2372" w:type="dxa"/>
            <w:gridSpan w:val="2"/>
            <w:vMerge/>
          </w:tcPr>
          <w:p w:rsidR="00442B93" w:rsidRPr="00250A0D" w:rsidRDefault="00442B93" w:rsidP="00B66FDE">
            <w:pPr>
              <w:spacing w:line="276" w:lineRule="auto"/>
              <w:rPr>
                <w:sz w:val="20"/>
                <w:szCs w:val="20"/>
              </w:rPr>
            </w:pPr>
          </w:p>
        </w:tc>
        <w:tc>
          <w:tcPr>
            <w:tcW w:w="2397" w:type="dxa"/>
          </w:tcPr>
          <w:p w:rsidR="00442B93" w:rsidRPr="00250A0D" w:rsidRDefault="00D82F04" w:rsidP="00B66FDE">
            <w:pPr>
              <w:spacing w:line="276" w:lineRule="auto"/>
              <w:rPr>
                <w:rFonts w:cs="Arial"/>
                <w:sz w:val="20"/>
                <w:szCs w:val="20"/>
              </w:rPr>
            </w:pPr>
            <w:r>
              <w:rPr>
                <w:rFonts w:cs="Arial"/>
                <w:sz w:val="20"/>
                <w:szCs w:val="20"/>
              </w:rPr>
              <w:t>Byla přijata nezbytná opatření</w:t>
            </w:r>
            <w:r w:rsidR="0033290F" w:rsidRPr="0033290F">
              <w:rPr>
                <w:rFonts w:cs="Arial"/>
                <w:sz w:val="20"/>
                <w:szCs w:val="20"/>
              </w:rPr>
              <w:t xml:space="preserve"> k dosažení cílů týkajících se přípravy na </w:t>
            </w:r>
            <w:r w:rsidR="0033290F" w:rsidRPr="0033290F">
              <w:rPr>
                <w:rFonts w:cs="Arial"/>
                <w:sz w:val="20"/>
                <w:szCs w:val="20"/>
              </w:rPr>
              <w:lastRenderedPageBreak/>
              <w:t>opětovné použití a recyklaci odpadů do roku 2020 v souladu s čl. 11 odst. 2 směrnice 2008/98/ES.</w:t>
            </w:r>
          </w:p>
        </w:tc>
        <w:tc>
          <w:tcPr>
            <w:tcW w:w="3703" w:type="dxa"/>
          </w:tcPr>
          <w:p w:rsidR="00442B93" w:rsidRPr="00250A0D" w:rsidRDefault="0033290F" w:rsidP="007E38A1">
            <w:pPr>
              <w:spacing w:line="276" w:lineRule="auto"/>
              <w:rPr>
                <w:sz w:val="20"/>
                <w:szCs w:val="20"/>
              </w:rPr>
            </w:pPr>
            <w:r w:rsidRPr="0033290F">
              <w:rPr>
                <w:sz w:val="20"/>
                <w:szCs w:val="20"/>
              </w:rPr>
              <w:lastRenderedPageBreak/>
              <w:t xml:space="preserve">Česká republika v současné době postupně naplňuje cíle dle čl. 11 odst. 2 směrnice 2008/98/ES dle zvolené </w:t>
            </w:r>
            <w:r w:rsidRPr="0033290F">
              <w:rPr>
                <w:sz w:val="20"/>
                <w:szCs w:val="20"/>
              </w:rPr>
              <w:lastRenderedPageBreak/>
              <w:t>metodiky. Je zde však nejistota spočívající v ohlašované změně metodiky EK pro počítání plnění těchto cílů (EK již avizovala zpřísnění, které by měla vydat koncem tohoto roku). Toto zpřísnění výpočtu by mohlo ohrozit plnění cíle.</w:t>
            </w:r>
          </w:p>
          <w:p w:rsidR="00442B93" w:rsidRPr="00250A0D" w:rsidRDefault="0033290F" w:rsidP="007E38A1">
            <w:pPr>
              <w:spacing w:line="276" w:lineRule="auto"/>
              <w:rPr>
                <w:sz w:val="20"/>
                <w:szCs w:val="20"/>
              </w:rPr>
            </w:pPr>
            <w:r w:rsidRPr="0033290F">
              <w:rPr>
                <w:sz w:val="20"/>
                <w:szCs w:val="20"/>
              </w:rPr>
              <w:t>Opatření:</w:t>
            </w:r>
          </w:p>
          <w:p w:rsidR="00442B93" w:rsidRPr="00250A0D" w:rsidRDefault="0033290F" w:rsidP="007E38A1">
            <w:pPr>
              <w:spacing w:line="276" w:lineRule="auto"/>
              <w:rPr>
                <w:sz w:val="20"/>
                <w:szCs w:val="20"/>
              </w:rPr>
            </w:pPr>
            <w:r w:rsidRPr="0033290F">
              <w:rPr>
                <w:sz w:val="20"/>
                <w:szCs w:val="20"/>
              </w:rPr>
              <w:t xml:space="preserve">1) V ČR </w:t>
            </w:r>
            <w:proofErr w:type="gramStart"/>
            <w:r w:rsidRPr="0033290F">
              <w:rPr>
                <w:sz w:val="20"/>
                <w:szCs w:val="20"/>
              </w:rPr>
              <w:t>je  i nadále</w:t>
            </w:r>
            <w:proofErr w:type="gramEnd"/>
            <w:r w:rsidRPr="0033290F">
              <w:rPr>
                <w:sz w:val="20"/>
                <w:szCs w:val="20"/>
              </w:rPr>
              <w:t xml:space="preserve"> zahušťována síť pro separaci odpadu z domácností </w:t>
            </w:r>
            <w:r w:rsidRPr="0033290F">
              <w:rPr>
                <w:sz w:val="20"/>
                <w:szCs w:val="20"/>
              </w:rPr>
              <w:br/>
              <w:t xml:space="preserve">a odpadu podobného odpadům </w:t>
            </w:r>
            <w:r w:rsidRPr="0033290F">
              <w:rPr>
                <w:sz w:val="20"/>
                <w:szCs w:val="20"/>
              </w:rPr>
              <w:br/>
              <w:t xml:space="preserve">z domácností i s ohledem na směrnici 94/62/ES o obalech a obalových odpadech (viz bod 1). </w:t>
            </w:r>
          </w:p>
          <w:p w:rsidR="00442B93" w:rsidRPr="00250A0D" w:rsidRDefault="0033290F" w:rsidP="007E38A1">
            <w:pPr>
              <w:spacing w:line="276" w:lineRule="auto"/>
              <w:rPr>
                <w:sz w:val="20"/>
                <w:szCs w:val="20"/>
              </w:rPr>
            </w:pPr>
            <w:r w:rsidRPr="0033290F">
              <w:rPr>
                <w:sz w:val="20"/>
                <w:szCs w:val="20"/>
              </w:rPr>
              <w:t xml:space="preserve">2) Komisí prosazovaný systém PAYT je v ČR zaveden a je jím pokryto </w:t>
            </w:r>
            <w:r w:rsidRPr="0033290F">
              <w:rPr>
                <w:sz w:val="20"/>
                <w:szCs w:val="20"/>
              </w:rPr>
              <w:br/>
              <w:t xml:space="preserve">cca 10 – 15% domácností. S možností výběru tohoto systému platby </w:t>
            </w:r>
            <w:r w:rsidRPr="0033290F">
              <w:rPr>
                <w:sz w:val="20"/>
                <w:szCs w:val="20"/>
              </w:rPr>
              <w:br/>
              <w:t xml:space="preserve">za komunální odpad se uvažuje </w:t>
            </w:r>
            <w:r w:rsidRPr="0033290F">
              <w:rPr>
                <w:sz w:val="20"/>
                <w:szCs w:val="20"/>
              </w:rPr>
              <w:br/>
              <w:t xml:space="preserve">i v nové v současné době připravované legislativě (věcný záměr zákona o odpadech). </w:t>
            </w:r>
          </w:p>
          <w:p w:rsidR="00442B93" w:rsidRPr="00250A0D" w:rsidRDefault="0033290F">
            <w:pPr>
              <w:spacing w:line="276" w:lineRule="auto"/>
              <w:rPr>
                <w:rFonts w:cs="Arial"/>
                <w:sz w:val="20"/>
                <w:szCs w:val="20"/>
              </w:rPr>
            </w:pPr>
            <w:r w:rsidRPr="0033290F">
              <w:rPr>
                <w:sz w:val="20"/>
                <w:szCs w:val="20"/>
              </w:rPr>
              <w:t xml:space="preserve">3) V nové legislativě bude rovněž řešena oblast poplatků </w:t>
            </w:r>
            <w:r w:rsidRPr="0033290F">
              <w:rPr>
                <w:sz w:val="20"/>
                <w:szCs w:val="20"/>
              </w:rPr>
              <w:br/>
              <w:t xml:space="preserve">za skládkování komunálního odpadu a </w:t>
            </w:r>
            <w:r w:rsidRPr="0033290F">
              <w:rPr>
                <w:sz w:val="20"/>
                <w:szCs w:val="20"/>
              </w:rPr>
              <w:lastRenderedPageBreak/>
              <w:t xml:space="preserve">konec skládkování směsného zbytkového komunálního odpadu </w:t>
            </w:r>
            <w:r w:rsidRPr="0033290F">
              <w:rPr>
                <w:sz w:val="20"/>
                <w:szCs w:val="20"/>
              </w:rPr>
              <w:br/>
              <w:t>(po vytřídění občany) -  rozmezí let 2023 - 2025.</w:t>
            </w:r>
          </w:p>
        </w:tc>
        <w:tc>
          <w:tcPr>
            <w:tcW w:w="2483" w:type="dxa"/>
          </w:tcPr>
          <w:p w:rsidR="00442B93" w:rsidRPr="00250A0D" w:rsidRDefault="00D82F04" w:rsidP="00B66FDE">
            <w:pPr>
              <w:spacing w:line="276" w:lineRule="auto"/>
              <w:rPr>
                <w:rFonts w:cs="Arial"/>
                <w:sz w:val="20"/>
                <w:szCs w:val="20"/>
              </w:rPr>
            </w:pPr>
            <w:proofErr w:type="gramStart"/>
            <w:r>
              <w:rPr>
                <w:rFonts w:cs="Arial"/>
                <w:sz w:val="20"/>
                <w:szCs w:val="20"/>
              </w:rPr>
              <w:lastRenderedPageBreak/>
              <w:t>01.01.2016</w:t>
            </w:r>
            <w:proofErr w:type="gramEnd"/>
          </w:p>
        </w:tc>
        <w:tc>
          <w:tcPr>
            <w:tcW w:w="3222" w:type="dxa"/>
          </w:tcPr>
          <w:p w:rsidR="00442B93" w:rsidRPr="00250A0D" w:rsidRDefault="0033290F" w:rsidP="00B66FDE">
            <w:pPr>
              <w:spacing w:line="276" w:lineRule="auto"/>
              <w:rPr>
                <w:rFonts w:cs="Arial"/>
                <w:sz w:val="20"/>
                <w:szCs w:val="20"/>
              </w:rPr>
            </w:pPr>
            <w:r w:rsidRPr="0033290F">
              <w:rPr>
                <w:rFonts w:cs="Arial"/>
                <w:sz w:val="20"/>
                <w:szCs w:val="20"/>
              </w:rPr>
              <w:t>MŽP</w:t>
            </w:r>
          </w:p>
        </w:tc>
      </w:tr>
    </w:tbl>
    <w:p w:rsidR="00160F83" w:rsidRDefault="00160F83" w:rsidP="00B66FDE">
      <w:pPr>
        <w:rPr>
          <w:rStyle w:val="Zdraznnintenzivn"/>
          <w:rFonts w:cstheme="minorHAnsi"/>
          <w:b w:val="0"/>
          <w:bCs w:val="0"/>
          <w:i w:val="0"/>
          <w:iCs w:val="0"/>
          <w:color w:val="76923C" w:themeColor="accent3" w:themeShade="BF"/>
        </w:rPr>
        <w:sectPr w:rsidR="00160F83" w:rsidSect="00F625C4">
          <w:pgSz w:w="16838" w:h="11906" w:orient="landscape" w:code="9"/>
          <w:pgMar w:top="1418" w:right="1418" w:bottom="1418" w:left="1418" w:header="709" w:footer="709" w:gutter="0"/>
          <w:cols w:space="708"/>
          <w:docGrid w:linePitch="360"/>
        </w:sectPr>
      </w:pPr>
    </w:p>
    <w:p w:rsidR="00901C83" w:rsidRDefault="00901C83" w:rsidP="00165854">
      <w:pPr>
        <w:pStyle w:val="Nadpis1"/>
        <w:rPr>
          <w:rStyle w:val="Zdraznnintenzivn"/>
          <w:b/>
          <w:bCs/>
          <w:i w:val="0"/>
          <w:iCs w:val="0"/>
          <w:color w:val="76923C" w:themeColor="accent3" w:themeShade="BF"/>
        </w:rPr>
      </w:pPr>
      <w:bookmarkStart w:id="3475" w:name="_Toc392151095"/>
      <w:r w:rsidRPr="0008788E">
        <w:rPr>
          <w:rStyle w:val="Zdraznnintenzivn"/>
          <w:b/>
          <w:bCs/>
          <w:i w:val="0"/>
          <w:iCs w:val="0"/>
          <w:color w:val="76923C" w:themeColor="accent3" w:themeShade="BF"/>
        </w:rPr>
        <w:lastRenderedPageBreak/>
        <w:t>Sn</w:t>
      </w:r>
      <w:r w:rsidR="00FC6093">
        <w:rPr>
          <w:rStyle w:val="Zdraznnintenzivn"/>
          <w:b/>
          <w:bCs/>
          <w:i w:val="0"/>
          <w:iCs w:val="0"/>
          <w:color w:val="76923C" w:themeColor="accent3" w:themeShade="BF"/>
        </w:rPr>
        <w:t>í</w:t>
      </w:r>
      <w:r w:rsidRPr="0008788E">
        <w:rPr>
          <w:rStyle w:val="Zdraznnintenzivn"/>
          <w:b/>
          <w:bCs/>
          <w:i w:val="0"/>
          <w:iCs w:val="0"/>
          <w:color w:val="76923C" w:themeColor="accent3" w:themeShade="BF"/>
        </w:rPr>
        <w:t>ž</w:t>
      </w:r>
      <w:r w:rsidR="00273E5C">
        <w:rPr>
          <w:rStyle w:val="Zdraznnintenzivn"/>
          <w:b/>
          <w:bCs/>
          <w:i w:val="0"/>
          <w:iCs w:val="0"/>
          <w:color w:val="76923C" w:themeColor="accent3" w:themeShade="BF"/>
        </w:rPr>
        <w:t>ení</w:t>
      </w:r>
      <w:r w:rsidR="000F2740">
        <w:rPr>
          <w:rStyle w:val="Zdraznnintenzivn"/>
          <w:b/>
          <w:bCs/>
          <w:i w:val="0"/>
          <w:iCs w:val="0"/>
          <w:color w:val="76923C" w:themeColor="accent3" w:themeShade="BF"/>
        </w:rPr>
        <w:t xml:space="preserve"> </w:t>
      </w:r>
      <w:r w:rsidRPr="0008788E">
        <w:rPr>
          <w:rStyle w:val="Zdraznnintenzivn"/>
          <w:b/>
          <w:bCs/>
          <w:i w:val="0"/>
          <w:iCs w:val="0"/>
          <w:color w:val="76923C" w:themeColor="accent3" w:themeShade="BF"/>
        </w:rPr>
        <w:t>administrativní zátěže pro příjemce</w:t>
      </w:r>
      <w:bookmarkEnd w:id="3448"/>
      <w:bookmarkEnd w:id="3475"/>
    </w:p>
    <w:p w:rsidR="00815CD3" w:rsidRDefault="009B753E" w:rsidP="00B66FDE">
      <w:r>
        <w:t>Jako hlavní cíle při</w:t>
      </w:r>
      <w:r w:rsidR="00D3254F" w:rsidRPr="002F2ECC">
        <w:t xml:space="preserve"> snižování administrativní zátěže pro žadatele a příjemce</w:t>
      </w:r>
      <w:r>
        <w:t xml:space="preserve"> </w:t>
      </w:r>
      <w:r w:rsidRPr="00AD6DC5">
        <w:rPr>
          <w:rFonts w:cstheme="minorHAnsi"/>
        </w:rPr>
        <w:t xml:space="preserve">při čerpání finančních prostředků z fondů Evropské </w:t>
      </w:r>
      <w:r>
        <w:rPr>
          <w:rFonts w:cstheme="minorHAnsi"/>
        </w:rPr>
        <w:t>unie jsou</w:t>
      </w:r>
      <w:r>
        <w:t xml:space="preserve"> chápány:</w:t>
      </w:r>
    </w:p>
    <w:p w:rsidR="006F7D80" w:rsidRDefault="00D3254F" w:rsidP="00495FC1">
      <w:pPr>
        <w:pStyle w:val="Odstavecseseznamem"/>
        <w:numPr>
          <w:ilvl w:val="0"/>
          <w:numId w:val="50"/>
        </w:numPr>
      </w:pPr>
      <w:r w:rsidRPr="002F2ECC">
        <w:t xml:space="preserve">snížení nákladů, </w:t>
      </w:r>
    </w:p>
    <w:p w:rsidR="006F7D80" w:rsidRDefault="00D3254F" w:rsidP="00495FC1">
      <w:pPr>
        <w:pStyle w:val="Odstavecseseznamem"/>
        <w:numPr>
          <w:ilvl w:val="0"/>
          <w:numId w:val="50"/>
        </w:numPr>
      </w:pPr>
      <w:r w:rsidRPr="002F2ECC">
        <w:t>menší časová náročnost celého procesu od podání žádosti o podporu po proplacení podpory, včetně plnění informačních povinností po dobu udržitelnosti projektu,</w:t>
      </w:r>
    </w:p>
    <w:p w:rsidR="006F7D80" w:rsidRDefault="00D3254F" w:rsidP="00495FC1">
      <w:pPr>
        <w:pStyle w:val="Odstavecseseznamem"/>
        <w:numPr>
          <w:ilvl w:val="0"/>
          <w:numId w:val="50"/>
        </w:numPr>
      </w:pPr>
      <w:r w:rsidRPr="002F2ECC">
        <w:t>celková jednoduchost, jednoznačnost a srozumitelnost dokumentace</w:t>
      </w:r>
      <w:r w:rsidR="009B753E">
        <w:t xml:space="preserve"> </w:t>
      </w:r>
      <w:r w:rsidRPr="002F2ECC">
        <w:t>a dalších materiálů Řídícího orgán</w:t>
      </w:r>
      <w:r w:rsidR="009B753E">
        <w:t>u</w:t>
      </w:r>
      <w:r w:rsidRPr="002F2ECC">
        <w:t xml:space="preserve"> </w:t>
      </w:r>
      <w:r w:rsidR="009B753E">
        <w:t>OP</w:t>
      </w:r>
      <w:r w:rsidR="00E16955">
        <w:t xml:space="preserve"> </w:t>
      </w:r>
      <w:r w:rsidR="009B753E">
        <w:t xml:space="preserve">ŽP 2014-2020 </w:t>
      </w:r>
      <w:r w:rsidRPr="002F2ECC">
        <w:t xml:space="preserve">určených pro žadatele a příjemce.   </w:t>
      </w:r>
    </w:p>
    <w:p w:rsidR="00901C83" w:rsidRPr="00AD6DC5" w:rsidRDefault="00901C83" w:rsidP="00B66FDE">
      <w:pPr>
        <w:rPr>
          <w:rFonts w:cstheme="minorHAnsi"/>
        </w:rPr>
      </w:pPr>
      <w:r w:rsidRPr="00AD6DC5">
        <w:rPr>
          <w:rFonts w:cstheme="minorHAnsi"/>
        </w:rPr>
        <w:t>Snižování administrativní zátěže pro příjemce probíhá v souladu s usnesením vlády ČR ze dne 21. března 2012 č. 184 o doporučeních ke zjednodušení admini</w:t>
      </w:r>
      <w:r w:rsidR="007239EF">
        <w:rPr>
          <w:rFonts w:cstheme="minorHAnsi"/>
        </w:rPr>
        <w:t>strativní zátěže pro žadatele a </w:t>
      </w:r>
      <w:r w:rsidRPr="00AD6DC5">
        <w:rPr>
          <w:rFonts w:cstheme="minorHAnsi"/>
        </w:rPr>
        <w:t>příjemce při čerpání finančních prostředků z fondů Evropské unie v programovém období 2014–2020 a dále budou reflektovány v rámci OP následující principy:</w:t>
      </w:r>
    </w:p>
    <w:p w:rsidR="00901C83" w:rsidRPr="0008788E" w:rsidRDefault="0068263C" w:rsidP="00495FC1">
      <w:pPr>
        <w:pStyle w:val="Odstavecseseznamem"/>
        <w:numPr>
          <w:ilvl w:val="0"/>
          <w:numId w:val="51"/>
        </w:numPr>
        <w:rPr>
          <w:rFonts w:cstheme="minorHAnsi"/>
        </w:rPr>
      </w:pPr>
      <w:r w:rsidRPr="0008788E">
        <w:rPr>
          <w:rFonts w:cstheme="minorHAnsi"/>
        </w:rPr>
        <w:t>P</w:t>
      </w:r>
      <w:r w:rsidR="00901C83" w:rsidRPr="0008788E">
        <w:rPr>
          <w:rFonts w:cstheme="minorHAnsi"/>
        </w:rPr>
        <w:t>oužívání jednotné terminologie v podmínkách ČR tak, aby byla pro všechny subjekty implementační struktury jednotná a srozumitelná a byla v s</w:t>
      </w:r>
      <w:r w:rsidR="007239EF" w:rsidRPr="0008788E">
        <w:rPr>
          <w:rFonts w:cstheme="minorHAnsi"/>
        </w:rPr>
        <w:t>ouladu s právními předpisy EU a </w:t>
      </w:r>
      <w:r w:rsidR="00901C83" w:rsidRPr="0008788E">
        <w:rPr>
          <w:rFonts w:cstheme="minorHAnsi"/>
        </w:rPr>
        <w:t>ČR. Cílem je jednotné využívání základních pojmů napříč OP. Jednotná terminologie musí být využita při tvorbě řízené dokumentace a ve výstupech jednotlivých subjektů implementační struktury a také při konzultacích se žadateli a příjemci.</w:t>
      </w:r>
    </w:p>
    <w:p w:rsidR="00901C83" w:rsidRPr="0008788E" w:rsidRDefault="0068263C" w:rsidP="00495FC1">
      <w:pPr>
        <w:pStyle w:val="Odstavecseseznamem"/>
        <w:numPr>
          <w:ilvl w:val="0"/>
          <w:numId w:val="51"/>
        </w:numPr>
        <w:rPr>
          <w:rFonts w:cstheme="minorHAnsi"/>
        </w:rPr>
      </w:pPr>
      <w:r w:rsidRPr="0008788E">
        <w:rPr>
          <w:rFonts w:cstheme="minorHAnsi"/>
        </w:rPr>
        <w:t>N</w:t>
      </w:r>
      <w:r w:rsidR="00901C83" w:rsidRPr="0008788E">
        <w:rPr>
          <w:rFonts w:cstheme="minorHAnsi"/>
        </w:rPr>
        <w:t>astavení jednotlivých procesů od podání projektové žádosti až po její schválení a to tak, aby jednotlivé procesy a postupy na sebe navazovaly a měly jednoznačně stanoven svůj počátek a konec a také předcházející a návazný proces. V neposlední řadě je nutné jednoznačně nastavit lhůty jednotlivých procesů tam, kde je to možné. Tyto lhůty pak musí být součástí interních dokumentů řídícího orgánu a musí být dodržovány. Cílem je dosáhnout jejich měření, vyhodnocení a následně také zkrácení.</w:t>
      </w:r>
    </w:p>
    <w:p w:rsidR="00AF7CFE" w:rsidRPr="0008788E" w:rsidRDefault="0068263C" w:rsidP="00495FC1">
      <w:pPr>
        <w:pStyle w:val="Odstavecseseznamem"/>
        <w:numPr>
          <w:ilvl w:val="0"/>
          <w:numId w:val="51"/>
        </w:numPr>
        <w:rPr>
          <w:rFonts w:cstheme="minorHAnsi"/>
        </w:rPr>
      </w:pPr>
      <w:r w:rsidRPr="0008788E">
        <w:rPr>
          <w:rFonts w:cstheme="minorHAnsi"/>
        </w:rPr>
        <w:t>V</w:t>
      </w:r>
      <w:r w:rsidR="00AF7CFE" w:rsidRPr="0008788E">
        <w:rPr>
          <w:rFonts w:cstheme="minorHAnsi"/>
        </w:rPr>
        <w:t>ěnování pozornosti systému konzultace, předávání informací</w:t>
      </w:r>
      <w:r w:rsidR="00AD6DC5" w:rsidRPr="0008788E">
        <w:rPr>
          <w:rFonts w:cstheme="minorHAnsi"/>
        </w:rPr>
        <w:t xml:space="preserve"> a práce ŘO/</w:t>
      </w:r>
      <w:r w:rsidR="007239EF" w:rsidRPr="0008788E">
        <w:rPr>
          <w:rFonts w:cstheme="minorHAnsi"/>
        </w:rPr>
        <w:t>ZS s žadateli a </w:t>
      </w:r>
      <w:r w:rsidR="00AF7CFE" w:rsidRPr="0008788E">
        <w:rPr>
          <w:rFonts w:cstheme="minorHAnsi"/>
        </w:rPr>
        <w:t>příjemci a také mezi ŘO a ZS a umožnit vý</w:t>
      </w:r>
      <w:r w:rsidR="00AD6DC5" w:rsidRPr="0008788E">
        <w:rPr>
          <w:rFonts w:cstheme="minorHAnsi"/>
        </w:rPr>
        <w:t>měnu zkušeností mezi žadateli/</w:t>
      </w:r>
      <w:r w:rsidR="00AF7CFE" w:rsidRPr="0008788E">
        <w:rPr>
          <w:rFonts w:cstheme="minorHAnsi"/>
        </w:rPr>
        <w:t>příjemci s přípravou a realizací projektu.</w:t>
      </w:r>
    </w:p>
    <w:p w:rsidR="00AF7CFE" w:rsidRPr="0008788E" w:rsidRDefault="0068263C" w:rsidP="00495FC1">
      <w:pPr>
        <w:pStyle w:val="Odstavecseseznamem"/>
        <w:numPr>
          <w:ilvl w:val="0"/>
          <w:numId w:val="51"/>
        </w:numPr>
        <w:rPr>
          <w:rFonts w:cstheme="minorHAnsi"/>
        </w:rPr>
      </w:pPr>
      <w:r w:rsidRPr="0008788E">
        <w:rPr>
          <w:rFonts w:cstheme="minorHAnsi"/>
        </w:rPr>
        <w:t>Z</w:t>
      </w:r>
      <w:r w:rsidR="00AF7CFE" w:rsidRPr="0008788E">
        <w:rPr>
          <w:rFonts w:cstheme="minorHAnsi"/>
        </w:rPr>
        <w:t>abezpečení optimální míry elektronizace celého procesu přípravy projektových žádostí, jejich podání (včetně příloh), administrace projektový</w:t>
      </w:r>
      <w:r w:rsidR="007239EF" w:rsidRPr="0008788E">
        <w:rPr>
          <w:rFonts w:cstheme="minorHAnsi"/>
        </w:rPr>
        <w:t>ch žádostí, systému hodnocení a </w:t>
      </w:r>
      <w:r w:rsidR="00AF7CFE" w:rsidRPr="0008788E">
        <w:rPr>
          <w:rFonts w:cstheme="minorHAnsi"/>
        </w:rPr>
        <w:t>výběru projektů, administrace monitorovacích zpráv a žádostí o platbu.</w:t>
      </w:r>
    </w:p>
    <w:p w:rsidR="00054394" w:rsidRPr="0008788E" w:rsidRDefault="0068263C" w:rsidP="00495FC1">
      <w:pPr>
        <w:pStyle w:val="Odstavecseseznamem"/>
        <w:numPr>
          <w:ilvl w:val="0"/>
          <w:numId w:val="51"/>
        </w:numPr>
        <w:rPr>
          <w:rFonts w:cstheme="minorHAnsi"/>
        </w:rPr>
      </w:pPr>
      <w:r w:rsidRPr="0008788E">
        <w:rPr>
          <w:rFonts w:cstheme="minorHAnsi"/>
        </w:rPr>
        <w:t>N</w:t>
      </w:r>
      <w:r w:rsidR="00054394" w:rsidRPr="0008788E">
        <w:rPr>
          <w:rFonts w:cstheme="minorHAnsi"/>
        </w:rPr>
        <w:t>astavení, přehledné a komplexní zveřejňování informací na webových stránkách OP</w:t>
      </w:r>
      <w:r w:rsidRPr="0008788E">
        <w:rPr>
          <w:rFonts w:cstheme="minorHAnsi"/>
        </w:rPr>
        <w:t xml:space="preserve"> </w:t>
      </w:r>
      <w:r w:rsidR="00054394" w:rsidRPr="0008788E">
        <w:rPr>
          <w:rFonts w:cstheme="minorHAnsi"/>
        </w:rPr>
        <w:t>ŽP.</w:t>
      </w:r>
    </w:p>
    <w:p w:rsidR="00054394" w:rsidRPr="0008788E" w:rsidRDefault="0068263C" w:rsidP="00495FC1">
      <w:pPr>
        <w:pStyle w:val="Odstavecseseznamem"/>
        <w:numPr>
          <w:ilvl w:val="0"/>
          <w:numId w:val="51"/>
        </w:numPr>
        <w:rPr>
          <w:rFonts w:cstheme="minorHAnsi"/>
        </w:rPr>
      </w:pPr>
      <w:r w:rsidRPr="0008788E">
        <w:rPr>
          <w:rFonts w:cstheme="minorHAnsi"/>
        </w:rPr>
        <w:t>P</w:t>
      </w:r>
      <w:r w:rsidR="00054394" w:rsidRPr="0008788E">
        <w:rPr>
          <w:rFonts w:cstheme="minorHAnsi"/>
        </w:rPr>
        <w:t>ředávání informací na propagačních akcích (veletrhy, konference) či školeních.</w:t>
      </w:r>
    </w:p>
    <w:p w:rsidR="00054394" w:rsidRPr="0008788E" w:rsidRDefault="0068263C" w:rsidP="00495FC1">
      <w:pPr>
        <w:pStyle w:val="Odstavecseseznamem"/>
        <w:numPr>
          <w:ilvl w:val="0"/>
          <w:numId w:val="51"/>
        </w:numPr>
        <w:rPr>
          <w:rFonts w:cstheme="minorHAnsi"/>
        </w:rPr>
      </w:pPr>
      <w:r w:rsidRPr="0008788E">
        <w:rPr>
          <w:rFonts w:cstheme="minorHAnsi"/>
        </w:rPr>
        <w:t>Z</w:t>
      </w:r>
      <w:r w:rsidR="00054394" w:rsidRPr="0008788E">
        <w:rPr>
          <w:rFonts w:cstheme="minorHAnsi"/>
        </w:rPr>
        <w:t>veřejnění všech formulářů a pokynů k plnění podmínek poskytnutí dotace na webových stránkách OP</w:t>
      </w:r>
      <w:r w:rsidR="00E16955" w:rsidRPr="0008788E">
        <w:rPr>
          <w:rFonts w:cstheme="minorHAnsi"/>
        </w:rPr>
        <w:t xml:space="preserve"> </w:t>
      </w:r>
      <w:r w:rsidR="00054394" w:rsidRPr="0008788E">
        <w:rPr>
          <w:rFonts w:cstheme="minorHAnsi"/>
        </w:rPr>
        <w:t>ŽP.</w:t>
      </w:r>
    </w:p>
    <w:p w:rsidR="00815CD3" w:rsidRPr="002F2ECC" w:rsidRDefault="00373178" w:rsidP="00B66FDE">
      <w:r>
        <w:t>J</w:t>
      </w:r>
      <w:r w:rsidR="00D3254F" w:rsidRPr="002F2ECC">
        <w:t>ednotné metodické prostředí</w:t>
      </w:r>
      <w:r>
        <w:t xml:space="preserve">, které je vytvořeno </w:t>
      </w:r>
      <w:r w:rsidR="00D3254F" w:rsidRPr="002F2ECC">
        <w:t>na národní úrovni</w:t>
      </w:r>
      <w:r>
        <w:t xml:space="preserve">, představuje základní </w:t>
      </w:r>
      <w:r w:rsidR="002F2ECC">
        <w:t xml:space="preserve">stavební </w:t>
      </w:r>
      <w:r>
        <w:t>kámen pro naplnění výše uvedených principů. Tímto</w:t>
      </w:r>
      <w:r w:rsidR="00D3254F" w:rsidRPr="002F2ECC">
        <w:t xml:space="preserve"> bude zajištěna standardizace postupů a pravidel, větší transparentnost procesů i přehlednost pravidel s pozitivním dopadem na nižší administrativní zátěž na straně příjemců podpory. </w:t>
      </w:r>
      <w:r>
        <w:t>Všechny m</w:t>
      </w:r>
      <w:r w:rsidR="00D3254F" w:rsidRPr="002F2ECC">
        <w:t xml:space="preserve">etodické </w:t>
      </w:r>
      <w:r>
        <w:t>pokyny vytvořené v rámci jednotného metodického prostředí</w:t>
      </w:r>
      <w:r w:rsidR="00D3254F" w:rsidRPr="002F2ECC">
        <w:t xml:space="preserve"> budou zohledněny v</w:t>
      </w:r>
      <w:r>
        <w:t> dokumentech sloužících k</w:t>
      </w:r>
      <w:r w:rsidR="00D3254F" w:rsidRPr="002F2ECC">
        <w:t xml:space="preserve"> implementaci </w:t>
      </w:r>
      <w:r>
        <w:t>OP</w:t>
      </w:r>
      <w:r w:rsidR="00E16955">
        <w:t xml:space="preserve"> </w:t>
      </w:r>
      <w:r>
        <w:t>ŽP 2014-2020</w:t>
      </w:r>
      <w:r w:rsidR="00D3254F" w:rsidRPr="002F2ECC">
        <w:t xml:space="preserve">. Další opatření ke snížení administrativní zátěže </w:t>
      </w:r>
      <w:r w:rsidR="00D3254F" w:rsidRPr="002F2ECC">
        <w:lastRenderedPageBreak/>
        <w:t xml:space="preserve">příjemců budou souviset zejména s elektronizací procesů a postupů v rámci jednotného monitorovacího systému MS2014+: elektronizace projektové dokumentace předkládané v rámci schvalovacího procesu projektů, jasné a přehledné uživatelské prostředí, snížení administrativní zátěže žadatelů i pracovníků Řídícího orgánu formou existence elektronických formulářů (elektronické formuláře všech stupňů žádostí) a systému elektronického podepisování platné dokumentace, kvalitní a přesné systémy statistického sledování projektů a jejich výstupů, systemizace sledování hodnocení předkládaných projektů formou jejich umístění v konkrétních hodnocených stavech, logická provázanost jednotlivých dílčích kroků, existence komunikačního kanálu pro jasnou a rychlou spolupráci s příjemcem. </w:t>
      </w:r>
    </w:p>
    <w:p w:rsidR="00373178" w:rsidRPr="00AD6DC5" w:rsidRDefault="00B668F5" w:rsidP="00B66FDE">
      <w:pPr>
        <w:rPr>
          <w:rFonts w:cstheme="minorHAnsi"/>
        </w:rPr>
      </w:pPr>
      <w:r>
        <w:rPr>
          <w:rFonts w:cstheme="minorHAnsi"/>
        </w:rPr>
        <w:t xml:space="preserve">Opatření směřující se snižování administrativní zátěže musí zároveň umožnit </w:t>
      </w:r>
      <w:r w:rsidRPr="00B668F5">
        <w:rPr>
          <w:rFonts w:cstheme="minorHAnsi"/>
        </w:rPr>
        <w:t>důsledné dodržení všech nutných kroků pro vytvoření efektivního kontrolního systému.</w:t>
      </w:r>
    </w:p>
    <w:p w:rsidR="00DE588D" w:rsidRDefault="00DE588D" w:rsidP="00B66FDE">
      <w:pPr>
        <w:rPr>
          <w:rFonts w:asciiTheme="majorHAnsi" w:eastAsiaTheme="majorEastAsia" w:hAnsiTheme="majorHAnsi"/>
          <w:b/>
          <w:bCs/>
          <w:color w:val="76923C" w:themeColor="accent3" w:themeShade="BF"/>
          <w:sz w:val="32"/>
          <w:szCs w:val="28"/>
        </w:rPr>
      </w:pPr>
      <w:bookmarkStart w:id="3476" w:name="_Toc383164394"/>
      <w:bookmarkStart w:id="3477" w:name="_Toc383165271"/>
      <w:bookmarkStart w:id="3478" w:name="_Toc383164399"/>
      <w:bookmarkStart w:id="3479" w:name="_Toc383165276"/>
      <w:bookmarkStart w:id="3480" w:name="_Toc383164404"/>
      <w:bookmarkStart w:id="3481" w:name="_Toc383165281"/>
      <w:bookmarkStart w:id="3482" w:name="_Toc383164409"/>
      <w:bookmarkStart w:id="3483" w:name="_Toc383165286"/>
      <w:bookmarkStart w:id="3484" w:name="_Toc351472164"/>
      <w:bookmarkEnd w:id="3476"/>
      <w:bookmarkEnd w:id="3477"/>
      <w:bookmarkEnd w:id="3478"/>
      <w:bookmarkEnd w:id="3479"/>
      <w:bookmarkEnd w:id="3480"/>
      <w:bookmarkEnd w:id="3481"/>
      <w:bookmarkEnd w:id="3482"/>
      <w:bookmarkEnd w:id="3483"/>
      <w:r>
        <w:br w:type="page"/>
      </w:r>
    </w:p>
    <w:p w:rsidR="00901C83" w:rsidRPr="004314F4" w:rsidRDefault="00901C83" w:rsidP="00165854">
      <w:pPr>
        <w:pStyle w:val="Nadpis1"/>
      </w:pPr>
      <w:bookmarkStart w:id="3485" w:name="_Toc392151096"/>
      <w:r w:rsidRPr="004314F4">
        <w:lastRenderedPageBreak/>
        <w:t xml:space="preserve">Horizontální </w:t>
      </w:r>
      <w:bookmarkEnd w:id="3484"/>
      <w:r w:rsidR="00273E5C">
        <w:t>zásady</w:t>
      </w:r>
      <w:bookmarkEnd w:id="3485"/>
    </w:p>
    <w:p w:rsidR="00901C83" w:rsidRDefault="00901C83" w:rsidP="00165854">
      <w:pPr>
        <w:pStyle w:val="Nadpis2"/>
      </w:pPr>
      <w:bookmarkStart w:id="3486" w:name="_Toc350962127"/>
      <w:bookmarkStart w:id="3487" w:name="_Toc351472165"/>
      <w:bookmarkStart w:id="3488" w:name="_Toc392151097"/>
      <w:r w:rsidRPr="004314F4">
        <w:t>Udržitelný rozvoj</w:t>
      </w:r>
      <w:bookmarkEnd w:id="3486"/>
      <w:bookmarkEnd w:id="3487"/>
      <w:bookmarkEnd w:id="3488"/>
    </w:p>
    <w:p w:rsidR="00040A4B" w:rsidRDefault="00812AD7" w:rsidP="00B66FDE">
      <w:r w:rsidRPr="00812AD7">
        <w:t xml:space="preserve">Operační program se zaměřuje na významné výzvy a potřeby společnosti, které nejsou pokryty jinými operačními programy nebo jinými intervencemi. Zároveň však </w:t>
      </w:r>
      <w:r w:rsidR="00634704">
        <w:t>O</w:t>
      </w:r>
      <w:r w:rsidRPr="00812AD7">
        <w:t xml:space="preserve">perační program </w:t>
      </w:r>
      <w:r w:rsidR="00634704">
        <w:t>Ž</w:t>
      </w:r>
      <w:r w:rsidRPr="00812AD7">
        <w:t>ivotní prostředí významnou měrou naplňuje i oblasti udržitelného rozvoje jako jsou ekonomické a</w:t>
      </w:r>
      <w:r w:rsidR="000F2740">
        <w:t> </w:t>
      </w:r>
      <w:r w:rsidRPr="00812AD7">
        <w:t>sociální požadavky. OP</w:t>
      </w:r>
      <w:r w:rsidR="00634704">
        <w:t xml:space="preserve"> </w:t>
      </w:r>
      <w:r w:rsidRPr="00812AD7">
        <w:t>ŽP pomáhá nejen snižovat</w:t>
      </w:r>
      <w:r w:rsidR="00634704">
        <w:t xml:space="preserve"> zdravotní rizika související s </w:t>
      </w:r>
      <w:r w:rsidRPr="00812AD7">
        <w:t>negativními faktory</w:t>
      </w:r>
      <w:r w:rsidRPr="00812AD7" w:rsidDel="006C47DC">
        <w:t xml:space="preserve"> </w:t>
      </w:r>
      <w:r>
        <w:t xml:space="preserve">životního prostředí, </w:t>
      </w:r>
      <w:r w:rsidRPr="00812AD7">
        <w:t>ale podporuje i vznik nových pracovních míst, zavádění nových te</w:t>
      </w:r>
      <w:r>
        <w:t>chnologií a podporuje odvětví s</w:t>
      </w:r>
      <w:r w:rsidRPr="00812AD7">
        <w:t xml:space="preserve"> vysokou mírou přidané hodnoty. </w:t>
      </w:r>
    </w:p>
    <w:p w:rsidR="00040A4B" w:rsidRDefault="00812AD7" w:rsidP="00B66FDE">
      <w:r w:rsidRPr="00812AD7">
        <w:t>Samozřejmě nejvýraznějším faktorem, který OP</w:t>
      </w:r>
      <w:r w:rsidR="00634704">
        <w:t xml:space="preserve"> </w:t>
      </w:r>
      <w:r w:rsidRPr="00812AD7">
        <w:t>ŽP 2014-2020 zajišťuje</w:t>
      </w:r>
      <w:r>
        <w:t xml:space="preserve"> v rámci podporovaných aktivit, </w:t>
      </w:r>
      <w:r w:rsidRPr="00812AD7">
        <w:t>je právo na příznivé životní prostředí člověka, motivuje k inovacím a významnou měrou se podílí na hospodářském rozvoji České republiky.</w:t>
      </w:r>
    </w:p>
    <w:p w:rsidR="006E67A0" w:rsidRPr="00812AD7" w:rsidRDefault="00812AD7" w:rsidP="00B66FDE">
      <w:r w:rsidRPr="00812AD7">
        <w:t>Operační program se opírá o soubor principů, z nichž nejvýznamnější je princip úcty k lidskému životu, přírodě a civilizačním a kulturním hodnotám. V souladu s principem pozitivní ekonomické stimulace by měl přispívat k tvorbě pozit</w:t>
      </w:r>
      <w:r w:rsidR="00634704">
        <w:t>ivního ekonomického prostředí a </w:t>
      </w:r>
      <w:r w:rsidRPr="00812AD7">
        <w:t>stimulovat ekonomické i právní subjekty v oblasti životního prostředí k žádoucím aktivitám. Vynaložené náklady na jednotlivé cíle by měly vyvolat optimální účinek. Aktivity v každé jednotlivé ose, cíli, by měly přihlížet k dopadům do ostatních oblastí s cílem nalézt jejich vzájemnou rovnováhu v ekonomických, sociálních a environmentálních aspektech činností. Dále respektuje princip předběžné opatrnosti, prevence, která se opírá o zkušenost, že prevence je obecně schůdnější a finančně méně náročná než náprava. V případě variantních řešení respektuje taková opatření, která vyvolají příznivé přímé či vedlejší efekty ve všech strategických rozměrech a cílech programu. Respektuje princip právní i ekonomické subsidiarity, umožňuje naplňování principů udržiteln</w:t>
      </w:r>
      <w:r w:rsidR="00634704">
        <w:t>ého rozvoje subjektům odborné a </w:t>
      </w:r>
      <w:r w:rsidRPr="00812AD7">
        <w:t>občanské veřejnosti, a to na základě Strategického</w:t>
      </w:r>
      <w:r>
        <w:t xml:space="preserve"> rámce rozvoje České republiky</w:t>
      </w:r>
      <w:r w:rsidRPr="00812AD7">
        <w:t>.</w:t>
      </w:r>
    </w:p>
    <w:p w:rsidR="006E67A0" w:rsidRPr="0008788E" w:rsidRDefault="006E67A0" w:rsidP="00B66FDE">
      <w:pPr>
        <w:rPr>
          <w:rFonts w:asciiTheme="majorHAnsi" w:hAnsiTheme="majorHAnsi" w:cstheme="minorHAnsi"/>
        </w:rPr>
      </w:pPr>
      <w:r w:rsidRPr="006E67A0">
        <w:rPr>
          <w:rFonts w:asciiTheme="majorHAnsi" w:hAnsiTheme="majorHAnsi" w:cstheme="minorHAnsi"/>
        </w:rPr>
        <w:t>Veřejná správa by měla být zaměřena na uplatňování udržitelného rozvoje, koordinovaného na</w:t>
      </w:r>
      <w:r w:rsidR="00C31399">
        <w:rPr>
          <w:rFonts w:asciiTheme="majorHAnsi" w:hAnsiTheme="majorHAnsi" w:cstheme="minorHAnsi"/>
        </w:rPr>
        <w:t> </w:t>
      </w:r>
      <w:r w:rsidRPr="006E67A0">
        <w:rPr>
          <w:rFonts w:asciiTheme="majorHAnsi" w:hAnsiTheme="majorHAnsi" w:cstheme="minorHAnsi"/>
        </w:rPr>
        <w:t>všech úrovních. V municipalitách postupovat systémově a využívat místní Agendu 21 (ad 7. EAP, priorita 8, posílit udržitelnost měst EU).</w:t>
      </w:r>
    </w:p>
    <w:p w:rsidR="00812AD7" w:rsidRPr="00812AD7" w:rsidRDefault="00812AD7" w:rsidP="00B66FDE">
      <w:r w:rsidRPr="00812AD7">
        <w:t>Operační program uplatňuje princip partnerství, vztahy mezi environmentálními, ekonomickými a sociálními subjekty musí být založeny na bázi partnerství, nikoliv na jiné bázi</w:t>
      </w:r>
      <w:r w:rsidR="002F5E91">
        <w:t>.</w:t>
      </w:r>
      <w:r w:rsidRPr="00812AD7">
        <w:t xml:space="preserve"> </w:t>
      </w:r>
      <w:r w:rsidR="002F5E91">
        <w:t>P</w:t>
      </w:r>
      <w:r w:rsidRPr="00812AD7">
        <w:t xml:space="preserve">rincip otevřenosti a transparence, exaktnosti, uváženého přijímání ekologických závazků, ekosystémového přístupu, </w:t>
      </w:r>
      <w:r w:rsidR="002F5E91">
        <w:t>v</w:t>
      </w:r>
      <w:r w:rsidRPr="00812AD7">
        <w:t>ychází z předpokladu naplňování principu „znečišťovatel platí“, princip minimalizace znečištění (rizika) u zdroje</w:t>
      </w:r>
      <w:r>
        <w:t xml:space="preserve"> a</w:t>
      </w:r>
      <w:r w:rsidRPr="00812AD7">
        <w:t xml:space="preserve"> substituce.</w:t>
      </w:r>
    </w:p>
    <w:p w:rsidR="006E67A0" w:rsidRPr="0008788E" w:rsidRDefault="00812AD7" w:rsidP="00B66FDE">
      <w:r w:rsidRPr="00812AD7">
        <w:t>Výrobky a služby by měly být všude, kde je to technicky možné a ekonomicky schůdné, zajišťovány při co nejmenších nárocích na materiály a energie. Všude, kde j</w:t>
      </w:r>
      <w:r w:rsidR="00634704">
        <w:t>e to technicky a </w:t>
      </w:r>
      <w:r w:rsidRPr="00812AD7">
        <w:t>ekonomicky schůdné</w:t>
      </w:r>
      <w:r w:rsidR="002F5E91">
        <w:t>,</w:t>
      </w:r>
      <w:r w:rsidRPr="00812AD7">
        <w:t xml:space="preserve"> by měly být materiální a energetické potřeby saturovány pomocí obnovitelných zdrojů. Přispívá k oddělení ekonomického růstu od negativních dopadů na životní prostředí (</w:t>
      </w:r>
      <w:proofErr w:type="spellStart"/>
      <w:r w:rsidRPr="00812AD7">
        <w:t>decoupling</w:t>
      </w:r>
      <w:proofErr w:type="spellEnd"/>
      <w:r w:rsidRPr="00812AD7">
        <w:t>), k principu prevence vzniku odpadů a jejich recyklace (využívání odpadů jako druhotných surovin), principu postupného preferování inte</w:t>
      </w:r>
      <w:r w:rsidR="002F5E91">
        <w:t>nzivního rozvoje společnosti ke </w:t>
      </w:r>
      <w:r w:rsidRPr="00812AD7">
        <w:t xml:space="preserve">kvalitě před rozvojem extenzivním, principu generační zodpovědnosti za zachování a předání </w:t>
      </w:r>
      <w:r w:rsidRPr="00812AD7">
        <w:lastRenderedPageBreak/>
        <w:t>základních přírodních, kulturních a civilizačních hodnot</w:t>
      </w:r>
      <w:r>
        <w:t>,</w:t>
      </w:r>
      <w:r w:rsidRPr="00812AD7">
        <w:t xml:space="preserve"> obn</w:t>
      </w:r>
      <w:r w:rsidR="00634704">
        <w:t>ovy a údržby kulturní krajiny a </w:t>
      </w:r>
      <w:r w:rsidRPr="00812AD7">
        <w:t xml:space="preserve">komplexního řešení zabezpečení souladu přírodních, civilizačních a kulturních hodnot. Principem je rovněž minimalizace zdravotně rizikových emisí do všech složek životního prostředí včetně vnitřního prostředí. </w:t>
      </w:r>
    </w:p>
    <w:p w:rsidR="00B65141" w:rsidRDefault="00901C83" w:rsidP="00165854">
      <w:pPr>
        <w:pStyle w:val="Nadpis2"/>
      </w:pPr>
      <w:bookmarkStart w:id="3489" w:name="_Toc350962128"/>
      <w:bookmarkStart w:id="3490" w:name="_Toc351472166"/>
      <w:bookmarkStart w:id="3491" w:name="_Toc392151098"/>
      <w:r w:rsidRPr="00114DB9">
        <w:t xml:space="preserve">Rovné příležitosti a </w:t>
      </w:r>
      <w:r w:rsidR="00273E5C">
        <w:t>zákaz</w:t>
      </w:r>
      <w:r w:rsidRPr="00114DB9">
        <w:t xml:space="preserve"> diskriminac</w:t>
      </w:r>
      <w:r w:rsidR="00273E5C">
        <w:t>e</w:t>
      </w:r>
      <w:bookmarkEnd w:id="3489"/>
      <w:bookmarkEnd w:id="3490"/>
      <w:bookmarkEnd w:id="3491"/>
      <w:r w:rsidRPr="00114DB9" w:rsidDel="00203340">
        <w:t xml:space="preserve"> </w:t>
      </w:r>
    </w:p>
    <w:p w:rsidR="00D71D08" w:rsidRDefault="004E317D" w:rsidP="00B66FDE">
      <w:r w:rsidRPr="00B172FD">
        <w:t>Zákaz diskriminace v souladu s českým i evropským právem a podpora rovných příležitostí žen a mužů jsou základními principy realizace OP</w:t>
      </w:r>
      <w:r w:rsidR="00634704">
        <w:t xml:space="preserve"> </w:t>
      </w:r>
      <w:r w:rsidRPr="00B172FD">
        <w:t xml:space="preserve">ŽP </w:t>
      </w:r>
      <w:r>
        <w:t xml:space="preserve">2014-2020 </w:t>
      </w:r>
      <w:r w:rsidR="00634704">
        <w:t>a budou respektovány a </w:t>
      </w:r>
      <w:r w:rsidRPr="00B172FD">
        <w:t>podporovány ve všech prioritních osá</w:t>
      </w:r>
      <w:r w:rsidRPr="004E317D">
        <w:t>ch a investičních prioritách. Ř</w:t>
      </w:r>
      <w:r>
        <w:t>ídicí orgán</w:t>
      </w:r>
      <w:r w:rsidRPr="00B172FD">
        <w:t xml:space="preserve"> </w:t>
      </w:r>
      <w:r w:rsidR="00634704">
        <w:t>OP ŽP 2014</w:t>
      </w:r>
      <w:r w:rsidR="00634704">
        <w:noBreakHyphen/>
      </w:r>
      <w:r w:rsidR="00B172FD">
        <w:t>2020</w:t>
      </w:r>
      <w:r w:rsidRPr="00B172FD">
        <w:t>zajistí žadatelům rovné podmínky pro získání podpory, bez ohledu na pohlaví, rasový či etnický původ, náboženství či světový názor, zdravotní postižení, věk nebo sexuální orientaci. Při přípravě, koncipování, průběhu i provádění operačního programu je dbáno na rovné zacházení a rovné příležitosti pro veškeré zájmové, cílové i ohrožené skupiny nejen s ohledem na zajištění přístupu k financování, ale i s ohledem na potřeby jednotlivých cílov</w:t>
      </w:r>
      <w:r w:rsidR="00634704">
        <w:t>ých skupin a s </w:t>
      </w:r>
      <w:r w:rsidRPr="00B172FD">
        <w:t xml:space="preserve">ohledem na zajištění přístupnosti pro osoby se zdravotním postižením. Tyto principy budou sledovány při realizaci jednotlivých projektů, kdy bude hlavní snahou odstranit cílovým skupinám bariéry, které by bránily účastnit se projektů. Zároveň budou projekty koncipovány tak, aby také obsahově naplňovali princip rovných příležitostí. Všechny projekty se budou řídit nediskriminačními přístupy a maximálně otevřenou komunikací a spoluprací se všemi relevantními skupinami. </w:t>
      </w:r>
    </w:p>
    <w:p w:rsidR="00040A4B" w:rsidRPr="00AA4742" w:rsidRDefault="004E317D" w:rsidP="00B66FDE">
      <w:r w:rsidRPr="00B172FD">
        <w:t>V rámci OP</w:t>
      </w:r>
      <w:r w:rsidR="00634704">
        <w:t xml:space="preserve"> </w:t>
      </w:r>
      <w:r w:rsidRPr="00B172FD">
        <w:t xml:space="preserve">ŽP nebudou podporovány takové projekty, které by negativně ovlivňovaly princip rovných příležitostí. Informace o rovných příležitostech budou součástí všech dalších </w:t>
      </w:r>
      <w:r w:rsidR="00B172FD">
        <w:t xml:space="preserve">řídicích </w:t>
      </w:r>
      <w:r w:rsidRPr="00B172FD">
        <w:t>dokumentů a také všech výzev. Princip rovných příležitostí</w:t>
      </w:r>
      <w:r w:rsidR="00634704">
        <w:t xml:space="preserve"> bude ze strany Řídicího orgánu </w:t>
      </w:r>
      <w:r w:rsidRPr="00B172FD">
        <w:t>OP</w:t>
      </w:r>
      <w:r w:rsidR="00634704">
        <w:t> </w:t>
      </w:r>
      <w:r w:rsidRPr="00B172FD">
        <w:t xml:space="preserve">ŽP </w:t>
      </w:r>
      <w:r w:rsidR="00B172FD">
        <w:t xml:space="preserve">2014-2020 </w:t>
      </w:r>
      <w:r w:rsidRPr="00B172FD">
        <w:t>zajištěn i na úrovni partnerství. Řídi</w:t>
      </w:r>
      <w:r w:rsidR="00634704">
        <w:t>cí orgán bude dbát na to, aby v </w:t>
      </w:r>
      <w:r w:rsidRPr="00B172FD">
        <w:t xml:space="preserve">Monitorovacím výboru byly dodržovány zásady rovných příležitostí a vyváženého zastoupení </w:t>
      </w:r>
      <w:r w:rsidR="00634704">
        <w:t>žen a </w:t>
      </w:r>
      <w:r w:rsidR="0008788E">
        <w:t xml:space="preserve">mužů. </w:t>
      </w:r>
    </w:p>
    <w:p w:rsidR="00AA4FC7" w:rsidRDefault="00901C83" w:rsidP="00165854">
      <w:pPr>
        <w:pStyle w:val="Nadpis2"/>
      </w:pPr>
      <w:bookmarkStart w:id="3492" w:name="_Toc350962129"/>
      <w:bookmarkStart w:id="3493" w:name="_Toc351472167"/>
      <w:bookmarkStart w:id="3494" w:name="_Toc381021816"/>
      <w:bookmarkStart w:id="3495" w:name="_Toc381029920"/>
      <w:bookmarkStart w:id="3496" w:name="_Toc392151099"/>
      <w:r w:rsidRPr="00114DB9">
        <w:t xml:space="preserve">Rovnost </w:t>
      </w:r>
      <w:bookmarkEnd w:id="3492"/>
      <w:bookmarkEnd w:id="3493"/>
      <w:bookmarkEnd w:id="3494"/>
      <w:bookmarkEnd w:id="3495"/>
      <w:r w:rsidR="00273E5C">
        <w:t>mezi muži a ženami</w:t>
      </w:r>
      <w:bookmarkEnd w:id="3496"/>
    </w:p>
    <w:p w:rsidR="000732E2" w:rsidRPr="004E317D" w:rsidRDefault="000732E2" w:rsidP="00B66FDE">
      <w:r w:rsidRPr="00B172FD">
        <w:t>Problematika rovných příležitostí žen a mužů je koncepčně podrobně upravena Metodikou (MŽP) rovných příležitostí pro ženy a muže v projektech a plánech (MŽP 2010), v níž je zpracován postup zhodnocování dopadů do oblasti rovnosti žen a mužů v projektech a plánech s významnými dopady na životní prostředí.</w:t>
      </w:r>
      <w:r w:rsidRPr="004E317D">
        <w:t xml:space="preserve"> </w:t>
      </w:r>
    </w:p>
    <w:p w:rsidR="000732E2" w:rsidRPr="004E317D" w:rsidRDefault="000732E2" w:rsidP="00B66FDE">
      <w:r w:rsidRPr="004E317D">
        <w:t xml:space="preserve">Při přípravě, koncipování, průběhu a realizaci Operačního programu </w:t>
      </w:r>
      <w:r w:rsidR="00E47524">
        <w:t>Ž</w:t>
      </w:r>
      <w:r w:rsidRPr="004E317D">
        <w:t xml:space="preserve">ivotní prostředí </w:t>
      </w:r>
      <w:r>
        <w:t>2014</w:t>
      </w:r>
      <w:r w:rsidR="00E47524">
        <w:noBreakHyphen/>
      </w:r>
      <w:r>
        <w:t xml:space="preserve">2020 </w:t>
      </w:r>
      <w:r w:rsidRPr="004E317D">
        <w:t xml:space="preserve">je dbáno na rovné příležitosti pro ženy a muže a budou rovněž zohledňovány specifické potřeby žen i mužů. Operační program </w:t>
      </w:r>
      <w:r w:rsidR="00E47524">
        <w:t>Ž</w:t>
      </w:r>
      <w:r w:rsidRPr="004E317D">
        <w:t xml:space="preserve">ivotní prostředí respektuje </w:t>
      </w:r>
      <w:r w:rsidRPr="004E317D">
        <w:rPr>
          <w:b/>
          <w:bCs/>
        </w:rPr>
        <w:t>„</w:t>
      </w:r>
      <w:r w:rsidRPr="004E317D">
        <w:t>Priority Ministerstva životního prostředí při prosazování rovných příležitostí žen a mužů“, které jsou uveřejněny na webové stránce MŽP. V rámci těc</w:t>
      </w:r>
      <w:r>
        <w:t>hto priorit jsou ve vztahu k</w:t>
      </w:r>
      <w:r w:rsidR="00E16955">
        <w:t> </w:t>
      </w:r>
      <w:proofErr w:type="gramStart"/>
      <w:r>
        <w:t>OP</w:t>
      </w:r>
      <w:proofErr w:type="gramEnd"/>
      <w:r w:rsidR="00E16955">
        <w:t xml:space="preserve"> </w:t>
      </w:r>
      <w:r>
        <w:t xml:space="preserve">ŽP 2014-2020 </w:t>
      </w:r>
      <w:r w:rsidRPr="004E317D">
        <w:t>relevantní zejména následující:</w:t>
      </w:r>
    </w:p>
    <w:p w:rsidR="006F7D80" w:rsidRDefault="000732E2" w:rsidP="00495FC1">
      <w:pPr>
        <w:pStyle w:val="Odstavecseseznamem"/>
        <w:numPr>
          <w:ilvl w:val="0"/>
          <w:numId w:val="52"/>
        </w:numPr>
      </w:pPr>
      <w:r w:rsidRPr="004E317D">
        <w:t xml:space="preserve">Naplňovat požadavky genderového přístupu organizací </w:t>
      </w:r>
      <w:r w:rsidR="00E47524">
        <w:t>v oblasti životního prostředí a </w:t>
      </w:r>
      <w:r w:rsidRPr="004E317D">
        <w:t xml:space="preserve">též při spolupráci s dalšími sektory hospodářství. </w:t>
      </w:r>
    </w:p>
    <w:p w:rsidR="006F7D80" w:rsidRDefault="000732E2" w:rsidP="00495FC1">
      <w:pPr>
        <w:pStyle w:val="Odstavecseseznamem"/>
        <w:numPr>
          <w:ilvl w:val="0"/>
          <w:numId w:val="52"/>
        </w:numPr>
      </w:pPr>
      <w:r w:rsidRPr="004E317D">
        <w:lastRenderedPageBreak/>
        <w:t>Rovné příležitosti žen a mužů koncipovat jako organickou</w:t>
      </w:r>
      <w:r w:rsidR="00E47524">
        <w:t xml:space="preserve"> součást udržitelného rozvoje a </w:t>
      </w:r>
      <w:r w:rsidRPr="004E317D">
        <w:t xml:space="preserve">veškerých koncepčních, strategických a projektových dokumentů a při naplňování environmentální politiky. </w:t>
      </w:r>
    </w:p>
    <w:p w:rsidR="006F7D80" w:rsidRDefault="000732E2" w:rsidP="00495FC1">
      <w:pPr>
        <w:pStyle w:val="Odstavecseseznamem"/>
        <w:numPr>
          <w:ilvl w:val="0"/>
          <w:numId w:val="52"/>
        </w:numPr>
      </w:pPr>
      <w:r w:rsidRPr="004E317D">
        <w:t>Ve výběrových řízeních plně respektovat rovné příležitosti žen a věnovat nadále pozornost potřebnému zastoupení žen ve vedoucích funkcích. Nadále pořádat prezenční genderová školení pro veškeré nově nastupující zaměstnance</w:t>
      </w:r>
    </w:p>
    <w:p w:rsidR="006F7D80" w:rsidRPr="00E47524" w:rsidRDefault="000732E2" w:rsidP="00495FC1">
      <w:pPr>
        <w:pStyle w:val="Odstavecseseznamem"/>
        <w:numPr>
          <w:ilvl w:val="0"/>
          <w:numId w:val="52"/>
        </w:numPr>
      </w:pPr>
      <w:r w:rsidRPr="004E317D">
        <w:t>Věnovat patřičnou pozornost požadavkům žen, jejich bezpečnosti, větší zranitelnosti, specifickým potřebám vzhledem k péči o děti, při tvorbě projektů spolufinancovaných Evropskou unií, při plánování staveb, zeleně, dop</w:t>
      </w:r>
      <w:r w:rsidR="00C32171">
        <w:t>ravní obslužnosti apod., a to </w:t>
      </w:r>
      <w:r w:rsidR="00E47524">
        <w:t>v </w:t>
      </w:r>
      <w:r w:rsidRPr="004E317D">
        <w:t xml:space="preserve">projektech a plánech, které MŽP připomínkuje, řídí nebo samo navrhuje. </w:t>
      </w:r>
    </w:p>
    <w:p w:rsidR="00E47524" w:rsidRDefault="00E47524" w:rsidP="00B66FDE"/>
    <w:p w:rsidR="00E47524" w:rsidRDefault="00E47524" w:rsidP="00B66FDE"/>
    <w:p w:rsidR="00E47524" w:rsidRDefault="00E47524" w:rsidP="00B66FDE"/>
    <w:p w:rsidR="00E47524" w:rsidRDefault="00E47524" w:rsidP="00B66FDE"/>
    <w:p w:rsidR="00E47524" w:rsidRDefault="00E47524" w:rsidP="00B66FDE"/>
    <w:p w:rsidR="00AA4FC7" w:rsidRDefault="00AA4FC7" w:rsidP="00B66FDE"/>
    <w:p w:rsidR="0096433D" w:rsidRDefault="0096433D" w:rsidP="00B66FDE">
      <w:pPr>
        <w:rPr>
          <w:rFonts w:asciiTheme="majorHAnsi" w:eastAsiaTheme="majorEastAsia" w:hAnsiTheme="majorHAnsi"/>
          <w:b/>
          <w:bCs/>
          <w:color w:val="76923C" w:themeColor="accent3" w:themeShade="BF"/>
          <w:sz w:val="32"/>
          <w:szCs w:val="28"/>
        </w:rPr>
      </w:pPr>
      <w:bookmarkStart w:id="3497" w:name="_Toc351472168"/>
      <w:r>
        <w:br w:type="page"/>
      </w:r>
    </w:p>
    <w:p w:rsidR="0096433D" w:rsidRDefault="0096433D" w:rsidP="00165854">
      <w:pPr>
        <w:pStyle w:val="Nadpis1"/>
      </w:pPr>
      <w:bookmarkStart w:id="3498" w:name="_Toc392151100"/>
      <w:r>
        <w:lastRenderedPageBreak/>
        <w:t>Seznam zkratek</w:t>
      </w:r>
      <w:bookmarkEnd w:id="3498"/>
    </w:p>
    <w:tbl>
      <w:tblPr>
        <w:tblW w:w="9087" w:type="dxa"/>
        <w:tblInd w:w="55" w:type="dxa"/>
        <w:tblCellMar>
          <w:left w:w="70" w:type="dxa"/>
          <w:right w:w="70" w:type="dxa"/>
        </w:tblCellMar>
        <w:tblLook w:val="04A0" w:firstRow="1" w:lastRow="0" w:firstColumn="1" w:lastColumn="0" w:noHBand="0" w:noVBand="1"/>
      </w:tblPr>
      <w:tblGrid>
        <w:gridCol w:w="2000"/>
        <w:gridCol w:w="7087"/>
      </w:tblGrid>
      <w:tr w:rsidR="00530FAE" w:rsidRPr="00FE0D2C" w:rsidTr="00E432B0">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AOPK ČR</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Agentura ochrany přírody a krajiny České republiky</w:t>
            </w:r>
          </w:p>
        </w:tc>
      </w:tr>
      <w:tr w:rsidR="00530FAE" w:rsidRPr="00FE0D2C" w:rsidTr="00E432B0">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BAT</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Nejlepší dostupné technologie</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BRKO</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Biologicky rozložitelné komunální odpady</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BRO</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Biologicky rozložitelné odpady</w:t>
            </w:r>
          </w:p>
        </w:tc>
      </w:tr>
      <w:tr w:rsidR="00801F63"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801F63" w:rsidRDefault="00801F63">
            <w:pPr>
              <w:rPr>
                <w:b/>
                <w:bCs/>
                <w:color w:val="000000"/>
              </w:rPr>
            </w:pPr>
            <w:r>
              <w:rPr>
                <w:b/>
                <w:bCs/>
                <w:color w:val="000000"/>
              </w:rPr>
              <w:t>BSK</w:t>
            </w:r>
          </w:p>
        </w:tc>
        <w:tc>
          <w:tcPr>
            <w:tcW w:w="7087" w:type="dxa"/>
            <w:tcBorders>
              <w:top w:val="nil"/>
              <w:left w:val="nil"/>
              <w:bottom w:val="single" w:sz="4" w:space="0" w:color="auto"/>
              <w:right w:val="single" w:sz="4" w:space="0" w:color="auto"/>
            </w:tcBorders>
            <w:shd w:val="clear" w:color="auto" w:fill="auto"/>
            <w:vAlign w:val="bottom"/>
            <w:hideMark/>
          </w:tcPr>
          <w:p w:rsidR="00801F63" w:rsidRDefault="00944BCA">
            <w:pPr>
              <w:rPr>
                <w:color w:val="000000"/>
              </w:rPr>
            </w:pPr>
            <w:r>
              <w:rPr>
                <w:color w:val="000000"/>
              </w:rPr>
              <w:t>Biologická spotřeba kyslíku</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CEB</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Česká exportní banka</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CLP</w:t>
            </w:r>
          </w:p>
        </w:tc>
        <w:tc>
          <w:tcPr>
            <w:tcW w:w="7087" w:type="dxa"/>
            <w:tcBorders>
              <w:top w:val="nil"/>
              <w:left w:val="nil"/>
              <w:bottom w:val="single" w:sz="4" w:space="0" w:color="auto"/>
              <w:right w:val="single" w:sz="4" w:space="0" w:color="auto"/>
            </w:tcBorders>
            <w:shd w:val="clear" w:color="auto" w:fill="auto"/>
            <w:vAlign w:val="bottom"/>
            <w:hideMark/>
          </w:tcPr>
          <w:p w:rsidR="00530FAE" w:rsidRPr="00025978" w:rsidRDefault="00025978" w:rsidP="00025978">
            <w:pPr>
              <w:spacing w:line="240" w:lineRule="auto"/>
              <w:rPr>
                <w:color w:val="000000"/>
              </w:rPr>
            </w:pPr>
            <w:r>
              <w:rPr>
                <w:rFonts w:ascii="Calibri" w:hAnsi="Calibri"/>
                <w:color w:val="000000"/>
              </w:rPr>
              <w:t>N</w:t>
            </w:r>
            <w:r w:rsidRPr="00025978">
              <w:t xml:space="preserve">ařízení (ES) č. 1272/2008 o klasifikaci, označování a balení (CLP z anglického </w:t>
            </w:r>
            <w:proofErr w:type="spellStart"/>
            <w:r w:rsidRPr="00025978">
              <w:t>classification</w:t>
            </w:r>
            <w:proofErr w:type="spellEnd"/>
            <w:r w:rsidRPr="00025978">
              <w:t xml:space="preserve">, </w:t>
            </w:r>
            <w:proofErr w:type="spellStart"/>
            <w:r w:rsidRPr="00025978">
              <w:t>labelling</w:t>
            </w:r>
            <w:proofErr w:type="spellEnd"/>
            <w:r w:rsidRPr="00025978">
              <w:t xml:space="preserve"> and </w:t>
            </w:r>
            <w:proofErr w:type="spellStart"/>
            <w:r w:rsidRPr="00025978">
              <w:t>packaging</w:t>
            </w:r>
            <w:proofErr w:type="spellEnd"/>
            <w:r w:rsidRPr="00025978">
              <w:t>) látek a směsí</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CNG</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Stlačený zemní plyn</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ČHMÚ</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Český hydrometeorologický ústav</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ČOV</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Čistírny odpadních vod</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ČR</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Česká republika</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ČSN</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Česká státní norma</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ČSÚ</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Český statistický úřad</w:t>
            </w:r>
          </w:p>
        </w:tc>
      </w:tr>
      <w:tr w:rsidR="00105347"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105347" w:rsidRDefault="00105347">
            <w:pPr>
              <w:rPr>
                <w:b/>
                <w:bCs/>
                <w:color w:val="000000"/>
              </w:rPr>
            </w:pPr>
            <w:r>
              <w:rPr>
                <w:b/>
                <w:bCs/>
                <w:color w:val="000000"/>
              </w:rPr>
              <w:t>DČOV</w:t>
            </w:r>
          </w:p>
        </w:tc>
        <w:tc>
          <w:tcPr>
            <w:tcW w:w="7087" w:type="dxa"/>
            <w:tcBorders>
              <w:top w:val="nil"/>
              <w:left w:val="nil"/>
              <w:bottom w:val="single" w:sz="4" w:space="0" w:color="auto"/>
              <w:right w:val="single" w:sz="4" w:space="0" w:color="auto"/>
            </w:tcBorders>
            <w:shd w:val="clear" w:color="auto" w:fill="auto"/>
            <w:vAlign w:val="bottom"/>
            <w:hideMark/>
          </w:tcPr>
          <w:p w:rsidR="00105347" w:rsidRDefault="00105347">
            <w:pPr>
              <w:rPr>
                <w:color w:val="000000"/>
              </w:rPr>
            </w:pPr>
            <w:r>
              <w:rPr>
                <w:color w:val="000000"/>
              </w:rPr>
              <w:t>Domácí čistírny odpadních vod</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EAP</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Akční program pro životní prostředí</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EBRD</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proofErr w:type="spellStart"/>
            <w:r>
              <w:rPr>
                <w:color w:val="000000"/>
              </w:rPr>
              <w:t>European</w:t>
            </w:r>
            <w:proofErr w:type="spellEnd"/>
            <w:r>
              <w:rPr>
                <w:color w:val="000000"/>
              </w:rPr>
              <w:t xml:space="preserve"> Bank </w:t>
            </w:r>
            <w:proofErr w:type="spellStart"/>
            <w:r>
              <w:rPr>
                <w:color w:val="000000"/>
              </w:rPr>
              <w:t>for</w:t>
            </w:r>
            <w:proofErr w:type="spellEnd"/>
            <w:r>
              <w:rPr>
                <w:color w:val="000000"/>
              </w:rPr>
              <w:t xml:space="preserve"> </w:t>
            </w:r>
            <w:proofErr w:type="spellStart"/>
            <w:r>
              <w:rPr>
                <w:color w:val="000000"/>
              </w:rPr>
              <w:t>Reconstruction</w:t>
            </w:r>
            <w:proofErr w:type="spellEnd"/>
            <w:r>
              <w:rPr>
                <w:color w:val="000000"/>
              </w:rPr>
              <w:t xml:space="preserve"> and </w:t>
            </w:r>
            <w:proofErr w:type="spellStart"/>
            <w:r>
              <w:rPr>
                <w:color w:val="000000"/>
              </w:rPr>
              <w:t>Development</w:t>
            </w:r>
            <w:proofErr w:type="spellEnd"/>
            <w:r>
              <w:rPr>
                <w:color w:val="000000"/>
              </w:rPr>
              <w:t xml:space="preserve"> (Evropská banka pro obnovu a rozvoj)</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EFRR</w:t>
            </w:r>
          </w:p>
        </w:tc>
        <w:tc>
          <w:tcPr>
            <w:tcW w:w="7087" w:type="dxa"/>
            <w:tcBorders>
              <w:top w:val="nil"/>
              <w:left w:val="nil"/>
              <w:bottom w:val="single" w:sz="4" w:space="0" w:color="auto"/>
              <w:right w:val="single" w:sz="4" w:space="0" w:color="auto"/>
            </w:tcBorders>
            <w:shd w:val="clear" w:color="auto" w:fill="auto"/>
            <w:noWrap/>
            <w:vAlign w:val="bottom"/>
            <w:hideMark/>
          </w:tcPr>
          <w:p w:rsidR="00530FAE" w:rsidRDefault="00530FAE">
            <w:pPr>
              <w:rPr>
                <w:color w:val="000000"/>
              </w:rPr>
            </w:pPr>
            <w:r>
              <w:rPr>
                <w:color w:val="000000"/>
              </w:rPr>
              <w:t>Evropský fond pro regionální rozvoj</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EHS</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Evropské hospodářské společenství</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EIA</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 xml:space="preserve">Posuzování vlivů na životní prostředí </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EIB</w:t>
            </w:r>
          </w:p>
        </w:tc>
        <w:tc>
          <w:tcPr>
            <w:tcW w:w="7087" w:type="dxa"/>
            <w:tcBorders>
              <w:top w:val="nil"/>
              <w:left w:val="nil"/>
              <w:bottom w:val="single" w:sz="4" w:space="0" w:color="auto"/>
              <w:right w:val="single" w:sz="4" w:space="0" w:color="auto"/>
            </w:tcBorders>
            <w:shd w:val="clear" w:color="auto" w:fill="auto"/>
            <w:noWrap/>
            <w:vAlign w:val="bottom"/>
            <w:hideMark/>
          </w:tcPr>
          <w:p w:rsidR="00530FAE" w:rsidRDefault="00530FAE">
            <w:pPr>
              <w:rPr>
                <w:color w:val="000000"/>
              </w:rPr>
            </w:pPr>
            <w:proofErr w:type="spellStart"/>
            <w:r>
              <w:rPr>
                <w:color w:val="000000"/>
              </w:rPr>
              <w:t>European</w:t>
            </w:r>
            <w:proofErr w:type="spellEnd"/>
            <w:r>
              <w:rPr>
                <w:color w:val="000000"/>
              </w:rPr>
              <w:t xml:space="preserve"> </w:t>
            </w:r>
            <w:proofErr w:type="spellStart"/>
            <w:r>
              <w:rPr>
                <w:color w:val="000000"/>
              </w:rPr>
              <w:t>Investment</w:t>
            </w:r>
            <w:proofErr w:type="spellEnd"/>
            <w:r>
              <w:rPr>
                <w:color w:val="000000"/>
              </w:rPr>
              <w:t xml:space="preserve"> Bank (Evropská investiční banka)</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EK</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Evropská Komise</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ENPI</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proofErr w:type="spellStart"/>
            <w:r>
              <w:rPr>
                <w:color w:val="000000"/>
              </w:rPr>
              <w:t>European</w:t>
            </w:r>
            <w:proofErr w:type="spellEnd"/>
            <w:r>
              <w:rPr>
                <w:color w:val="000000"/>
              </w:rPr>
              <w:t xml:space="preserve"> </w:t>
            </w:r>
            <w:proofErr w:type="spellStart"/>
            <w:r>
              <w:rPr>
                <w:color w:val="000000"/>
              </w:rPr>
              <w:t>Neighbourhood</w:t>
            </w:r>
            <w:proofErr w:type="spellEnd"/>
            <w:r>
              <w:rPr>
                <w:color w:val="000000"/>
              </w:rPr>
              <w:t xml:space="preserve"> and </w:t>
            </w:r>
            <w:proofErr w:type="spellStart"/>
            <w:r>
              <w:rPr>
                <w:color w:val="000000"/>
              </w:rPr>
              <w:t>Partnership</w:t>
            </w:r>
            <w:proofErr w:type="spellEnd"/>
            <w:r>
              <w:rPr>
                <w:color w:val="000000"/>
              </w:rPr>
              <w:t xml:space="preserve"> Instrument (Evropský nástroj sousedství a partnerství)</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ENVI</w:t>
            </w:r>
          </w:p>
        </w:tc>
        <w:tc>
          <w:tcPr>
            <w:tcW w:w="7087" w:type="dxa"/>
            <w:tcBorders>
              <w:top w:val="nil"/>
              <w:left w:val="nil"/>
              <w:bottom w:val="single" w:sz="4" w:space="0" w:color="auto"/>
              <w:right w:val="single" w:sz="4" w:space="0" w:color="auto"/>
            </w:tcBorders>
            <w:shd w:val="clear" w:color="auto" w:fill="auto"/>
            <w:noWrap/>
            <w:vAlign w:val="bottom"/>
            <w:hideMark/>
          </w:tcPr>
          <w:p w:rsidR="00530FAE" w:rsidRDefault="00530FAE">
            <w:pPr>
              <w:rPr>
                <w:color w:val="000000"/>
              </w:rPr>
            </w:pPr>
            <w:r>
              <w:rPr>
                <w:color w:val="000000"/>
              </w:rPr>
              <w:t>Environmentální indikátory</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EO</w:t>
            </w:r>
          </w:p>
        </w:tc>
        <w:tc>
          <w:tcPr>
            <w:tcW w:w="7087" w:type="dxa"/>
            <w:tcBorders>
              <w:top w:val="nil"/>
              <w:left w:val="nil"/>
              <w:bottom w:val="single" w:sz="4" w:space="0" w:color="auto"/>
              <w:right w:val="single" w:sz="4" w:space="0" w:color="auto"/>
            </w:tcBorders>
            <w:shd w:val="clear" w:color="auto" w:fill="auto"/>
            <w:noWrap/>
            <w:vAlign w:val="bottom"/>
            <w:hideMark/>
          </w:tcPr>
          <w:p w:rsidR="00530FAE" w:rsidRDefault="00530FAE">
            <w:pPr>
              <w:rPr>
                <w:color w:val="000000"/>
              </w:rPr>
            </w:pPr>
            <w:r>
              <w:rPr>
                <w:color w:val="000000"/>
              </w:rPr>
              <w:t>Ekvivalentní obyvatelé</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ES</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Evropské společenství</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ESIF</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Evropské strukturální a investiční fondy</w:t>
            </w:r>
          </w:p>
        </w:tc>
      </w:tr>
      <w:tr w:rsidR="00530FAE" w:rsidRPr="00FE0D2C" w:rsidTr="00E432B0">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EU</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Evropská Unie</w:t>
            </w:r>
          </w:p>
        </w:tc>
      </w:tr>
      <w:tr w:rsidR="007E0086" w:rsidRPr="00FE0D2C" w:rsidTr="00E432B0">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0086" w:rsidRDefault="007E0086">
            <w:pPr>
              <w:rPr>
                <w:b/>
                <w:bCs/>
                <w:color w:val="000000"/>
              </w:rPr>
            </w:pPr>
            <w:r>
              <w:rPr>
                <w:b/>
                <w:bCs/>
                <w:color w:val="000000"/>
              </w:rPr>
              <w:t>EU ETS</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7E0086" w:rsidRPr="007E0086" w:rsidRDefault="007E0086">
            <w:pPr>
              <w:spacing w:line="240" w:lineRule="auto"/>
            </w:pPr>
            <w:proofErr w:type="spellStart"/>
            <w:r>
              <w:t>The</w:t>
            </w:r>
            <w:proofErr w:type="spellEnd"/>
            <w:r>
              <w:t xml:space="preserve"> EU </w:t>
            </w:r>
            <w:proofErr w:type="spellStart"/>
            <w:r>
              <w:t>Emissions</w:t>
            </w:r>
            <w:proofErr w:type="spellEnd"/>
            <w:r>
              <w:t xml:space="preserve"> </w:t>
            </w:r>
            <w:proofErr w:type="spellStart"/>
            <w:r>
              <w:t>Trading</w:t>
            </w:r>
            <w:proofErr w:type="spellEnd"/>
            <w:r>
              <w:t xml:space="preserve"> </w:t>
            </w:r>
            <w:proofErr w:type="spellStart"/>
            <w:r>
              <w:t>System</w:t>
            </w:r>
            <w:proofErr w:type="spellEnd"/>
          </w:p>
        </w:tc>
      </w:tr>
      <w:tr w:rsidR="00530FAE" w:rsidRPr="00FE0D2C" w:rsidTr="00F625C4">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EZFRV</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Evropský fond pro rozvoj venkova</w:t>
            </w:r>
          </w:p>
        </w:tc>
      </w:tr>
      <w:tr w:rsidR="00530FAE" w:rsidRPr="00FE0D2C" w:rsidTr="00F625C4">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lastRenderedPageBreak/>
              <w:t>FS</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Fond soudržnosti</w:t>
            </w:r>
          </w:p>
        </w:tc>
      </w:tr>
      <w:tr w:rsidR="00530FAE" w:rsidRPr="00FE0D2C" w:rsidTr="00A67D2D">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FTE</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Full -</w:t>
            </w:r>
            <w:proofErr w:type="spellStart"/>
            <w:r>
              <w:rPr>
                <w:color w:val="000000"/>
              </w:rPr>
              <w:t>time</w:t>
            </w:r>
            <w:proofErr w:type="spellEnd"/>
            <w:r>
              <w:rPr>
                <w:color w:val="000000"/>
              </w:rPr>
              <w:t xml:space="preserve"> </w:t>
            </w:r>
            <w:proofErr w:type="spellStart"/>
            <w:r>
              <w:rPr>
                <w:color w:val="000000"/>
              </w:rPr>
              <w:t>equivalent</w:t>
            </w:r>
            <w:proofErr w:type="spellEnd"/>
            <w:r>
              <w:rPr>
                <w:color w:val="000000"/>
              </w:rPr>
              <w:t xml:space="preserve"> (míra zapojení či kapacita zatížení pracovníka)</w:t>
            </w:r>
          </w:p>
        </w:tc>
      </w:tr>
      <w:tr w:rsidR="00801F63"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801F63" w:rsidRDefault="00801F63">
            <w:pPr>
              <w:rPr>
                <w:b/>
                <w:bCs/>
                <w:color w:val="000000"/>
              </w:rPr>
            </w:pPr>
            <w:r>
              <w:rPr>
                <w:b/>
                <w:bCs/>
                <w:color w:val="000000"/>
              </w:rPr>
              <w:t>GAINS</w:t>
            </w:r>
          </w:p>
        </w:tc>
        <w:tc>
          <w:tcPr>
            <w:tcW w:w="7087" w:type="dxa"/>
            <w:tcBorders>
              <w:top w:val="nil"/>
              <w:left w:val="nil"/>
              <w:bottom w:val="single" w:sz="4" w:space="0" w:color="auto"/>
              <w:right w:val="single" w:sz="4" w:space="0" w:color="auto"/>
            </w:tcBorders>
            <w:shd w:val="clear" w:color="auto" w:fill="auto"/>
            <w:vAlign w:val="bottom"/>
            <w:hideMark/>
          </w:tcPr>
          <w:p w:rsidR="00801F63" w:rsidRDefault="00801F63">
            <w:pPr>
              <w:rPr>
                <w:color w:val="000000"/>
              </w:rPr>
            </w:pPr>
            <w:r>
              <w:rPr>
                <w:color w:val="000000"/>
              </w:rPr>
              <w:t>Model</w:t>
            </w:r>
            <w:r w:rsidR="0057172D">
              <w:rPr>
                <w:color w:val="000000"/>
              </w:rPr>
              <w:t xml:space="preserve"> </w:t>
            </w:r>
            <w:proofErr w:type="spellStart"/>
            <w:r w:rsidR="0057172D">
              <w:rPr>
                <w:rStyle w:val="st"/>
              </w:rPr>
              <w:t>The</w:t>
            </w:r>
            <w:proofErr w:type="spellEnd"/>
            <w:r w:rsidR="0057172D">
              <w:rPr>
                <w:rStyle w:val="st"/>
              </w:rPr>
              <w:t xml:space="preserve"> </w:t>
            </w:r>
            <w:proofErr w:type="spellStart"/>
            <w:r w:rsidR="0057172D">
              <w:rPr>
                <w:rStyle w:val="st"/>
              </w:rPr>
              <w:t>Greenhouse</w:t>
            </w:r>
            <w:proofErr w:type="spellEnd"/>
            <w:r w:rsidR="0057172D">
              <w:rPr>
                <w:rStyle w:val="st"/>
              </w:rPr>
              <w:t xml:space="preserve"> </w:t>
            </w:r>
            <w:proofErr w:type="spellStart"/>
            <w:r w:rsidR="0057172D">
              <w:rPr>
                <w:rStyle w:val="st"/>
              </w:rPr>
              <w:t>Gas</w:t>
            </w:r>
            <w:proofErr w:type="spellEnd"/>
            <w:r w:rsidR="0057172D">
              <w:rPr>
                <w:rStyle w:val="st"/>
              </w:rPr>
              <w:t xml:space="preserve"> and Air </w:t>
            </w:r>
            <w:proofErr w:type="spellStart"/>
            <w:r w:rsidR="0057172D">
              <w:rPr>
                <w:rStyle w:val="st"/>
              </w:rPr>
              <w:t>Pollution</w:t>
            </w:r>
            <w:proofErr w:type="spellEnd"/>
            <w:r w:rsidR="0057172D">
              <w:rPr>
                <w:rStyle w:val="st"/>
              </w:rPr>
              <w:t xml:space="preserve"> </w:t>
            </w:r>
            <w:proofErr w:type="spellStart"/>
            <w:r w:rsidR="0057172D">
              <w:rPr>
                <w:rStyle w:val="st"/>
              </w:rPr>
              <w:t>Interactions</w:t>
            </w:r>
            <w:proofErr w:type="spellEnd"/>
            <w:r w:rsidR="0057172D">
              <w:rPr>
                <w:rStyle w:val="st"/>
              </w:rPr>
              <w:t xml:space="preserve"> and </w:t>
            </w:r>
            <w:proofErr w:type="spellStart"/>
            <w:r w:rsidR="0057172D">
              <w:rPr>
                <w:rStyle w:val="st"/>
              </w:rPr>
              <w:t>Synergies</w:t>
            </w:r>
            <w:proofErr w:type="spellEnd"/>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GMES</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proofErr w:type="spellStart"/>
            <w:r>
              <w:rPr>
                <w:color w:val="000000"/>
              </w:rPr>
              <w:t>Global</w:t>
            </w:r>
            <w:proofErr w:type="spellEnd"/>
            <w:r>
              <w:rPr>
                <w:color w:val="000000"/>
              </w:rPr>
              <w:t xml:space="preserve"> Monitoring </w:t>
            </w:r>
            <w:proofErr w:type="spellStart"/>
            <w:r>
              <w:rPr>
                <w:color w:val="000000"/>
              </w:rPr>
              <w:t>for</w:t>
            </w:r>
            <w:proofErr w:type="spellEnd"/>
            <w:r>
              <w:rPr>
                <w:color w:val="000000"/>
              </w:rPr>
              <w:t xml:space="preserve"> </w:t>
            </w:r>
            <w:proofErr w:type="spellStart"/>
            <w:r>
              <w:rPr>
                <w:color w:val="000000"/>
              </w:rPr>
              <w:t>Environment</w:t>
            </w:r>
            <w:proofErr w:type="spellEnd"/>
            <w:r>
              <w:rPr>
                <w:color w:val="000000"/>
              </w:rPr>
              <w:t xml:space="preserve"> and </w:t>
            </w:r>
            <w:proofErr w:type="spellStart"/>
            <w:r>
              <w:rPr>
                <w:color w:val="000000"/>
              </w:rPr>
              <w:t>Security</w:t>
            </w:r>
            <w:proofErr w:type="spellEnd"/>
            <w:r>
              <w:rPr>
                <w:color w:val="000000"/>
              </w:rPr>
              <w:t xml:space="preserve"> (Globální monitoring životního prostředí a bezpečnosti)</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HDP</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Hrubý domácí produkt</w:t>
            </w:r>
          </w:p>
        </w:tc>
      </w:tr>
      <w:tr w:rsidR="00530FAE" w:rsidRPr="00FE0D2C" w:rsidTr="00E432B0">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FAE" w:rsidRPr="007E0086" w:rsidRDefault="00530FAE">
            <w:pPr>
              <w:rPr>
                <w:b/>
                <w:bCs/>
                <w:color w:val="000000"/>
              </w:rPr>
            </w:pPr>
            <w:r w:rsidRPr="007E0086">
              <w:rPr>
                <w:b/>
                <w:bCs/>
                <w:color w:val="000000"/>
              </w:rPr>
              <w:t>HNV</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30FAE" w:rsidRPr="007E0086" w:rsidRDefault="0033290F">
            <w:pPr>
              <w:spacing w:line="240" w:lineRule="auto"/>
              <w:rPr>
                <w:color w:val="000000"/>
              </w:rPr>
            </w:pPr>
            <w:r w:rsidRPr="0033290F">
              <w:rPr>
                <w:color w:val="000000"/>
              </w:rPr>
              <w:t> </w:t>
            </w:r>
            <w:proofErr w:type="spellStart"/>
            <w:r w:rsidRPr="0033290F">
              <w:rPr>
                <w:color w:val="000000"/>
              </w:rPr>
              <w:t>High</w:t>
            </w:r>
            <w:proofErr w:type="spellEnd"/>
            <w:r w:rsidRPr="0033290F">
              <w:rPr>
                <w:color w:val="000000"/>
              </w:rPr>
              <w:t xml:space="preserve"> </w:t>
            </w:r>
            <w:proofErr w:type="spellStart"/>
            <w:r w:rsidRPr="0033290F">
              <w:rPr>
                <w:color w:val="000000"/>
              </w:rPr>
              <w:t>nature</w:t>
            </w:r>
            <w:proofErr w:type="spellEnd"/>
            <w:r w:rsidRPr="0033290F">
              <w:rPr>
                <w:color w:val="000000"/>
              </w:rPr>
              <w:t xml:space="preserve"> </w:t>
            </w:r>
            <w:proofErr w:type="spellStart"/>
            <w:r w:rsidRPr="0033290F">
              <w:rPr>
                <w:color w:val="000000"/>
              </w:rPr>
              <w:t>value</w:t>
            </w:r>
            <w:proofErr w:type="spellEnd"/>
            <w:r w:rsidRPr="0033290F">
              <w:rPr>
                <w:color w:val="000000"/>
              </w:rPr>
              <w:t xml:space="preserve"> – území s vysokou přírodní hodnotou</w:t>
            </w:r>
          </w:p>
        </w:tc>
      </w:tr>
      <w:tr w:rsidR="002B3B7B" w:rsidRPr="00FE0D2C" w:rsidTr="00E432B0">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B7B" w:rsidRPr="007E0086" w:rsidRDefault="002B3B7B">
            <w:pPr>
              <w:rPr>
                <w:b/>
                <w:bCs/>
                <w:color w:val="000000"/>
              </w:rPr>
            </w:pPr>
            <w:r>
              <w:rPr>
                <w:b/>
                <w:bCs/>
                <w:color w:val="000000"/>
              </w:rPr>
              <w:t>CHKO</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2B3B7B" w:rsidRPr="00C2220B" w:rsidRDefault="002B3B7B">
            <w:pPr>
              <w:spacing w:line="240" w:lineRule="auto"/>
              <w:rPr>
                <w:color w:val="000000"/>
              </w:rPr>
            </w:pPr>
            <w:r>
              <w:rPr>
                <w:color w:val="000000"/>
              </w:rPr>
              <w:t>Chráněná krajinná oblast</w:t>
            </w:r>
          </w:p>
        </w:tc>
      </w:tr>
      <w:tr w:rsidR="00530FAE" w:rsidRPr="00FE0D2C" w:rsidTr="00E432B0">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ICPDR</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30FAE" w:rsidRPr="00071E1B" w:rsidRDefault="0033290F">
            <w:pPr>
              <w:spacing w:line="240" w:lineRule="auto"/>
              <w:rPr>
                <w:color w:val="000000"/>
              </w:rPr>
            </w:pPr>
            <w:r w:rsidRPr="0033290F">
              <w:rPr>
                <w:color w:val="000000"/>
              </w:rPr>
              <w:t xml:space="preserve"> International </w:t>
            </w:r>
            <w:proofErr w:type="spellStart"/>
            <w:r w:rsidRPr="0033290F">
              <w:rPr>
                <w:color w:val="000000"/>
              </w:rPr>
              <w:t>Comission</w:t>
            </w:r>
            <w:proofErr w:type="spellEnd"/>
            <w:r w:rsidRPr="0033290F">
              <w:rPr>
                <w:color w:val="000000"/>
              </w:rPr>
              <w:t xml:space="preserve"> </w:t>
            </w:r>
            <w:proofErr w:type="spellStart"/>
            <w:r w:rsidRPr="0033290F">
              <w:rPr>
                <w:color w:val="000000"/>
              </w:rPr>
              <w:t>for</w:t>
            </w:r>
            <w:proofErr w:type="spellEnd"/>
            <w:r w:rsidRPr="0033290F">
              <w:rPr>
                <w:color w:val="000000"/>
              </w:rPr>
              <w:t xml:space="preserve"> </w:t>
            </w:r>
            <w:proofErr w:type="spellStart"/>
            <w:r w:rsidRPr="0033290F">
              <w:rPr>
                <w:color w:val="000000"/>
              </w:rPr>
              <w:t>the</w:t>
            </w:r>
            <w:proofErr w:type="spellEnd"/>
            <w:r w:rsidRPr="0033290F">
              <w:rPr>
                <w:color w:val="000000"/>
              </w:rPr>
              <w:t xml:space="preserve"> </w:t>
            </w:r>
            <w:proofErr w:type="spellStart"/>
            <w:r w:rsidR="00071E1B">
              <w:rPr>
                <w:color w:val="000000"/>
              </w:rPr>
              <w:t>Protection</w:t>
            </w:r>
            <w:proofErr w:type="spellEnd"/>
            <w:r w:rsidR="00071E1B">
              <w:rPr>
                <w:color w:val="000000"/>
              </w:rPr>
              <w:t xml:space="preserve"> </w:t>
            </w:r>
            <w:proofErr w:type="spellStart"/>
            <w:r w:rsidR="00071E1B">
              <w:rPr>
                <w:color w:val="000000"/>
              </w:rPr>
              <w:t>of</w:t>
            </w:r>
            <w:proofErr w:type="spellEnd"/>
            <w:r w:rsidR="00071E1B">
              <w:rPr>
                <w:color w:val="000000"/>
              </w:rPr>
              <w:t xml:space="preserve"> </w:t>
            </w:r>
            <w:proofErr w:type="spellStart"/>
            <w:r w:rsidR="00071E1B">
              <w:rPr>
                <w:color w:val="000000"/>
              </w:rPr>
              <w:t>the</w:t>
            </w:r>
            <w:proofErr w:type="spellEnd"/>
            <w:r w:rsidR="00071E1B">
              <w:rPr>
                <w:color w:val="000000"/>
              </w:rPr>
              <w:t xml:space="preserve"> </w:t>
            </w:r>
            <w:proofErr w:type="spellStart"/>
            <w:r w:rsidR="00071E1B">
              <w:rPr>
                <w:color w:val="000000"/>
              </w:rPr>
              <w:t>Danube</w:t>
            </w:r>
            <w:proofErr w:type="spellEnd"/>
            <w:r w:rsidR="00071E1B">
              <w:rPr>
                <w:color w:val="000000"/>
              </w:rPr>
              <w:t xml:space="preserve"> River</w:t>
            </w:r>
          </w:p>
        </w:tc>
      </w:tr>
      <w:tr w:rsidR="00530FAE" w:rsidRPr="00FE0D2C" w:rsidTr="00E432B0">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INI</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30FAE" w:rsidRPr="00071E1B" w:rsidRDefault="00530FAE">
            <w:pPr>
              <w:rPr>
                <w:color w:val="000000"/>
              </w:rPr>
            </w:pPr>
            <w:r w:rsidRPr="00071E1B">
              <w:rPr>
                <w:color w:val="000000"/>
              </w:rPr>
              <w:t>Mezinárodní iniciativa</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INSPIRE</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proofErr w:type="spellStart"/>
            <w:r>
              <w:rPr>
                <w:color w:val="000000"/>
              </w:rPr>
              <w:t>Infrastructure</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Spatial</w:t>
            </w:r>
            <w:proofErr w:type="spellEnd"/>
            <w:r>
              <w:rPr>
                <w:color w:val="000000"/>
              </w:rPr>
              <w:t xml:space="preserve"> </w:t>
            </w:r>
            <w:proofErr w:type="spellStart"/>
            <w:r>
              <w:rPr>
                <w:color w:val="000000"/>
              </w:rPr>
              <w:t>Information</w:t>
            </w:r>
            <w:proofErr w:type="spellEnd"/>
            <w:r>
              <w:rPr>
                <w:color w:val="000000"/>
              </w:rPr>
              <w:t xml:space="preserve"> in </w:t>
            </w:r>
            <w:proofErr w:type="spellStart"/>
            <w:r>
              <w:rPr>
                <w:color w:val="000000"/>
              </w:rPr>
              <w:t>Europe</w:t>
            </w:r>
            <w:proofErr w:type="spellEnd"/>
            <w:r>
              <w:rPr>
                <w:color w:val="000000"/>
              </w:rPr>
              <w:t xml:space="preserve"> (Infrastruktura pro prostorové informace v Evropě)</w:t>
            </w:r>
          </w:p>
        </w:tc>
      </w:tr>
      <w:tr w:rsidR="00530FAE" w:rsidRPr="00FE0D2C" w:rsidTr="00E432B0">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IPPC</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Integrovaná prevence</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IROP</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Integrovaný regionální operační program</w:t>
            </w:r>
          </w:p>
        </w:tc>
      </w:tr>
      <w:tr w:rsidR="00530FAE" w:rsidRPr="00FE0D2C" w:rsidTr="00E432B0">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Kč</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Česká koruna</w:t>
            </w:r>
          </w:p>
        </w:tc>
      </w:tr>
      <w:tr w:rsidR="00530FAE" w:rsidRPr="00FE0D2C" w:rsidTr="00E432B0">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KO</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Komunální odpad</w:t>
            </w:r>
          </w:p>
        </w:tc>
      </w:tr>
      <w:tr w:rsidR="00530FAE" w:rsidRPr="00FE0D2C" w:rsidTr="00E432B0">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LHP</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Lesnický hospodářský plán</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LIFE</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Evropský finanční nástroj podporující projekty zaměřené na ochranu přírody a životního prostředí v Evropské unii</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LPG</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proofErr w:type="spellStart"/>
            <w:r>
              <w:rPr>
                <w:color w:val="000000"/>
              </w:rPr>
              <w:t>Liquefied</w:t>
            </w:r>
            <w:proofErr w:type="spellEnd"/>
            <w:r>
              <w:rPr>
                <w:color w:val="000000"/>
              </w:rPr>
              <w:t xml:space="preserve"> </w:t>
            </w:r>
            <w:proofErr w:type="spellStart"/>
            <w:r>
              <w:rPr>
                <w:color w:val="000000"/>
              </w:rPr>
              <w:t>Petroleum</w:t>
            </w:r>
            <w:proofErr w:type="spellEnd"/>
            <w:r>
              <w:rPr>
                <w:color w:val="000000"/>
              </w:rPr>
              <w:t xml:space="preserve"> </w:t>
            </w:r>
            <w:proofErr w:type="spellStart"/>
            <w:r>
              <w:rPr>
                <w:color w:val="000000"/>
              </w:rPr>
              <w:t>Gas</w:t>
            </w:r>
            <w:proofErr w:type="spellEnd"/>
            <w:r>
              <w:rPr>
                <w:color w:val="000000"/>
              </w:rPr>
              <w:t xml:space="preserve"> (zkapalněný ropný plyn)</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LVS</w:t>
            </w:r>
          </w:p>
        </w:tc>
        <w:tc>
          <w:tcPr>
            <w:tcW w:w="7087" w:type="dxa"/>
            <w:tcBorders>
              <w:top w:val="nil"/>
              <w:left w:val="nil"/>
              <w:bottom w:val="single" w:sz="4" w:space="0" w:color="auto"/>
              <w:right w:val="single" w:sz="4" w:space="0" w:color="auto"/>
            </w:tcBorders>
            <w:shd w:val="clear" w:color="auto" w:fill="auto"/>
            <w:vAlign w:val="bottom"/>
            <w:hideMark/>
          </w:tcPr>
          <w:p w:rsidR="00530FAE" w:rsidRPr="00E677DF" w:rsidRDefault="00530FAE">
            <w:pPr>
              <w:spacing w:line="240" w:lineRule="auto"/>
              <w:rPr>
                <w:color w:val="000000"/>
              </w:rPr>
            </w:pPr>
            <w:r>
              <w:rPr>
                <w:rFonts w:ascii="Calibri" w:hAnsi="Calibri"/>
                <w:color w:val="000000"/>
              </w:rPr>
              <w:t> </w:t>
            </w:r>
            <w:r w:rsidR="0033290F" w:rsidRPr="0033290F">
              <w:rPr>
                <w:color w:val="000000"/>
              </w:rPr>
              <w:t>Lokální výstražné systémy</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MD</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Ministerstvo dopravy</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MF</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Ministerstvo financí</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MMR</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Ministerstvo pro místní rozvoj</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MPO</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Ministerstvo průmyslu a obchodu</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MV</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Ministerstvo vnitra</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proofErr w:type="spellStart"/>
            <w:r>
              <w:rPr>
                <w:b/>
                <w:bCs/>
                <w:color w:val="000000"/>
              </w:rPr>
              <w:t>MZdr</w:t>
            </w:r>
            <w:proofErr w:type="spellEnd"/>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Ministerstvo zdravotnictví</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proofErr w:type="spellStart"/>
            <w:r>
              <w:rPr>
                <w:b/>
                <w:bCs/>
                <w:color w:val="000000"/>
              </w:rPr>
              <w:t>MZe</w:t>
            </w:r>
            <w:proofErr w:type="spellEnd"/>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Ministerstvo zemědělství</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MŽP</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Ministerstvo životního prostředí</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NAPEE 2011</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Národní akční plány energetické účinnosti ČR</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NATURA 2000</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Soustava chráněných území evropského významu</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NH</w:t>
            </w:r>
            <w:r>
              <w:rPr>
                <w:b/>
                <w:bCs/>
                <w:color w:val="000000"/>
                <w:vertAlign w:val="subscript"/>
              </w:rPr>
              <w:t>3</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Amoniak</w:t>
            </w:r>
          </w:p>
        </w:tc>
      </w:tr>
      <w:tr w:rsidR="00530FAE" w:rsidRPr="00FE0D2C" w:rsidTr="00A67D2D">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NNO</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Nestátní neziskové organizace</w:t>
            </w:r>
          </w:p>
        </w:tc>
      </w:tr>
      <w:tr w:rsidR="00530FAE" w:rsidRPr="00FE0D2C" w:rsidTr="00F625C4">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NO</w:t>
            </w:r>
            <w:r>
              <w:rPr>
                <w:b/>
                <w:bCs/>
                <w:color w:val="000000"/>
                <w:vertAlign w:val="subscript"/>
              </w:rPr>
              <w:t>X</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Oxidy dusíku</w:t>
            </w:r>
          </w:p>
        </w:tc>
      </w:tr>
      <w:tr w:rsidR="00530FAE" w:rsidRPr="00FE0D2C" w:rsidTr="00F625C4">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lastRenderedPageBreak/>
              <w:t>NPP</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30FAE" w:rsidRDefault="00530FAE">
            <w:pPr>
              <w:rPr>
                <w:color w:val="000000"/>
              </w:rPr>
            </w:pPr>
            <w:proofErr w:type="spellStart"/>
            <w:r>
              <w:rPr>
                <w:color w:val="000000"/>
              </w:rPr>
              <w:t>Northern</w:t>
            </w:r>
            <w:proofErr w:type="spellEnd"/>
            <w:r>
              <w:rPr>
                <w:color w:val="000000"/>
              </w:rPr>
              <w:t xml:space="preserve"> </w:t>
            </w:r>
            <w:proofErr w:type="spellStart"/>
            <w:r>
              <w:rPr>
                <w:color w:val="000000"/>
              </w:rPr>
              <w:t>Periphery</w:t>
            </w:r>
            <w:proofErr w:type="spellEnd"/>
            <w:r>
              <w:rPr>
                <w:color w:val="000000"/>
              </w:rPr>
              <w:t xml:space="preserve"> </w:t>
            </w:r>
            <w:proofErr w:type="spellStart"/>
            <w:r>
              <w:rPr>
                <w:color w:val="000000"/>
              </w:rPr>
              <w:t>Programme</w:t>
            </w:r>
            <w:proofErr w:type="spellEnd"/>
            <w:r>
              <w:rPr>
                <w:color w:val="000000"/>
              </w:rPr>
              <w:t xml:space="preserve"> </w:t>
            </w:r>
          </w:p>
        </w:tc>
      </w:tr>
      <w:tr w:rsidR="00530FAE" w:rsidRPr="00FE0D2C" w:rsidTr="00F625C4">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NZÚ</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Nová Zelená úsporám</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OECD</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Organizace pro hospodářskou spolupráci a rozvoj</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OP D</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Operační program Doprava</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OP PIK</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Operační program Podnikání a inovace pro konkurenceschopnost</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OP PPR</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Operační program Praha-pól růstu ČR</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OP TP</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Operační program Technická pomoc</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OP ŽP</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Operační program Životní prostředí</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OP ŽP 2014–2020</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Operační program Životní prostředí 2014-2020</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OPR</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Operační program Rybářství</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OZE</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Obnovitelný zdroj energie</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PAH</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proofErr w:type="spellStart"/>
            <w:r>
              <w:rPr>
                <w:color w:val="000000"/>
              </w:rPr>
              <w:t>Polyaromatické</w:t>
            </w:r>
            <w:proofErr w:type="spellEnd"/>
            <w:r>
              <w:rPr>
                <w:color w:val="000000"/>
              </w:rPr>
              <w:t xml:space="preserve"> uhlovodíky</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PCB</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Polychlorované bifenyly</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PM</w:t>
            </w:r>
            <w:r>
              <w:rPr>
                <w:b/>
                <w:bCs/>
                <w:color w:val="000000"/>
                <w:vertAlign w:val="subscript"/>
              </w:rPr>
              <w:t>10</w:t>
            </w:r>
            <w:r>
              <w:rPr>
                <w:b/>
                <w:bCs/>
                <w:color w:val="000000"/>
              </w:rPr>
              <w:t xml:space="preserve"> , PM</w:t>
            </w:r>
            <w:r>
              <w:rPr>
                <w:b/>
                <w:bCs/>
                <w:color w:val="000000"/>
                <w:vertAlign w:val="subscript"/>
              </w:rPr>
              <w:t>2,5</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Polétavý prach</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PO</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Prioritní osa</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POH ČR</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Plán odpadového hospodářství ČR</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POP´s</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Perzistentní organické znečišťující látky</w:t>
            </w:r>
          </w:p>
        </w:tc>
      </w:tr>
      <w:tr w:rsidR="00530FAE" w:rsidRPr="00FE0D2C" w:rsidTr="00E432B0">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PRV</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Program rozvoje venkova</w:t>
            </w:r>
          </w:p>
        </w:tc>
      </w:tr>
      <w:tr w:rsidR="00530FAE" w:rsidRPr="00FE0D2C" w:rsidTr="00E432B0">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PS</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Pracovní skupina</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PÚ</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Pozemkové úpravy</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Q100</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Území zaplavované při stoleté vodě</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REACH</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Registrace, Evaluace a Autorizace Chemických látek</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Rio+20</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Světový summit o trvale udržitelném rozvoji</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ŘO</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Řídící orgán</w:t>
            </w:r>
          </w:p>
        </w:tc>
      </w:tr>
      <w:tr w:rsidR="00530FAE" w:rsidRPr="00FE0D2C" w:rsidTr="00E432B0">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SDO</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Souhrn doporučených opatření</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SEA</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Posuzování vlivů koncepcí na životní prostředí</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SFŽP ČR</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Státní fond životního prostředí ČR</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SKO</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Směsný komunální odpad</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SO</w:t>
            </w:r>
            <w:r>
              <w:rPr>
                <w:b/>
                <w:bCs/>
                <w:color w:val="000000"/>
                <w:vertAlign w:val="subscript"/>
              </w:rPr>
              <w:t>2</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Oxid siřičitý</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SSR</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Společný strategický rámec</w:t>
            </w:r>
          </w:p>
        </w:tc>
      </w:tr>
      <w:tr w:rsidR="00530FAE" w:rsidRPr="00FE0D2C" w:rsidTr="00E432B0">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SW</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Software</w:t>
            </w:r>
          </w:p>
        </w:tc>
      </w:tr>
      <w:tr w:rsidR="00530FAE" w:rsidRPr="00FE0D2C" w:rsidTr="00F625C4">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SZÚ</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Státní zdravotní ústav</w:t>
            </w:r>
          </w:p>
        </w:tc>
      </w:tr>
      <w:tr w:rsidR="00530FAE" w:rsidRPr="00FE0D2C" w:rsidTr="00F625C4">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lastRenderedPageBreak/>
              <w:t>TZL</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Tuhé znečišťující látky</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ÚOHS</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Úřad pro ochranu hospodářské soutěže</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ÚSES</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Územní systém ekologické stability</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VOC</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Těkavé organické látky</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VÚV T.</w:t>
            </w:r>
            <w:r w:rsidR="000F2740">
              <w:rPr>
                <w:b/>
                <w:bCs/>
                <w:color w:val="000000"/>
              </w:rPr>
              <w:t xml:space="preserve"> </w:t>
            </w:r>
            <w:r>
              <w:rPr>
                <w:b/>
                <w:bCs/>
                <w:color w:val="000000"/>
              </w:rPr>
              <w:t>G.</w:t>
            </w:r>
            <w:r w:rsidR="000F2740">
              <w:rPr>
                <w:b/>
                <w:bCs/>
                <w:color w:val="000000"/>
              </w:rPr>
              <w:t xml:space="preserve"> </w:t>
            </w:r>
            <w:r>
              <w:rPr>
                <w:b/>
                <w:bCs/>
                <w:color w:val="000000"/>
              </w:rPr>
              <w:t>M.</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Výzkumný ústav vodohospodářský T.</w:t>
            </w:r>
            <w:r w:rsidR="00075FA1">
              <w:rPr>
                <w:color w:val="000000"/>
              </w:rPr>
              <w:t xml:space="preserve"> </w:t>
            </w:r>
            <w:r>
              <w:rPr>
                <w:color w:val="000000"/>
              </w:rPr>
              <w:t>G. Masaryka</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VVI</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Veřejné výzkumné instituce</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proofErr w:type="spellStart"/>
            <w:r>
              <w:rPr>
                <w:b/>
                <w:bCs/>
                <w:color w:val="000000"/>
              </w:rPr>
              <w:t>WaM</w:t>
            </w:r>
            <w:proofErr w:type="spellEnd"/>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Scénáře s dodatečnými opatřeními</w:t>
            </w:r>
            <w:r>
              <w:rPr>
                <w:color w:val="000000"/>
                <w:sz w:val="16"/>
                <w:szCs w:val="16"/>
              </w:rPr>
              <w:t> </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WHO</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Světová zdravotnická organizace</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WM</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Scénáře s opatřením</w:t>
            </w:r>
            <w:r>
              <w:rPr>
                <w:color w:val="000000"/>
                <w:sz w:val="16"/>
                <w:szCs w:val="16"/>
              </w:rPr>
              <w:t> </w:t>
            </w:r>
          </w:p>
        </w:tc>
      </w:tr>
      <w:tr w:rsidR="00530FAE" w:rsidRPr="00FE0D2C" w:rsidTr="00E432B0">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ZEVO</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rFonts w:ascii="Calibri" w:hAnsi="Calibri"/>
                <w:color w:val="000000"/>
              </w:rPr>
            </w:pPr>
            <w:r>
              <w:rPr>
                <w:rFonts w:ascii="Calibri" w:hAnsi="Calibri"/>
                <w:color w:val="000000"/>
              </w:rPr>
              <w:t> </w:t>
            </w:r>
            <w:r w:rsidR="00CA1276">
              <w:t>Zařízení k energetickému využití odpadů</w:t>
            </w:r>
          </w:p>
        </w:tc>
      </w:tr>
      <w:tr w:rsidR="00530FAE" w:rsidRPr="00FE0D2C" w:rsidTr="00562CA9">
        <w:trPr>
          <w:trHeight w:val="40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0FAE" w:rsidRDefault="00530FAE">
            <w:pPr>
              <w:rPr>
                <w:b/>
                <w:bCs/>
                <w:color w:val="000000"/>
              </w:rPr>
            </w:pPr>
            <w:r>
              <w:rPr>
                <w:b/>
                <w:bCs/>
                <w:color w:val="000000"/>
              </w:rPr>
              <w:t>ZCHÚ</w:t>
            </w:r>
          </w:p>
        </w:tc>
        <w:tc>
          <w:tcPr>
            <w:tcW w:w="7087" w:type="dxa"/>
            <w:tcBorders>
              <w:top w:val="nil"/>
              <w:left w:val="nil"/>
              <w:bottom w:val="single" w:sz="4" w:space="0" w:color="auto"/>
              <w:right w:val="single" w:sz="4" w:space="0" w:color="auto"/>
            </w:tcBorders>
            <w:shd w:val="clear" w:color="auto" w:fill="auto"/>
            <w:vAlign w:val="bottom"/>
            <w:hideMark/>
          </w:tcPr>
          <w:p w:rsidR="00530FAE" w:rsidRDefault="00530FAE">
            <w:pPr>
              <w:rPr>
                <w:color w:val="000000"/>
              </w:rPr>
            </w:pPr>
            <w:r>
              <w:rPr>
                <w:color w:val="000000"/>
              </w:rPr>
              <w:t>Zvláště chráněná území</w:t>
            </w:r>
          </w:p>
        </w:tc>
      </w:tr>
      <w:tr w:rsidR="00562CA9" w:rsidRPr="00FE0D2C" w:rsidTr="00562CA9">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CA9" w:rsidRDefault="00562CA9">
            <w:pPr>
              <w:rPr>
                <w:b/>
                <w:bCs/>
                <w:color w:val="000000"/>
              </w:rPr>
            </w:pPr>
            <w:r>
              <w:rPr>
                <w:b/>
                <w:bCs/>
                <w:color w:val="000000"/>
              </w:rPr>
              <w:t>ŽP</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562CA9" w:rsidRDefault="00562CA9">
            <w:pPr>
              <w:rPr>
                <w:color w:val="000000"/>
              </w:rPr>
            </w:pPr>
            <w:r>
              <w:rPr>
                <w:color w:val="000000"/>
              </w:rPr>
              <w:t>Životní prostředí</w:t>
            </w:r>
          </w:p>
        </w:tc>
      </w:tr>
    </w:tbl>
    <w:p w:rsidR="00F625C4" w:rsidRDefault="00F625C4" w:rsidP="00F13D8A"/>
    <w:p w:rsidR="00F625C4" w:rsidRDefault="00F625C4" w:rsidP="00F625C4"/>
    <w:p w:rsidR="00F625C4" w:rsidRDefault="00F625C4" w:rsidP="00F625C4"/>
    <w:p w:rsidR="00F625C4" w:rsidRDefault="00F625C4" w:rsidP="00F625C4"/>
    <w:p w:rsidR="00F625C4" w:rsidRDefault="00F625C4" w:rsidP="00F625C4"/>
    <w:p w:rsidR="00F625C4" w:rsidRDefault="00F625C4" w:rsidP="00F625C4"/>
    <w:p w:rsidR="00F625C4" w:rsidRDefault="00F625C4" w:rsidP="00F625C4"/>
    <w:p w:rsidR="00F625C4" w:rsidRDefault="00F625C4" w:rsidP="00F625C4"/>
    <w:p w:rsidR="00F625C4" w:rsidRPr="00F625C4" w:rsidRDefault="00F625C4" w:rsidP="00F625C4"/>
    <w:p w:rsidR="00F625C4" w:rsidRDefault="00F625C4" w:rsidP="00F625C4"/>
    <w:p w:rsidR="00F625C4" w:rsidRDefault="00F625C4" w:rsidP="00F625C4"/>
    <w:p w:rsidR="00F13D8A" w:rsidRPr="00F625C4" w:rsidRDefault="00F13D8A" w:rsidP="00F625C4"/>
    <w:p w:rsidR="00901C83" w:rsidRPr="004314F4" w:rsidRDefault="00273E5C" w:rsidP="00B401D6">
      <w:pPr>
        <w:pStyle w:val="Nadpis1"/>
      </w:pPr>
      <w:bookmarkStart w:id="3499" w:name="_Toc392151101"/>
      <w:r>
        <w:lastRenderedPageBreak/>
        <w:t>Samostatné prvky</w:t>
      </w:r>
      <w:bookmarkEnd w:id="3497"/>
      <w:bookmarkEnd w:id="3499"/>
    </w:p>
    <w:p w:rsidR="00674BC9" w:rsidRDefault="00901C83">
      <w:pPr>
        <w:pStyle w:val="Nadpis2"/>
      </w:pPr>
      <w:bookmarkStart w:id="3500" w:name="_Toc351472169"/>
      <w:r w:rsidRPr="0072263D">
        <w:t xml:space="preserve"> </w:t>
      </w:r>
      <w:bookmarkEnd w:id="3500"/>
      <w:r w:rsidR="00273E5C">
        <w:t xml:space="preserve"> </w:t>
      </w:r>
      <w:bookmarkStart w:id="3501" w:name="_Toc392151102"/>
      <w:r w:rsidR="00273E5C">
        <w:t>Velké projekty, které mají být během programového období realizovány</w:t>
      </w:r>
      <w:bookmarkEnd w:id="3501"/>
    </w:p>
    <w:p w:rsidR="00674BC9" w:rsidRDefault="00273E5C">
      <w:pPr>
        <w:pStyle w:val="Titulek"/>
      </w:pPr>
      <w:r>
        <w:t>Seznam velkých projektů</w:t>
      </w:r>
    </w:p>
    <w:tbl>
      <w:tblPr>
        <w:tblStyle w:val="Mkatabulky"/>
        <w:tblW w:w="8364" w:type="dxa"/>
        <w:tblInd w:w="108" w:type="dxa"/>
        <w:tblLayout w:type="fixed"/>
        <w:tblLook w:val="04A0" w:firstRow="1" w:lastRow="0" w:firstColumn="1" w:lastColumn="0" w:noHBand="0" w:noVBand="1"/>
      </w:tblPr>
      <w:tblGrid>
        <w:gridCol w:w="1645"/>
        <w:gridCol w:w="1332"/>
        <w:gridCol w:w="1418"/>
        <w:gridCol w:w="1701"/>
        <w:gridCol w:w="2268"/>
      </w:tblGrid>
      <w:tr w:rsidR="00037989" w:rsidRPr="00E31C87" w:rsidTr="00F625C4">
        <w:tc>
          <w:tcPr>
            <w:tcW w:w="1645" w:type="dxa"/>
            <w:shd w:val="clear" w:color="auto" w:fill="BFBFBF" w:themeFill="background1" w:themeFillShade="BF"/>
          </w:tcPr>
          <w:p w:rsidR="00037989" w:rsidRPr="00E31C87" w:rsidRDefault="00037989" w:rsidP="00B66FDE">
            <w:pPr>
              <w:rPr>
                <w:rFonts w:cstheme="minorHAnsi"/>
                <w:b/>
                <w:sz w:val="20"/>
                <w:szCs w:val="20"/>
              </w:rPr>
            </w:pPr>
            <w:r>
              <w:rPr>
                <w:rFonts w:cstheme="minorHAnsi"/>
                <w:b/>
                <w:sz w:val="20"/>
                <w:szCs w:val="20"/>
              </w:rPr>
              <w:t>Projekt</w:t>
            </w:r>
          </w:p>
        </w:tc>
        <w:tc>
          <w:tcPr>
            <w:tcW w:w="1332" w:type="dxa"/>
            <w:shd w:val="clear" w:color="auto" w:fill="BFBFBF" w:themeFill="background1" w:themeFillShade="BF"/>
          </w:tcPr>
          <w:p w:rsidR="00037989" w:rsidRPr="00E31C87" w:rsidRDefault="00037989" w:rsidP="00273E5C">
            <w:pPr>
              <w:rPr>
                <w:rFonts w:cstheme="minorHAnsi"/>
                <w:b/>
                <w:sz w:val="20"/>
                <w:szCs w:val="20"/>
              </w:rPr>
            </w:pPr>
            <w:r w:rsidRPr="00E31C87">
              <w:rPr>
                <w:rFonts w:cstheme="minorHAnsi"/>
                <w:b/>
                <w:sz w:val="20"/>
                <w:szCs w:val="20"/>
              </w:rPr>
              <w:t>Plánovan</w:t>
            </w:r>
            <w:r>
              <w:rPr>
                <w:rFonts w:cstheme="minorHAnsi"/>
                <w:b/>
                <w:sz w:val="20"/>
                <w:szCs w:val="20"/>
              </w:rPr>
              <w:t>é datum oznámení/podání žádosti</w:t>
            </w:r>
            <w:r w:rsidRPr="00E31C87" w:rsidDel="00273E5C">
              <w:rPr>
                <w:rFonts w:cstheme="minorHAnsi"/>
                <w:b/>
                <w:sz w:val="20"/>
                <w:szCs w:val="20"/>
              </w:rPr>
              <w:t xml:space="preserve"> </w:t>
            </w:r>
            <w:r w:rsidRPr="00E31C87">
              <w:rPr>
                <w:rFonts w:cstheme="minorHAnsi"/>
                <w:b/>
                <w:sz w:val="20"/>
                <w:szCs w:val="20"/>
              </w:rPr>
              <w:t>(rok, čtvrtletí)</w:t>
            </w:r>
          </w:p>
        </w:tc>
        <w:tc>
          <w:tcPr>
            <w:tcW w:w="1418" w:type="dxa"/>
            <w:shd w:val="clear" w:color="auto" w:fill="BFBFBF" w:themeFill="background1" w:themeFillShade="BF"/>
          </w:tcPr>
          <w:p w:rsidR="00037989" w:rsidRPr="00E31C87" w:rsidRDefault="00037989" w:rsidP="00B66FDE">
            <w:pPr>
              <w:rPr>
                <w:rFonts w:cstheme="minorHAnsi"/>
                <w:b/>
                <w:sz w:val="20"/>
                <w:szCs w:val="20"/>
              </w:rPr>
            </w:pPr>
            <w:r w:rsidRPr="00E31C87">
              <w:rPr>
                <w:rFonts w:cstheme="minorHAnsi"/>
                <w:b/>
                <w:sz w:val="20"/>
                <w:szCs w:val="20"/>
              </w:rPr>
              <w:t>Plánovan</w:t>
            </w:r>
            <w:r>
              <w:rPr>
                <w:rFonts w:cstheme="minorHAnsi"/>
                <w:b/>
                <w:sz w:val="20"/>
                <w:szCs w:val="20"/>
              </w:rPr>
              <w:t xml:space="preserve">ý začátek realizace </w:t>
            </w:r>
            <w:r w:rsidRPr="00E31C87">
              <w:rPr>
                <w:rFonts w:cstheme="minorHAnsi"/>
                <w:b/>
                <w:sz w:val="20"/>
                <w:szCs w:val="20"/>
              </w:rPr>
              <w:t xml:space="preserve"> </w:t>
            </w:r>
          </w:p>
          <w:p w:rsidR="00037989" w:rsidRPr="00E31C87" w:rsidRDefault="00037989" w:rsidP="00B66FDE">
            <w:pPr>
              <w:rPr>
                <w:rFonts w:cstheme="minorHAnsi"/>
                <w:b/>
                <w:sz w:val="20"/>
                <w:szCs w:val="20"/>
              </w:rPr>
            </w:pPr>
            <w:r w:rsidRPr="00E31C87">
              <w:rPr>
                <w:rFonts w:cstheme="minorHAnsi"/>
                <w:b/>
                <w:sz w:val="20"/>
                <w:szCs w:val="20"/>
              </w:rPr>
              <w:t>(rok, čtvrtletí)</w:t>
            </w:r>
          </w:p>
        </w:tc>
        <w:tc>
          <w:tcPr>
            <w:tcW w:w="1701" w:type="dxa"/>
            <w:shd w:val="clear" w:color="auto" w:fill="BFBFBF" w:themeFill="background1" w:themeFillShade="BF"/>
          </w:tcPr>
          <w:p w:rsidR="00037989" w:rsidRPr="00E31C87" w:rsidRDefault="00037989" w:rsidP="00B66FDE">
            <w:pPr>
              <w:rPr>
                <w:rFonts w:cstheme="minorHAnsi"/>
                <w:b/>
                <w:sz w:val="20"/>
                <w:szCs w:val="20"/>
              </w:rPr>
            </w:pPr>
            <w:r w:rsidRPr="00E31C87">
              <w:rPr>
                <w:rFonts w:cstheme="minorHAnsi"/>
                <w:b/>
                <w:sz w:val="20"/>
                <w:szCs w:val="20"/>
              </w:rPr>
              <w:t xml:space="preserve">Plánované datum </w:t>
            </w:r>
            <w:proofErr w:type="gramStart"/>
            <w:r>
              <w:rPr>
                <w:rFonts w:cstheme="minorHAnsi"/>
                <w:b/>
                <w:sz w:val="20"/>
                <w:szCs w:val="20"/>
              </w:rPr>
              <w:t>do</w:t>
            </w:r>
            <w:r w:rsidRPr="00E31C87">
              <w:rPr>
                <w:rFonts w:cstheme="minorHAnsi"/>
                <w:b/>
                <w:sz w:val="20"/>
                <w:szCs w:val="20"/>
              </w:rPr>
              <w:t xml:space="preserve">končení </w:t>
            </w:r>
            <w:r>
              <w:rPr>
                <w:rFonts w:cstheme="minorHAnsi"/>
                <w:b/>
                <w:sz w:val="20"/>
                <w:szCs w:val="20"/>
              </w:rPr>
              <w:t xml:space="preserve"> realizace</w:t>
            </w:r>
            <w:proofErr w:type="gramEnd"/>
          </w:p>
          <w:p w:rsidR="00037989" w:rsidRPr="00E31C87" w:rsidRDefault="00037989" w:rsidP="00B66FDE">
            <w:pPr>
              <w:rPr>
                <w:rFonts w:cstheme="minorHAnsi"/>
                <w:b/>
                <w:sz w:val="20"/>
                <w:szCs w:val="20"/>
              </w:rPr>
            </w:pPr>
            <w:r w:rsidRPr="00E31C87">
              <w:rPr>
                <w:rFonts w:cstheme="minorHAnsi"/>
                <w:b/>
                <w:sz w:val="20"/>
                <w:szCs w:val="20"/>
              </w:rPr>
              <w:t>(rok, čtvrtletí)</w:t>
            </w:r>
          </w:p>
        </w:tc>
        <w:tc>
          <w:tcPr>
            <w:tcW w:w="2268" w:type="dxa"/>
            <w:shd w:val="clear" w:color="auto" w:fill="BFBFBF" w:themeFill="background1" w:themeFillShade="BF"/>
          </w:tcPr>
          <w:p w:rsidR="00037989" w:rsidRDefault="00037989" w:rsidP="00B66FDE">
            <w:pPr>
              <w:rPr>
                <w:rFonts w:cstheme="minorHAnsi"/>
                <w:b/>
                <w:sz w:val="20"/>
                <w:szCs w:val="20"/>
              </w:rPr>
            </w:pPr>
            <w:r>
              <w:rPr>
                <w:rFonts w:cstheme="minorHAnsi"/>
                <w:b/>
                <w:sz w:val="20"/>
                <w:szCs w:val="20"/>
              </w:rPr>
              <w:t>Prioritní osy/ i</w:t>
            </w:r>
            <w:r w:rsidRPr="00E31C87">
              <w:rPr>
                <w:rFonts w:cstheme="minorHAnsi"/>
                <w:b/>
                <w:sz w:val="20"/>
                <w:szCs w:val="20"/>
              </w:rPr>
              <w:t>nvestiční priorit</w:t>
            </w:r>
            <w:r>
              <w:rPr>
                <w:rFonts w:cstheme="minorHAnsi"/>
                <w:b/>
                <w:sz w:val="20"/>
                <w:szCs w:val="20"/>
              </w:rPr>
              <w:t>y</w:t>
            </w:r>
          </w:p>
          <w:p w:rsidR="00037989" w:rsidRPr="00E31C87" w:rsidRDefault="00037989" w:rsidP="00B66FDE">
            <w:pPr>
              <w:rPr>
                <w:rFonts w:cstheme="minorHAnsi"/>
                <w:b/>
                <w:sz w:val="20"/>
                <w:szCs w:val="20"/>
              </w:rPr>
            </w:pPr>
          </w:p>
        </w:tc>
      </w:tr>
      <w:tr w:rsidR="00037989" w:rsidRPr="00E31C87" w:rsidTr="00F625C4">
        <w:tc>
          <w:tcPr>
            <w:tcW w:w="1645" w:type="dxa"/>
          </w:tcPr>
          <w:p w:rsidR="00037989" w:rsidRPr="00E31C87" w:rsidRDefault="00037989" w:rsidP="00B66FDE">
            <w:pPr>
              <w:rPr>
                <w:rFonts w:cstheme="minorHAnsi"/>
                <w:sz w:val="20"/>
                <w:szCs w:val="20"/>
              </w:rPr>
            </w:pPr>
            <w:r w:rsidRPr="00E31C87">
              <w:rPr>
                <w:sz w:val="20"/>
                <w:szCs w:val="20"/>
              </w:rPr>
              <w:t>EVO Komořany</w:t>
            </w:r>
          </w:p>
        </w:tc>
        <w:tc>
          <w:tcPr>
            <w:tcW w:w="1332" w:type="dxa"/>
          </w:tcPr>
          <w:p w:rsidR="00037989" w:rsidRPr="00E31C87" w:rsidRDefault="00D36897" w:rsidP="00B66FDE">
            <w:pPr>
              <w:rPr>
                <w:rFonts w:cstheme="minorHAnsi"/>
                <w:sz w:val="20"/>
                <w:szCs w:val="20"/>
              </w:rPr>
            </w:pPr>
            <w:r>
              <w:rPr>
                <w:rFonts w:cstheme="minorHAnsi"/>
                <w:sz w:val="20"/>
                <w:szCs w:val="20"/>
              </w:rPr>
              <w:t>2016 4Q</w:t>
            </w:r>
          </w:p>
        </w:tc>
        <w:tc>
          <w:tcPr>
            <w:tcW w:w="1418" w:type="dxa"/>
          </w:tcPr>
          <w:p w:rsidR="00037989" w:rsidRPr="00E31C87" w:rsidRDefault="00D36897" w:rsidP="00B66FDE">
            <w:pPr>
              <w:rPr>
                <w:rFonts w:cstheme="minorHAnsi"/>
                <w:sz w:val="20"/>
                <w:szCs w:val="20"/>
              </w:rPr>
            </w:pPr>
            <w:r>
              <w:rPr>
                <w:rFonts w:cstheme="minorHAnsi"/>
                <w:sz w:val="20"/>
                <w:szCs w:val="20"/>
              </w:rPr>
              <w:t xml:space="preserve">2017 4Q </w:t>
            </w:r>
          </w:p>
        </w:tc>
        <w:tc>
          <w:tcPr>
            <w:tcW w:w="1701" w:type="dxa"/>
          </w:tcPr>
          <w:p w:rsidR="00037989" w:rsidRPr="00E31C87" w:rsidRDefault="00D36897" w:rsidP="00B66FDE">
            <w:pPr>
              <w:rPr>
                <w:rFonts w:cstheme="minorHAnsi"/>
                <w:sz w:val="20"/>
                <w:szCs w:val="20"/>
              </w:rPr>
            </w:pPr>
            <w:r>
              <w:rPr>
                <w:rFonts w:cstheme="minorHAnsi"/>
                <w:sz w:val="20"/>
                <w:szCs w:val="20"/>
              </w:rPr>
              <w:t>2019, 4Q</w:t>
            </w:r>
          </w:p>
        </w:tc>
        <w:tc>
          <w:tcPr>
            <w:tcW w:w="2268" w:type="dxa"/>
          </w:tcPr>
          <w:p w:rsidR="00037989" w:rsidRPr="00E31C87" w:rsidRDefault="00037989" w:rsidP="00786440">
            <w:pPr>
              <w:rPr>
                <w:rFonts w:cstheme="minorHAnsi"/>
                <w:sz w:val="20"/>
                <w:szCs w:val="20"/>
              </w:rPr>
            </w:pPr>
            <w:r w:rsidRPr="00E31C87">
              <w:rPr>
                <w:rFonts w:cstheme="minorHAnsi"/>
                <w:sz w:val="20"/>
                <w:szCs w:val="20"/>
              </w:rPr>
              <w:t>Prioritní osa 3</w:t>
            </w:r>
            <w:r>
              <w:rPr>
                <w:rFonts w:cstheme="minorHAnsi"/>
                <w:sz w:val="20"/>
                <w:szCs w:val="20"/>
              </w:rPr>
              <w:t>/</w:t>
            </w:r>
            <w:r w:rsidR="00786440">
              <w:rPr>
                <w:rFonts w:cstheme="minorHAnsi"/>
                <w:sz w:val="20"/>
                <w:szCs w:val="20"/>
              </w:rPr>
              <w:t xml:space="preserve"> Zachování a ochrana životního prostředí a podporování účinného využívání zdrojů </w:t>
            </w:r>
            <w:r w:rsidR="00786440">
              <w:rPr>
                <w:sz w:val="20"/>
                <w:szCs w:val="20"/>
              </w:rPr>
              <w:t>i</w:t>
            </w:r>
            <w:r w:rsidRPr="00E31C87">
              <w:rPr>
                <w:sz w:val="20"/>
                <w:szCs w:val="20"/>
              </w:rPr>
              <w:t>nvestice</w:t>
            </w:r>
            <w:r w:rsidR="00786440">
              <w:rPr>
                <w:sz w:val="20"/>
                <w:szCs w:val="20"/>
              </w:rPr>
              <w:t>mi</w:t>
            </w:r>
            <w:r w:rsidRPr="00E31C87">
              <w:rPr>
                <w:sz w:val="20"/>
                <w:szCs w:val="20"/>
              </w:rPr>
              <w:t xml:space="preserve"> do odpadového hospodářství s cílem plnit požadavky </w:t>
            </w:r>
            <w:proofErr w:type="spellStart"/>
            <w:r w:rsidR="0033290F" w:rsidRPr="0033290F">
              <w:rPr>
                <w:i/>
                <w:sz w:val="20"/>
                <w:szCs w:val="20"/>
              </w:rPr>
              <w:t>acquis</w:t>
            </w:r>
            <w:proofErr w:type="spellEnd"/>
            <w:r w:rsidR="0033290F" w:rsidRPr="0033290F">
              <w:rPr>
                <w:i/>
                <w:sz w:val="20"/>
                <w:szCs w:val="20"/>
              </w:rPr>
              <w:t xml:space="preserve"> </w:t>
            </w:r>
            <w:r w:rsidRPr="00E31C87">
              <w:rPr>
                <w:sz w:val="20"/>
                <w:szCs w:val="20"/>
              </w:rPr>
              <w:t>Unie v oblasti životního prostředí a řešením potřeb investic, které podle zjištění členských států přesahují rámec těchto požadavků</w:t>
            </w:r>
            <w:r w:rsidR="00786440">
              <w:rPr>
                <w:sz w:val="20"/>
                <w:szCs w:val="20"/>
              </w:rPr>
              <w:t xml:space="preserve"> (Dle Nařízení Evropského Parlamentu a Rady č. 1301/2013, čl. 5 odst. 6 písm. a))</w:t>
            </w:r>
          </w:p>
        </w:tc>
      </w:tr>
      <w:tr w:rsidR="006D3284" w:rsidRPr="00E31C87" w:rsidTr="00F625C4">
        <w:tc>
          <w:tcPr>
            <w:tcW w:w="1645" w:type="dxa"/>
          </w:tcPr>
          <w:p w:rsidR="006D3284" w:rsidRPr="00E31C87" w:rsidRDefault="006D3284" w:rsidP="00B66FDE">
            <w:pPr>
              <w:rPr>
                <w:rFonts w:cstheme="minorHAnsi"/>
                <w:sz w:val="20"/>
                <w:szCs w:val="20"/>
              </w:rPr>
            </w:pPr>
            <w:r w:rsidRPr="00E31C87">
              <w:rPr>
                <w:sz w:val="20"/>
                <w:szCs w:val="20"/>
              </w:rPr>
              <w:t>KIC – krajské integrované centrum využití komunálních odpadů</w:t>
            </w:r>
          </w:p>
        </w:tc>
        <w:tc>
          <w:tcPr>
            <w:tcW w:w="1332" w:type="dxa"/>
          </w:tcPr>
          <w:p w:rsidR="006D3284" w:rsidRPr="00E31C87" w:rsidRDefault="006D3284" w:rsidP="00B66FDE">
            <w:pPr>
              <w:rPr>
                <w:rFonts w:cstheme="minorHAnsi"/>
                <w:sz w:val="20"/>
                <w:szCs w:val="20"/>
              </w:rPr>
            </w:pPr>
            <w:r>
              <w:rPr>
                <w:rFonts w:cstheme="minorHAnsi"/>
                <w:sz w:val="20"/>
                <w:szCs w:val="20"/>
              </w:rPr>
              <w:t>2017, 4Q</w:t>
            </w:r>
          </w:p>
        </w:tc>
        <w:tc>
          <w:tcPr>
            <w:tcW w:w="1418" w:type="dxa"/>
          </w:tcPr>
          <w:p w:rsidR="006D3284" w:rsidRPr="00E31C87" w:rsidRDefault="006D3284" w:rsidP="00B66FDE">
            <w:pPr>
              <w:rPr>
                <w:rFonts w:cstheme="minorHAnsi"/>
                <w:sz w:val="20"/>
                <w:szCs w:val="20"/>
              </w:rPr>
            </w:pPr>
            <w:r>
              <w:rPr>
                <w:rFonts w:cstheme="minorHAnsi"/>
                <w:sz w:val="20"/>
                <w:szCs w:val="20"/>
              </w:rPr>
              <w:t>2019, 1Q</w:t>
            </w:r>
          </w:p>
        </w:tc>
        <w:tc>
          <w:tcPr>
            <w:tcW w:w="1701" w:type="dxa"/>
          </w:tcPr>
          <w:p w:rsidR="006D3284" w:rsidRPr="00E31C87" w:rsidRDefault="006D3284" w:rsidP="00B66FDE">
            <w:pPr>
              <w:rPr>
                <w:rFonts w:cstheme="minorHAnsi"/>
                <w:sz w:val="20"/>
                <w:szCs w:val="20"/>
              </w:rPr>
            </w:pPr>
            <w:r>
              <w:rPr>
                <w:rFonts w:cstheme="minorHAnsi"/>
                <w:sz w:val="20"/>
                <w:szCs w:val="20"/>
              </w:rPr>
              <w:t>2021, 4Q</w:t>
            </w:r>
          </w:p>
        </w:tc>
        <w:tc>
          <w:tcPr>
            <w:tcW w:w="2268" w:type="dxa"/>
          </w:tcPr>
          <w:p w:rsidR="006D3284" w:rsidRPr="00E31C87" w:rsidRDefault="006D3284" w:rsidP="00786440">
            <w:pPr>
              <w:rPr>
                <w:rFonts w:cstheme="minorHAnsi"/>
                <w:sz w:val="20"/>
                <w:szCs w:val="20"/>
              </w:rPr>
            </w:pPr>
            <w:r w:rsidRPr="00E31C87">
              <w:rPr>
                <w:rFonts w:cstheme="minorHAnsi"/>
                <w:sz w:val="20"/>
                <w:szCs w:val="20"/>
              </w:rPr>
              <w:t>Prioritní osa 3</w:t>
            </w:r>
            <w:r>
              <w:rPr>
                <w:rFonts w:cstheme="minorHAnsi"/>
                <w:sz w:val="20"/>
                <w:szCs w:val="20"/>
              </w:rPr>
              <w:t xml:space="preserve">/ Zachování a ochrana životního prostředí a podporování účinného využívání zdrojů </w:t>
            </w:r>
            <w:r>
              <w:rPr>
                <w:sz w:val="20"/>
                <w:szCs w:val="20"/>
              </w:rPr>
              <w:t>i</w:t>
            </w:r>
            <w:r w:rsidRPr="00E31C87">
              <w:rPr>
                <w:sz w:val="20"/>
                <w:szCs w:val="20"/>
              </w:rPr>
              <w:t>nvestice</w:t>
            </w:r>
            <w:r>
              <w:rPr>
                <w:sz w:val="20"/>
                <w:szCs w:val="20"/>
              </w:rPr>
              <w:t>mi</w:t>
            </w:r>
            <w:r w:rsidRPr="00E31C87">
              <w:rPr>
                <w:sz w:val="20"/>
                <w:szCs w:val="20"/>
              </w:rPr>
              <w:t xml:space="preserve"> do odpadového hospodářství s cílem plnit požadavky </w:t>
            </w:r>
            <w:proofErr w:type="spellStart"/>
            <w:r w:rsidR="0033290F" w:rsidRPr="0033290F">
              <w:rPr>
                <w:i/>
                <w:sz w:val="20"/>
                <w:szCs w:val="20"/>
              </w:rPr>
              <w:t>acquis</w:t>
            </w:r>
            <w:proofErr w:type="spellEnd"/>
            <w:r w:rsidR="0033290F" w:rsidRPr="0033290F">
              <w:rPr>
                <w:i/>
                <w:sz w:val="20"/>
                <w:szCs w:val="20"/>
              </w:rPr>
              <w:t xml:space="preserve"> </w:t>
            </w:r>
            <w:r w:rsidRPr="00E31C87">
              <w:rPr>
                <w:sz w:val="20"/>
                <w:szCs w:val="20"/>
              </w:rPr>
              <w:t>Unie v oblasti životního prostředí a řešením potřeb investic, které podle zjištění členských států přesahují rámec těchto požadavků</w:t>
            </w:r>
            <w:r>
              <w:rPr>
                <w:sz w:val="20"/>
                <w:szCs w:val="20"/>
              </w:rPr>
              <w:t xml:space="preserve"> (Dle Nařízení Evropského Parlamentu a Rady č. 1301/2013, čl. 5 odst. 6 písm. a))</w:t>
            </w:r>
          </w:p>
        </w:tc>
      </w:tr>
    </w:tbl>
    <w:p w:rsidR="001D2383" w:rsidRDefault="001D2383" w:rsidP="00B66FDE">
      <w:pPr>
        <w:rPr>
          <w:rFonts w:asciiTheme="majorHAnsi" w:hAnsiTheme="majorHAnsi"/>
          <w:b/>
          <w:bCs/>
          <w:color w:val="76923C" w:themeColor="accent3" w:themeShade="BF"/>
          <w:sz w:val="28"/>
          <w:szCs w:val="26"/>
        </w:rPr>
      </w:pPr>
      <w:bookmarkStart w:id="3502" w:name="_Toc351472170"/>
    </w:p>
    <w:p w:rsidR="00674BC9" w:rsidRDefault="00674BC9"/>
    <w:p w:rsidR="00674BC9" w:rsidRDefault="00901C83">
      <w:pPr>
        <w:pStyle w:val="Nadpis2"/>
      </w:pPr>
      <w:r w:rsidRPr="0072263D">
        <w:lastRenderedPageBreak/>
        <w:t xml:space="preserve"> </w:t>
      </w:r>
      <w:bookmarkStart w:id="3503" w:name="_Toc392151103"/>
      <w:r w:rsidRPr="0072263D">
        <w:t>Výkon</w:t>
      </w:r>
      <w:r w:rsidR="00837357" w:rsidRPr="0072263D">
        <w:t>n</w:t>
      </w:r>
      <w:r w:rsidRPr="0072263D">
        <w:t>ostní rámec</w:t>
      </w:r>
      <w:bookmarkEnd w:id="3502"/>
      <w:r w:rsidR="007627C7" w:rsidRPr="0072263D">
        <w:t xml:space="preserve"> </w:t>
      </w:r>
      <w:r w:rsidR="004C75A9">
        <w:t xml:space="preserve">pro </w:t>
      </w:r>
      <w:r w:rsidR="007627C7" w:rsidRPr="0072263D">
        <w:t>operační program</w:t>
      </w:r>
      <w:bookmarkEnd w:id="3503"/>
    </w:p>
    <w:p w:rsidR="00674BC9" w:rsidRDefault="004C75A9">
      <w:pPr>
        <w:pStyle w:val="Titulek"/>
      </w:pPr>
      <w:r>
        <w:t>Výkonnostní rámec operačního programu rozdělený podle fondu a kategorie regionu (shrnující tabulka)</w:t>
      </w:r>
    </w:p>
    <w:tbl>
      <w:tblPr>
        <w:tblStyle w:val="Mkatabulky"/>
        <w:tblW w:w="8789" w:type="dxa"/>
        <w:tblInd w:w="108" w:type="dxa"/>
        <w:tblLayout w:type="fixed"/>
        <w:tblLook w:val="04A0" w:firstRow="1" w:lastRow="0" w:firstColumn="1" w:lastColumn="0" w:noHBand="0" w:noVBand="1"/>
      </w:tblPr>
      <w:tblGrid>
        <w:gridCol w:w="1418"/>
        <w:gridCol w:w="850"/>
        <w:gridCol w:w="993"/>
        <w:gridCol w:w="1984"/>
        <w:gridCol w:w="1276"/>
        <w:gridCol w:w="992"/>
        <w:gridCol w:w="1276"/>
      </w:tblGrid>
      <w:tr w:rsidR="004C75A9" w:rsidRPr="00352092" w:rsidTr="004C75A9">
        <w:trPr>
          <w:trHeight w:val="1160"/>
        </w:trPr>
        <w:tc>
          <w:tcPr>
            <w:tcW w:w="1418" w:type="dxa"/>
            <w:tcBorders>
              <w:bottom w:val="single" w:sz="12" w:space="0" w:color="auto"/>
            </w:tcBorders>
            <w:shd w:val="clear" w:color="auto" w:fill="BFBFBF" w:themeFill="background1" w:themeFillShade="BF"/>
          </w:tcPr>
          <w:p w:rsidR="004C75A9" w:rsidRPr="00352092" w:rsidRDefault="004C75A9" w:rsidP="00B66FDE">
            <w:pPr>
              <w:rPr>
                <w:rFonts w:cstheme="minorHAnsi"/>
                <w:b/>
                <w:sz w:val="20"/>
                <w:szCs w:val="20"/>
              </w:rPr>
            </w:pPr>
            <w:r w:rsidRPr="00352092">
              <w:rPr>
                <w:rFonts w:cstheme="minorHAnsi"/>
                <w:b/>
                <w:sz w:val="20"/>
                <w:szCs w:val="20"/>
              </w:rPr>
              <w:t xml:space="preserve">Prioritní osa </w:t>
            </w:r>
          </w:p>
        </w:tc>
        <w:tc>
          <w:tcPr>
            <w:tcW w:w="850" w:type="dxa"/>
            <w:tcBorders>
              <w:bottom w:val="single" w:sz="12" w:space="0" w:color="auto"/>
            </w:tcBorders>
            <w:shd w:val="clear" w:color="auto" w:fill="BFBFBF" w:themeFill="background1" w:themeFillShade="BF"/>
          </w:tcPr>
          <w:p w:rsidR="004C75A9" w:rsidRDefault="004C75A9" w:rsidP="004C75A9">
            <w:pPr>
              <w:rPr>
                <w:rFonts w:cstheme="minorHAnsi"/>
                <w:b/>
                <w:sz w:val="20"/>
                <w:szCs w:val="20"/>
              </w:rPr>
            </w:pPr>
            <w:r>
              <w:rPr>
                <w:rFonts w:cstheme="minorHAnsi"/>
                <w:b/>
                <w:sz w:val="20"/>
                <w:szCs w:val="20"/>
              </w:rPr>
              <w:t>Fond</w:t>
            </w:r>
          </w:p>
        </w:tc>
        <w:tc>
          <w:tcPr>
            <w:tcW w:w="993" w:type="dxa"/>
            <w:tcBorders>
              <w:bottom w:val="single" w:sz="12" w:space="0" w:color="auto"/>
            </w:tcBorders>
            <w:shd w:val="clear" w:color="auto" w:fill="BFBFBF" w:themeFill="background1" w:themeFillShade="BF"/>
          </w:tcPr>
          <w:p w:rsidR="004C75A9" w:rsidRDefault="004C75A9" w:rsidP="004C75A9">
            <w:pPr>
              <w:rPr>
                <w:rFonts w:cstheme="minorHAnsi"/>
                <w:b/>
                <w:sz w:val="20"/>
                <w:szCs w:val="20"/>
              </w:rPr>
            </w:pPr>
            <w:r>
              <w:rPr>
                <w:rFonts w:cstheme="minorHAnsi"/>
                <w:b/>
                <w:sz w:val="20"/>
                <w:szCs w:val="20"/>
              </w:rPr>
              <w:t>Kategorie regionů</w:t>
            </w:r>
          </w:p>
        </w:tc>
        <w:tc>
          <w:tcPr>
            <w:tcW w:w="1984" w:type="dxa"/>
            <w:tcBorders>
              <w:bottom w:val="single" w:sz="12" w:space="0" w:color="auto"/>
            </w:tcBorders>
            <w:shd w:val="clear" w:color="auto" w:fill="BFBFBF" w:themeFill="background1" w:themeFillShade="BF"/>
          </w:tcPr>
          <w:p w:rsidR="004C75A9" w:rsidRPr="00352092" w:rsidRDefault="004C75A9" w:rsidP="004C75A9">
            <w:pPr>
              <w:rPr>
                <w:rFonts w:cstheme="minorHAnsi"/>
                <w:b/>
                <w:sz w:val="20"/>
                <w:szCs w:val="20"/>
              </w:rPr>
            </w:pPr>
            <w:r>
              <w:rPr>
                <w:rFonts w:cstheme="minorHAnsi"/>
                <w:b/>
                <w:sz w:val="20"/>
                <w:szCs w:val="20"/>
              </w:rPr>
              <w:t>Ukazatel nebo k</w:t>
            </w:r>
            <w:r w:rsidRPr="00352092">
              <w:rPr>
                <w:rFonts w:cstheme="minorHAnsi"/>
                <w:b/>
                <w:sz w:val="20"/>
                <w:szCs w:val="20"/>
              </w:rPr>
              <w:t xml:space="preserve">líčový krok </w:t>
            </w:r>
            <w:r>
              <w:rPr>
                <w:rFonts w:cstheme="minorHAnsi"/>
                <w:b/>
                <w:sz w:val="20"/>
                <w:szCs w:val="20"/>
              </w:rPr>
              <w:t>provádění</w:t>
            </w:r>
          </w:p>
        </w:tc>
        <w:tc>
          <w:tcPr>
            <w:tcW w:w="1276" w:type="dxa"/>
            <w:tcBorders>
              <w:bottom w:val="single" w:sz="12" w:space="0" w:color="auto"/>
            </w:tcBorders>
            <w:shd w:val="clear" w:color="auto" w:fill="BFBFBF" w:themeFill="background1" w:themeFillShade="BF"/>
          </w:tcPr>
          <w:p w:rsidR="004C75A9" w:rsidRPr="00352092" w:rsidRDefault="004C75A9" w:rsidP="00B66FDE">
            <w:pPr>
              <w:rPr>
                <w:rFonts w:cstheme="minorHAnsi"/>
                <w:b/>
                <w:sz w:val="20"/>
                <w:szCs w:val="20"/>
              </w:rPr>
            </w:pPr>
            <w:r w:rsidRPr="00352092">
              <w:rPr>
                <w:rFonts w:cstheme="minorHAnsi"/>
                <w:b/>
                <w:sz w:val="20"/>
                <w:szCs w:val="20"/>
              </w:rPr>
              <w:t>Měrná jednotka</w:t>
            </w:r>
          </w:p>
        </w:tc>
        <w:tc>
          <w:tcPr>
            <w:tcW w:w="992" w:type="dxa"/>
            <w:tcBorders>
              <w:bottom w:val="single" w:sz="12" w:space="0" w:color="auto"/>
            </w:tcBorders>
            <w:shd w:val="clear" w:color="auto" w:fill="BFBFBF" w:themeFill="background1" w:themeFillShade="BF"/>
          </w:tcPr>
          <w:p w:rsidR="004C75A9" w:rsidRPr="00352092" w:rsidRDefault="004C75A9" w:rsidP="004C75A9">
            <w:pPr>
              <w:rPr>
                <w:rFonts w:cstheme="minorHAnsi"/>
                <w:b/>
                <w:sz w:val="20"/>
                <w:szCs w:val="20"/>
              </w:rPr>
            </w:pPr>
            <w:r>
              <w:rPr>
                <w:rFonts w:cstheme="minorHAnsi"/>
                <w:b/>
                <w:sz w:val="20"/>
                <w:szCs w:val="20"/>
              </w:rPr>
              <w:t>M</w:t>
            </w:r>
            <w:r w:rsidRPr="00352092">
              <w:rPr>
                <w:rFonts w:cstheme="minorHAnsi"/>
                <w:b/>
                <w:sz w:val="20"/>
                <w:szCs w:val="20"/>
              </w:rPr>
              <w:t xml:space="preserve">ilníku </w:t>
            </w:r>
            <w:r>
              <w:rPr>
                <w:rFonts w:cstheme="minorHAnsi"/>
                <w:b/>
                <w:sz w:val="20"/>
                <w:szCs w:val="20"/>
              </w:rPr>
              <w:t>pro rok</w:t>
            </w:r>
            <w:r w:rsidRPr="00352092">
              <w:rPr>
                <w:rFonts w:cstheme="minorHAnsi"/>
                <w:b/>
                <w:sz w:val="20"/>
                <w:szCs w:val="20"/>
              </w:rPr>
              <w:t>. 2018</w:t>
            </w:r>
          </w:p>
        </w:tc>
        <w:tc>
          <w:tcPr>
            <w:tcW w:w="1276" w:type="dxa"/>
            <w:tcBorders>
              <w:bottom w:val="single" w:sz="12" w:space="0" w:color="auto"/>
            </w:tcBorders>
            <w:shd w:val="clear" w:color="auto" w:fill="BFBFBF" w:themeFill="background1" w:themeFillShade="BF"/>
          </w:tcPr>
          <w:p w:rsidR="004C75A9" w:rsidRPr="00352092" w:rsidRDefault="004C75A9" w:rsidP="00B66FDE">
            <w:pPr>
              <w:rPr>
                <w:rFonts w:cstheme="minorHAnsi"/>
                <w:b/>
                <w:sz w:val="20"/>
                <w:szCs w:val="20"/>
              </w:rPr>
            </w:pPr>
            <w:r>
              <w:rPr>
                <w:rFonts w:cstheme="minorHAnsi"/>
                <w:b/>
                <w:sz w:val="20"/>
                <w:szCs w:val="20"/>
              </w:rPr>
              <w:t> Konečný cíl</w:t>
            </w:r>
            <w:r w:rsidRPr="00352092">
              <w:rPr>
                <w:rFonts w:cstheme="minorHAnsi"/>
                <w:b/>
                <w:sz w:val="20"/>
                <w:szCs w:val="20"/>
              </w:rPr>
              <w:t xml:space="preserve"> </w:t>
            </w:r>
            <w:r>
              <w:rPr>
                <w:rFonts w:cstheme="minorHAnsi"/>
                <w:b/>
                <w:sz w:val="20"/>
                <w:szCs w:val="20"/>
              </w:rPr>
              <w:t>(</w:t>
            </w:r>
            <w:r w:rsidRPr="00352092">
              <w:rPr>
                <w:rFonts w:cstheme="minorHAnsi"/>
                <w:b/>
                <w:sz w:val="20"/>
                <w:szCs w:val="20"/>
              </w:rPr>
              <w:t>2023</w:t>
            </w:r>
            <w:r>
              <w:rPr>
                <w:rFonts w:cstheme="minorHAnsi"/>
                <w:b/>
                <w:sz w:val="20"/>
                <w:szCs w:val="20"/>
              </w:rPr>
              <w:t>)</w:t>
            </w:r>
          </w:p>
        </w:tc>
      </w:tr>
      <w:tr w:rsidR="003A64BF" w:rsidRPr="00352092" w:rsidTr="004C75A9">
        <w:trPr>
          <w:trHeight w:val="461"/>
        </w:trPr>
        <w:tc>
          <w:tcPr>
            <w:tcW w:w="1418" w:type="dxa"/>
            <w:tcBorders>
              <w:top w:val="single" w:sz="12" w:space="0" w:color="auto"/>
            </w:tcBorders>
          </w:tcPr>
          <w:p w:rsidR="003A64BF" w:rsidRPr="00352092" w:rsidRDefault="003A64BF" w:rsidP="00B66FDE">
            <w:pPr>
              <w:rPr>
                <w:rFonts w:cstheme="minorHAnsi"/>
                <w:sz w:val="20"/>
                <w:szCs w:val="20"/>
              </w:rPr>
            </w:pPr>
            <w:r w:rsidRPr="00352092">
              <w:rPr>
                <w:rFonts w:cstheme="minorHAnsi"/>
                <w:sz w:val="20"/>
                <w:szCs w:val="20"/>
              </w:rPr>
              <w:t>Prioritní osa 1</w:t>
            </w:r>
          </w:p>
        </w:tc>
        <w:tc>
          <w:tcPr>
            <w:tcW w:w="850" w:type="dxa"/>
            <w:tcBorders>
              <w:top w:val="single" w:sz="12" w:space="0" w:color="auto"/>
            </w:tcBorders>
          </w:tcPr>
          <w:p w:rsidR="003A64BF" w:rsidRDefault="003A64BF" w:rsidP="00B66FDE">
            <w:pPr>
              <w:rPr>
                <w:sz w:val="20"/>
                <w:szCs w:val="20"/>
              </w:rPr>
            </w:pPr>
            <w:r>
              <w:rPr>
                <w:sz w:val="20"/>
                <w:szCs w:val="20"/>
              </w:rPr>
              <w:t>FS</w:t>
            </w:r>
          </w:p>
        </w:tc>
        <w:tc>
          <w:tcPr>
            <w:tcW w:w="993" w:type="dxa"/>
            <w:tcBorders>
              <w:top w:val="single" w:sz="12" w:space="0" w:color="auto"/>
            </w:tcBorders>
          </w:tcPr>
          <w:p w:rsidR="003A64BF" w:rsidRDefault="003A64BF" w:rsidP="00B66FDE">
            <w:pPr>
              <w:rPr>
                <w:sz w:val="20"/>
                <w:szCs w:val="20"/>
              </w:rPr>
            </w:pPr>
            <w:r>
              <w:rPr>
                <w:sz w:val="20"/>
                <w:szCs w:val="20"/>
              </w:rPr>
              <w:t>Není relevantní</w:t>
            </w:r>
          </w:p>
        </w:tc>
        <w:tc>
          <w:tcPr>
            <w:tcW w:w="1984" w:type="dxa"/>
            <w:tcBorders>
              <w:top w:val="single" w:sz="12" w:space="0" w:color="auto"/>
            </w:tcBorders>
          </w:tcPr>
          <w:p w:rsidR="003A64BF" w:rsidRPr="00352092" w:rsidRDefault="003A64BF" w:rsidP="00B66FDE">
            <w:pPr>
              <w:rPr>
                <w:sz w:val="20"/>
                <w:szCs w:val="20"/>
              </w:rPr>
            </w:pPr>
            <w:r>
              <w:rPr>
                <w:sz w:val="20"/>
                <w:szCs w:val="20"/>
              </w:rPr>
              <w:t>Celkové certifikované způsobilé výdaje</w:t>
            </w:r>
          </w:p>
        </w:tc>
        <w:tc>
          <w:tcPr>
            <w:tcW w:w="1276" w:type="dxa"/>
            <w:tcBorders>
              <w:top w:val="single" w:sz="12" w:space="0" w:color="auto"/>
            </w:tcBorders>
          </w:tcPr>
          <w:p w:rsidR="003A64BF" w:rsidRPr="00352092" w:rsidRDefault="003A64BF" w:rsidP="00B66FDE">
            <w:pPr>
              <w:rPr>
                <w:rFonts w:cstheme="minorHAnsi"/>
                <w:sz w:val="20"/>
                <w:szCs w:val="20"/>
              </w:rPr>
            </w:pPr>
            <w:r>
              <w:rPr>
                <w:rFonts w:cstheme="minorHAnsi"/>
                <w:sz w:val="20"/>
                <w:szCs w:val="20"/>
              </w:rPr>
              <w:t>EUR</w:t>
            </w:r>
          </w:p>
        </w:tc>
        <w:tc>
          <w:tcPr>
            <w:tcW w:w="992" w:type="dxa"/>
            <w:tcBorders>
              <w:top w:val="single" w:sz="12" w:space="0" w:color="auto"/>
            </w:tcBorders>
          </w:tcPr>
          <w:p w:rsidR="003A64BF" w:rsidRDefault="003A64BF" w:rsidP="003A64BF">
            <w:pPr>
              <w:rPr>
                <w:rFonts w:cstheme="minorHAnsi"/>
                <w:sz w:val="20"/>
                <w:szCs w:val="20"/>
              </w:rPr>
            </w:pPr>
            <w:r w:rsidRPr="003A64BF">
              <w:rPr>
                <w:rFonts w:cstheme="minorHAnsi"/>
                <w:sz w:val="20"/>
                <w:szCs w:val="20"/>
              </w:rPr>
              <w:t>182</w:t>
            </w:r>
            <w:r>
              <w:rPr>
                <w:rFonts w:cstheme="minorHAnsi"/>
                <w:sz w:val="20"/>
                <w:szCs w:val="20"/>
              </w:rPr>
              <w:t> </w:t>
            </w:r>
            <w:r w:rsidRPr="003A64BF">
              <w:rPr>
                <w:rFonts w:cstheme="minorHAnsi"/>
                <w:sz w:val="20"/>
                <w:szCs w:val="20"/>
              </w:rPr>
              <w:t>507</w:t>
            </w:r>
            <w:r>
              <w:rPr>
                <w:rFonts w:cstheme="minorHAnsi"/>
                <w:sz w:val="20"/>
                <w:szCs w:val="20"/>
              </w:rPr>
              <w:t xml:space="preserve"> </w:t>
            </w:r>
            <w:r w:rsidRPr="003A64BF">
              <w:rPr>
                <w:rFonts w:cstheme="minorHAnsi"/>
                <w:sz w:val="20"/>
                <w:szCs w:val="20"/>
              </w:rPr>
              <w:t>060</w:t>
            </w:r>
          </w:p>
        </w:tc>
        <w:tc>
          <w:tcPr>
            <w:tcW w:w="1276" w:type="dxa"/>
            <w:tcBorders>
              <w:top w:val="single" w:sz="12" w:space="0" w:color="auto"/>
            </w:tcBorders>
          </w:tcPr>
          <w:p w:rsidR="003A64BF" w:rsidRPr="003A64BF" w:rsidRDefault="003A64BF" w:rsidP="003A64BF">
            <w:pPr>
              <w:rPr>
                <w:rFonts w:cstheme="minorHAnsi"/>
                <w:sz w:val="20"/>
                <w:szCs w:val="20"/>
              </w:rPr>
            </w:pPr>
            <w:r w:rsidRPr="003A64BF">
              <w:rPr>
                <w:rFonts w:cstheme="minorHAnsi"/>
                <w:sz w:val="20"/>
                <w:szCs w:val="20"/>
              </w:rPr>
              <w:t>718</w:t>
            </w:r>
            <w:r>
              <w:rPr>
                <w:rFonts w:cstheme="minorHAnsi"/>
                <w:sz w:val="20"/>
                <w:szCs w:val="20"/>
              </w:rPr>
              <w:t> </w:t>
            </w:r>
            <w:r w:rsidRPr="003A64BF">
              <w:rPr>
                <w:rFonts w:cstheme="minorHAnsi"/>
                <w:sz w:val="20"/>
                <w:szCs w:val="20"/>
              </w:rPr>
              <w:t>322</w:t>
            </w:r>
            <w:r>
              <w:rPr>
                <w:rFonts w:cstheme="minorHAnsi"/>
                <w:sz w:val="20"/>
                <w:szCs w:val="20"/>
              </w:rPr>
              <w:t xml:space="preserve"> </w:t>
            </w:r>
            <w:r w:rsidRPr="003A64BF">
              <w:rPr>
                <w:rFonts w:cstheme="minorHAnsi"/>
                <w:sz w:val="20"/>
                <w:szCs w:val="20"/>
              </w:rPr>
              <w:t>925</w:t>
            </w:r>
          </w:p>
          <w:p w:rsidR="003A64BF" w:rsidRDefault="003A64BF" w:rsidP="00B66FDE">
            <w:pPr>
              <w:rPr>
                <w:rFonts w:cstheme="minorHAnsi"/>
                <w:sz w:val="20"/>
                <w:szCs w:val="20"/>
              </w:rPr>
            </w:pPr>
          </w:p>
        </w:tc>
      </w:tr>
      <w:tr w:rsidR="003A64BF" w:rsidRPr="00352092" w:rsidTr="004C75A9">
        <w:trPr>
          <w:trHeight w:val="461"/>
        </w:trPr>
        <w:tc>
          <w:tcPr>
            <w:tcW w:w="1418" w:type="dxa"/>
            <w:tcBorders>
              <w:top w:val="single" w:sz="12" w:space="0" w:color="auto"/>
            </w:tcBorders>
          </w:tcPr>
          <w:p w:rsidR="003A64BF" w:rsidRPr="00352092" w:rsidRDefault="003A64BF" w:rsidP="00B66FDE">
            <w:pPr>
              <w:rPr>
                <w:rFonts w:cstheme="minorHAnsi"/>
                <w:sz w:val="20"/>
                <w:szCs w:val="20"/>
              </w:rPr>
            </w:pPr>
            <w:r w:rsidRPr="00352092">
              <w:rPr>
                <w:rFonts w:cstheme="minorHAnsi"/>
                <w:sz w:val="20"/>
                <w:szCs w:val="20"/>
              </w:rPr>
              <w:t>Prioritní osa 1</w:t>
            </w:r>
          </w:p>
        </w:tc>
        <w:tc>
          <w:tcPr>
            <w:tcW w:w="850" w:type="dxa"/>
            <w:tcBorders>
              <w:top w:val="single" w:sz="12" w:space="0" w:color="auto"/>
            </w:tcBorders>
          </w:tcPr>
          <w:p w:rsidR="003A64BF" w:rsidRPr="00352092" w:rsidRDefault="003A64BF" w:rsidP="00B66FDE">
            <w:pPr>
              <w:rPr>
                <w:sz w:val="20"/>
                <w:szCs w:val="20"/>
              </w:rPr>
            </w:pPr>
            <w:r>
              <w:rPr>
                <w:sz w:val="20"/>
                <w:szCs w:val="20"/>
              </w:rPr>
              <w:t>FS</w:t>
            </w:r>
          </w:p>
        </w:tc>
        <w:tc>
          <w:tcPr>
            <w:tcW w:w="993" w:type="dxa"/>
            <w:tcBorders>
              <w:top w:val="single" w:sz="12" w:space="0" w:color="auto"/>
            </w:tcBorders>
          </w:tcPr>
          <w:p w:rsidR="003A64BF" w:rsidRPr="00352092" w:rsidRDefault="003A64BF" w:rsidP="00B66FDE">
            <w:pPr>
              <w:rPr>
                <w:sz w:val="20"/>
                <w:szCs w:val="20"/>
              </w:rPr>
            </w:pPr>
            <w:r>
              <w:rPr>
                <w:sz w:val="20"/>
                <w:szCs w:val="20"/>
              </w:rPr>
              <w:t>Není relevantní</w:t>
            </w:r>
          </w:p>
        </w:tc>
        <w:tc>
          <w:tcPr>
            <w:tcW w:w="1984" w:type="dxa"/>
            <w:tcBorders>
              <w:top w:val="single" w:sz="12" w:space="0" w:color="auto"/>
            </w:tcBorders>
          </w:tcPr>
          <w:p w:rsidR="003A64BF" w:rsidRPr="00352092" w:rsidRDefault="003A64BF" w:rsidP="00B66FDE">
            <w:pPr>
              <w:rPr>
                <w:rFonts w:cstheme="minorHAnsi"/>
                <w:sz w:val="20"/>
                <w:szCs w:val="20"/>
              </w:rPr>
            </w:pPr>
            <w:r w:rsidRPr="00352092">
              <w:rPr>
                <w:sz w:val="20"/>
                <w:szCs w:val="20"/>
              </w:rPr>
              <w:t>Počet obyvatel chráněných opatřeními proti povodním</w:t>
            </w:r>
          </w:p>
        </w:tc>
        <w:tc>
          <w:tcPr>
            <w:tcW w:w="1276" w:type="dxa"/>
            <w:tcBorders>
              <w:top w:val="single" w:sz="12" w:space="0" w:color="auto"/>
            </w:tcBorders>
          </w:tcPr>
          <w:p w:rsidR="003A64BF" w:rsidRPr="00352092" w:rsidRDefault="003A64BF" w:rsidP="00B66FDE">
            <w:pPr>
              <w:rPr>
                <w:rFonts w:cstheme="minorHAnsi"/>
                <w:sz w:val="20"/>
                <w:szCs w:val="20"/>
              </w:rPr>
            </w:pPr>
            <w:r w:rsidRPr="00352092">
              <w:rPr>
                <w:rFonts w:cstheme="minorHAnsi"/>
                <w:sz w:val="20"/>
                <w:szCs w:val="20"/>
              </w:rPr>
              <w:t>osoby</w:t>
            </w:r>
          </w:p>
        </w:tc>
        <w:tc>
          <w:tcPr>
            <w:tcW w:w="992" w:type="dxa"/>
            <w:tcBorders>
              <w:top w:val="single" w:sz="12" w:space="0" w:color="auto"/>
            </w:tcBorders>
          </w:tcPr>
          <w:p w:rsidR="003A64BF" w:rsidRPr="00352092" w:rsidRDefault="003A64BF" w:rsidP="00B66FDE">
            <w:pPr>
              <w:rPr>
                <w:rFonts w:cstheme="minorHAnsi"/>
                <w:sz w:val="20"/>
                <w:szCs w:val="20"/>
              </w:rPr>
            </w:pPr>
            <w:r>
              <w:rPr>
                <w:rFonts w:cstheme="minorHAnsi"/>
                <w:sz w:val="20"/>
                <w:szCs w:val="20"/>
              </w:rPr>
              <w:t>56 000</w:t>
            </w:r>
          </w:p>
        </w:tc>
        <w:tc>
          <w:tcPr>
            <w:tcW w:w="1276" w:type="dxa"/>
            <w:tcBorders>
              <w:top w:val="single" w:sz="12" w:space="0" w:color="auto"/>
            </w:tcBorders>
          </w:tcPr>
          <w:p w:rsidR="003A64BF" w:rsidRPr="00352092" w:rsidRDefault="003A64BF" w:rsidP="00B66FDE">
            <w:pPr>
              <w:rPr>
                <w:rFonts w:cstheme="minorHAnsi"/>
                <w:sz w:val="20"/>
                <w:szCs w:val="20"/>
              </w:rPr>
            </w:pPr>
            <w:r>
              <w:rPr>
                <w:rFonts w:cstheme="minorHAnsi"/>
                <w:sz w:val="20"/>
                <w:szCs w:val="20"/>
              </w:rPr>
              <w:t>80 000</w:t>
            </w:r>
          </w:p>
        </w:tc>
      </w:tr>
      <w:tr w:rsidR="003A64BF" w:rsidRPr="00352092" w:rsidTr="004C75A9">
        <w:trPr>
          <w:trHeight w:val="699"/>
        </w:trPr>
        <w:tc>
          <w:tcPr>
            <w:tcW w:w="1418" w:type="dxa"/>
          </w:tcPr>
          <w:p w:rsidR="003A64BF" w:rsidRPr="00352092" w:rsidRDefault="003A64BF" w:rsidP="00B66FDE">
            <w:pPr>
              <w:rPr>
                <w:rFonts w:cstheme="minorHAnsi"/>
                <w:sz w:val="20"/>
                <w:szCs w:val="20"/>
              </w:rPr>
            </w:pPr>
            <w:r w:rsidRPr="00352092">
              <w:rPr>
                <w:rFonts w:cstheme="minorHAnsi"/>
                <w:sz w:val="20"/>
                <w:szCs w:val="20"/>
              </w:rPr>
              <w:t>Prioritní osa 1</w:t>
            </w:r>
          </w:p>
        </w:tc>
        <w:tc>
          <w:tcPr>
            <w:tcW w:w="850" w:type="dxa"/>
          </w:tcPr>
          <w:p w:rsidR="003A64BF" w:rsidRPr="00352092" w:rsidRDefault="003A64BF" w:rsidP="00B66FDE">
            <w:pPr>
              <w:rPr>
                <w:bCs/>
                <w:sz w:val="20"/>
                <w:szCs w:val="20"/>
              </w:rPr>
            </w:pPr>
            <w:r>
              <w:rPr>
                <w:bCs/>
                <w:sz w:val="20"/>
                <w:szCs w:val="20"/>
              </w:rPr>
              <w:t>FS</w:t>
            </w:r>
          </w:p>
        </w:tc>
        <w:tc>
          <w:tcPr>
            <w:tcW w:w="993" w:type="dxa"/>
          </w:tcPr>
          <w:p w:rsidR="003A64BF" w:rsidRPr="00352092" w:rsidRDefault="003A64BF" w:rsidP="00B66FDE">
            <w:pPr>
              <w:rPr>
                <w:bCs/>
                <w:sz w:val="20"/>
                <w:szCs w:val="20"/>
              </w:rPr>
            </w:pPr>
            <w:r>
              <w:rPr>
                <w:sz w:val="20"/>
                <w:szCs w:val="20"/>
              </w:rPr>
              <w:t>Není relevantní</w:t>
            </w:r>
          </w:p>
        </w:tc>
        <w:tc>
          <w:tcPr>
            <w:tcW w:w="1984" w:type="dxa"/>
          </w:tcPr>
          <w:p w:rsidR="003A64BF" w:rsidRPr="00352092" w:rsidRDefault="003A64BF" w:rsidP="00B66FDE">
            <w:pPr>
              <w:rPr>
                <w:sz w:val="20"/>
                <w:szCs w:val="20"/>
              </w:rPr>
            </w:pPr>
            <w:r w:rsidRPr="00352092">
              <w:rPr>
                <w:bCs/>
                <w:sz w:val="20"/>
                <w:szCs w:val="20"/>
              </w:rPr>
              <w:t xml:space="preserve">Návrhová kapacita nově vybudovaných a rekonstruovaných  ČOV </w:t>
            </w:r>
          </w:p>
        </w:tc>
        <w:tc>
          <w:tcPr>
            <w:tcW w:w="1276" w:type="dxa"/>
          </w:tcPr>
          <w:p w:rsidR="003A64BF" w:rsidRPr="00352092" w:rsidRDefault="003A64BF" w:rsidP="00B66FDE">
            <w:pPr>
              <w:rPr>
                <w:rFonts w:cstheme="minorHAnsi"/>
                <w:sz w:val="20"/>
                <w:szCs w:val="20"/>
              </w:rPr>
            </w:pPr>
            <w:r w:rsidRPr="00352092">
              <w:rPr>
                <w:rFonts w:cstheme="minorHAnsi"/>
                <w:sz w:val="20"/>
                <w:szCs w:val="20"/>
              </w:rPr>
              <w:t xml:space="preserve">ekvivalentní obyvatelé </w:t>
            </w:r>
          </w:p>
        </w:tc>
        <w:tc>
          <w:tcPr>
            <w:tcW w:w="992" w:type="dxa"/>
          </w:tcPr>
          <w:p w:rsidR="003A64BF" w:rsidRPr="00352092" w:rsidRDefault="003A64BF" w:rsidP="00B66FDE">
            <w:pPr>
              <w:rPr>
                <w:rFonts w:cstheme="minorHAnsi"/>
                <w:sz w:val="20"/>
                <w:szCs w:val="20"/>
              </w:rPr>
            </w:pPr>
            <w:r>
              <w:rPr>
                <w:rFonts w:cstheme="minorHAnsi"/>
                <w:sz w:val="20"/>
                <w:szCs w:val="20"/>
              </w:rPr>
              <w:t>40 000</w:t>
            </w:r>
          </w:p>
        </w:tc>
        <w:tc>
          <w:tcPr>
            <w:tcW w:w="1276" w:type="dxa"/>
          </w:tcPr>
          <w:p w:rsidR="003A64BF" w:rsidRPr="00352092" w:rsidRDefault="003A64BF" w:rsidP="00B66FDE">
            <w:pPr>
              <w:rPr>
                <w:rFonts w:cstheme="minorHAnsi"/>
                <w:sz w:val="20"/>
                <w:szCs w:val="20"/>
              </w:rPr>
            </w:pPr>
            <w:r>
              <w:rPr>
                <w:sz w:val="20"/>
                <w:szCs w:val="20"/>
              </w:rPr>
              <w:t>6</w:t>
            </w:r>
            <w:r w:rsidRPr="00352092">
              <w:rPr>
                <w:sz w:val="20"/>
                <w:szCs w:val="20"/>
              </w:rPr>
              <w:t>0</w:t>
            </w:r>
            <w:r>
              <w:rPr>
                <w:sz w:val="20"/>
                <w:szCs w:val="20"/>
              </w:rPr>
              <w:t xml:space="preserve"> </w:t>
            </w:r>
            <w:r w:rsidRPr="00352092">
              <w:rPr>
                <w:sz w:val="20"/>
                <w:szCs w:val="20"/>
              </w:rPr>
              <w:t>000</w:t>
            </w:r>
          </w:p>
        </w:tc>
      </w:tr>
      <w:tr w:rsidR="003A64BF" w:rsidRPr="00352092" w:rsidTr="004C75A9">
        <w:trPr>
          <w:trHeight w:val="922"/>
        </w:trPr>
        <w:tc>
          <w:tcPr>
            <w:tcW w:w="1418" w:type="dxa"/>
          </w:tcPr>
          <w:p w:rsidR="003A64BF" w:rsidRPr="00352092" w:rsidRDefault="003A64BF" w:rsidP="003A64BF">
            <w:pPr>
              <w:rPr>
                <w:rFonts w:cstheme="minorHAnsi"/>
                <w:sz w:val="20"/>
                <w:szCs w:val="20"/>
              </w:rPr>
            </w:pPr>
            <w:r w:rsidRPr="00352092">
              <w:rPr>
                <w:rFonts w:cstheme="minorHAnsi"/>
                <w:sz w:val="20"/>
                <w:szCs w:val="20"/>
              </w:rPr>
              <w:t xml:space="preserve">Prioritní osa </w:t>
            </w:r>
            <w:r>
              <w:rPr>
                <w:rFonts w:cstheme="minorHAnsi"/>
                <w:sz w:val="20"/>
                <w:szCs w:val="20"/>
              </w:rPr>
              <w:t>2</w:t>
            </w:r>
          </w:p>
        </w:tc>
        <w:tc>
          <w:tcPr>
            <w:tcW w:w="850" w:type="dxa"/>
          </w:tcPr>
          <w:p w:rsidR="003A64BF" w:rsidRDefault="003A64BF" w:rsidP="00B66FDE">
            <w:pPr>
              <w:rPr>
                <w:rFonts w:cstheme="minorHAnsi"/>
                <w:sz w:val="20"/>
                <w:szCs w:val="20"/>
              </w:rPr>
            </w:pPr>
            <w:r>
              <w:rPr>
                <w:sz w:val="20"/>
                <w:szCs w:val="20"/>
              </w:rPr>
              <w:t>FS</w:t>
            </w:r>
          </w:p>
        </w:tc>
        <w:tc>
          <w:tcPr>
            <w:tcW w:w="993" w:type="dxa"/>
          </w:tcPr>
          <w:p w:rsidR="003A64BF" w:rsidRDefault="003A64BF" w:rsidP="00B66FDE">
            <w:pPr>
              <w:rPr>
                <w:sz w:val="20"/>
                <w:szCs w:val="20"/>
              </w:rPr>
            </w:pPr>
            <w:r>
              <w:rPr>
                <w:sz w:val="20"/>
                <w:szCs w:val="20"/>
              </w:rPr>
              <w:t>Není relevantní</w:t>
            </w:r>
          </w:p>
        </w:tc>
        <w:tc>
          <w:tcPr>
            <w:tcW w:w="1984" w:type="dxa"/>
          </w:tcPr>
          <w:p w:rsidR="003A64BF" w:rsidRPr="00352092" w:rsidRDefault="003A64BF" w:rsidP="003A64BF">
            <w:pPr>
              <w:spacing w:after="0" w:afterAutospacing="0"/>
              <w:rPr>
                <w:rFonts w:cstheme="minorHAnsi"/>
                <w:sz w:val="20"/>
                <w:szCs w:val="20"/>
              </w:rPr>
            </w:pPr>
            <w:r>
              <w:rPr>
                <w:sz w:val="20"/>
                <w:szCs w:val="20"/>
              </w:rPr>
              <w:t>Celkové certifikované způsobilé výdaje</w:t>
            </w:r>
          </w:p>
        </w:tc>
        <w:tc>
          <w:tcPr>
            <w:tcW w:w="1276" w:type="dxa"/>
          </w:tcPr>
          <w:p w:rsidR="003A64BF" w:rsidRPr="00352092" w:rsidRDefault="003A64BF" w:rsidP="00B66FDE">
            <w:pPr>
              <w:rPr>
                <w:rFonts w:cstheme="minorHAnsi"/>
                <w:sz w:val="20"/>
                <w:szCs w:val="20"/>
              </w:rPr>
            </w:pPr>
            <w:r>
              <w:rPr>
                <w:rFonts w:cstheme="minorHAnsi"/>
                <w:sz w:val="20"/>
                <w:szCs w:val="20"/>
              </w:rPr>
              <w:t>EUR</w:t>
            </w:r>
          </w:p>
        </w:tc>
        <w:tc>
          <w:tcPr>
            <w:tcW w:w="992" w:type="dxa"/>
          </w:tcPr>
          <w:p w:rsidR="003A64BF" w:rsidRPr="003A64BF" w:rsidRDefault="003A64BF" w:rsidP="003A64BF">
            <w:pPr>
              <w:rPr>
                <w:rFonts w:cstheme="minorHAnsi"/>
                <w:sz w:val="20"/>
                <w:szCs w:val="20"/>
              </w:rPr>
            </w:pPr>
            <w:r w:rsidRPr="003A64BF">
              <w:rPr>
                <w:rFonts w:cstheme="minorHAnsi"/>
                <w:sz w:val="20"/>
                <w:szCs w:val="20"/>
              </w:rPr>
              <w:t>115</w:t>
            </w:r>
            <w:r>
              <w:rPr>
                <w:rFonts w:cstheme="minorHAnsi"/>
                <w:sz w:val="20"/>
                <w:szCs w:val="20"/>
              </w:rPr>
              <w:t> </w:t>
            </w:r>
            <w:r w:rsidRPr="003A64BF">
              <w:rPr>
                <w:rFonts w:cstheme="minorHAnsi"/>
                <w:sz w:val="20"/>
                <w:szCs w:val="20"/>
              </w:rPr>
              <w:t>303</w:t>
            </w:r>
            <w:r>
              <w:rPr>
                <w:rFonts w:cstheme="minorHAnsi"/>
                <w:sz w:val="20"/>
                <w:szCs w:val="20"/>
              </w:rPr>
              <w:t xml:space="preserve"> </w:t>
            </w:r>
            <w:r w:rsidRPr="003A64BF">
              <w:rPr>
                <w:rFonts w:cstheme="minorHAnsi"/>
                <w:sz w:val="20"/>
                <w:szCs w:val="20"/>
              </w:rPr>
              <w:t>550</w:t>
            </w:r>
          </w:p>
          <w:p w:rsidR="003A64BF" w:rsidRDefault="003A64BF" w:rsidP="00B66FDE">
            <w:pPr>
              <w:rPr>
                <w:rFonts w:cstheme="minorHAnsi"/>
                <w:sz w:val="20"/>
                <w:szCs w:val="20"/>
              </w:rPr>
            </w:pPr>
          </w:p>
        </w:tc>
        <w:tc>
          <w:tcPr>
            <w:tcW w:w="1276" w:type="dxa"/>
          </w:tcPr>
          <w:p w:rsidR="003A64BF" w:rsidRPr="003A64BF" w:rsidRDefault="0033290F" w:rsidP="003A64BF">
            <w:pPr>
              <w:spacing w:line="276" w:lineRule="auto"/>
              <w:rPr>
                <w:rFonts w:asciiTheme="majorHAnsi" w:hAnsiTheme="majorHAnsi"/>
                <w:color w:val="000000"/>
                <w:sz w:val="20"/>
                <w:szCs w:val="20"/>
              </w:rPr>
            </w:pPr>
            <w:r w:rsidRPr="0033290F">
              <w:rPr>
                <w:rFonts w:asciiTheme="majorHAnsi" w:hAnsiTheme="majorHAnsi"/>
                <w:color w:val="000000"/>
                <w:sz w:val="20"/>
                <w:szCs w:val="20"/>
              </w:rPr>
              <w:t>453 819 065</w:t>
            </w:r>
          </w:p>
          <w:p w:rsidR="003A64BF" w:rsidRPr="00352092" w:rsidRDefault="003A64BF" w:rsidP="00B66FDE">
            <w:pPr>
              <w:rPr>
                <w:sz w:val="20"/>
                <w:szCs w:val="20"/>
              </w:rPr>
            </w:pPr>
          </w:p>
        </w:tc>
      </w:tr>
      <w:tr w:rsidR="003A64BF" w:rsidRPr="00352092" w:rsidTr="004C75A9">
        <w:trPr>
          <w:trHeight w:val="922"/>
        </w:trPr>
        <w:tc>
          <w:tcPr>
            <w:tcW w:w="1418" w:type="dxa"/>
          </w:tcPr>
          <w:p w:rsidR="003A64BF" w:rsidRPr="00352092" w:rsidRDefault="003A64BF" w:rsidP="00B66FDE">
            <w:pPr>
              <w:rPr>
                <w:rFonts w:cstheme="minorHAnsi"/>
                <w:sz w:val="20"/>
                <w:szCs w:val="20"/>
              </w:rPr>
            </w:pPr>
            <w:r w:rsidRPr="00352092">
              <w:rPr>
                <w:rFonts w:cstheme="minorHAnsi"/>
                <w:sz w:val="20"/>
                <w:szCs w:val="20"/>
              </w:rPr>
              <w:t>Prioritní osa 2</w:t>
            </w:r>
          </w:p>
        </w:tc>
        <w:tc>
          <w:tcPr>
            <w:tcW w:w="850" w:type="dxa"/>
          </w:tcPr>
          <w:p w:rsidR="003A64BF" w:rsidRPr="00352092" w:rsidRDefault="003A64BF" w:rsidP="00B66FDE">
            <w:pPr>
              <w:rPr>
                <w:rFonts w:cstheme="minorHAnsi"/>
                <w:sz w:val="20"/>
                <w:szCs w:val="20"/>
              </w:rPr>
            </w:pPr>
            <w:r>
              <w:rPr>
                <w:rFonts w:cstheme="minorHAnsi"/>
                <w:sz w:val="20"/>
                <w:szCs w:val="20"/>
              </w:rPr>
              <w:t>FS</w:t>
            </w:r>
          </w:p>
        </w:tc>
        <w:tc>
          <w:tcPr>
            <w:tcW w:w="993" w:type="dxa"/>
          </w:tcPr>
          <w:p w:rsidR="003A64BF" w:rsidRPr="00352092" w:rsidRDefault="003A64BF" w:rsidP="00B66FDE">
            <w:pPr>
              <w:rPr>
                <w:rFonts w:cstheme="minorHAnsi"/>
                <w:sz w:val="20"/>
                <w:szCs w:val="20"/>
              </w:rPr>
            </w:pPr>
            <w:r>
              <w:rPr>
                <w:sz w:val="20"/>
                <w:szCs w:val="20"/>
              </w:rPr>
              <w:t>Není relevantní</w:t>
            </w:r>
          </w:p>
        </w:tc>
        <w:tc>
          <w:tcPr>
            <w:tcW w:w="1984" w:type="dxa"/>
          </w:tcPr>
          <w:p w:rsidR="003A64BF" w:rsidRPr="00352092" w:rsidRDefault="003A64BF" w:rsidP="00B66FDE">
            <w:pPr>
              <w:rPr>
                <w:rFonts w:cstheme="minorHAnsi"/>
                <w:sz w:val="20"/>
                <w:szCs w:val="20"/>
              </w:rPr>
            </w:pPr>
            <w:r w:rsidRPr="00352092">
              <w:rPr>
                <w:rFonts w:cstheme="minorHAnsi"/>
                <w:sz w:val="20"/>
                <w:szCs w:val="20"/>
              </w:rPr>
              <w:t xml:space="preserve">Počet stacionárních zdrojů znečišťování ovzduší, u kterých bylo provedeno opatření ke snížení emisí </w:t>
            </w:r>
          </w:p>
        </w:tc>
        <w:tc>
          <w:tcPr>
            <w:tcW w:w="1276" w:type="dxa"/>
          </w:tcPr>
          <w:p w:rsidR="003A64BF" w:rsidRPr="00352092" w:rsidRDefault="003A64BF" w:rsidP="00B66FDE">
            <w:pPr>
              <w:rPr>
                <w:rFonts w:cstheme="minorHAnsi"/>
                <w:sz w:val="20"/>
                <w:szCs w:val="20"/>
              </w:rPr>
            </w:pPr>
            <w:r w:rsidRPr="00352092">
              <w:rPr>
                <w:rFonts w:cstheme="minorHAnsi"/>
                <w:sz w:val="20"/>
                <w:szCs w:val="20"/>
              </w:rPr>
              <w:t>ks</w:t>
            </w:r>
          </w:p>
        </w:tc>
        <w:tc>
          <w:tcPr>
            <w:tcW w:w="992" w:type="dxa"/>
          </w:tcPr>
          <w:p w:rsidR="003A64BF" w:rsidRPr="00352092" w:rsidRDefault="003A64BF" w:rsidP="00B66FDE">
            <w:pPr>
              <w:rPr>
                <w:rFonts w:cstheme="minorHAnsi"/>
                <w:sz w:val="20"/>
                <w:szCs w:val="20"/>
              </w:rPr>
            </w:pPr>
            <w:r>
              <w:rPr>
                <w:rFonts w:cstheme="minorHAnsi"/>
                <w:sz w:val="20"/>
                <w:szCs w:val="20"/>
              </w:rPr>
              <w:t>40 000</w:t>
            </w:r>
          </w:p>
        </w:tc>
        <w:tc>
          <w:tcPr>
            <w:tcW w:w="1276" w:type="dxa"/>
          </w:tcPr>
          <w:p w:rsidR="003A64BF" w:rsidRPr="00352092" w:rsidRDefault="003A64BF" w:rsidP="00B66FDE">
            <w:pPr>
              <w:rPr>
                <w:rFonts w:cstheme="minorHAnsi"/>
                <w:sz w:val="20"/>
                <w:szCs w:val="20"/>
              </w:rPr>
            </w:pPr>
            <w:r w:rsidRPr="00352092">
              <w:rPr>
                <w:sz w:val="20"/>
                <w:szCs w:val="20"/>
              </w:rPr>
              <w:t>120</w:t>
            </w:r>
            <w:r>
              <w:rPr>
                <w:sz w:val="20"/>
                <w:szCs w:val="20"/>
              </w:rPr>
              <w:t xml:space="preserve"> </w:t>
            </w:r>
            <w:r w:rsidRPr="00352092">
              <w:rPr>
                <w:sz w:val="20"/>
                <w:szCs w:val="20"/>
              </w:rPr>
              <w:t>400</w:t>
            </w:r>
          </w:p>
        </w:tc>
      </w:tr>
      <w:tr w:rsidR="003A64BF" w:rsidRPr="00352092" w:rsidTr="004C75A9">
        <w:trPr>
          <w:trHeight w:val="699"/>
        </w:trPr>
        <w:tc>
          <w:tcPr>
            <w:tcW w:w="1418" w:type="dxa"/>
          </w:tcPr>
          <w:p w:rsidR="003A64BF" w:rsidRPr="00352092" w:rsidRDefault="003A64BF" w:rsidP="00B66FDE">
            <w:pPr>
              <w:rPr>
                <w:rFonts w:cstheme="minorHAnsi"/>
                <w:sz w:val="20"/>
                <w:szCs w:val="20"/>
              </w:rPr>
            </w:pPr>
            <w:r w:rsidRPr="00352092">
              <w:rPr>
                <w:rFonts w:cstheme="minorHAnsi"/>
                <w:sz w:val="20"/>
                <w:szCs w:val="20"/>
              </w:rPr>
              <w:t xml:space="preserve">Prioritní osa </w:t>
            </w:r>
            <w:r>
              <w:rPr>
                <w:rFonts w:cstheme="minorHAnsi"/>
                <w:sz w:val="20"/>
                <w:szCs w:val="20"/>
              </w:rPr>
              <w:t>3</w:t>
            </w:r>
          </w:p>
        </w:tc>
        <w:tc>
          <w:tcPr>
            <w:tcW w:w="850" w:type="dxa"/>
          </w:tcPr>
          <w:p w:rsidR="003A64BF" w:rsidRDefault="003A64BF" w:rsidP="00B66FDE">
            <w:pPr>
              <w:rPr>
                <w:rFonts w:cstheme="minorHAnsi"/>
                <w:sz w:val="20"/>
                <w:szCs w:val="20"/>
              </w:rPr>
            </w:pPr>
            <w:r>
              <w:rPr>
                <w:sz w:val="20"/>
                <w:szCs w:val="20"/>
              </w:rPr>
              <w:t>FS</w:t>
            </w:r>
          </w:p>
        </w:tc>
        <w:tc>
          <w:tcPr>
            <w:tcW w:w="993" w:type="dxa"/>
          </w:tcPr>
          <w:p w:rsidR="003A64BF" w:rsidRDefault="003A64BF" w:rsidP="00B66FDE">
            <w:pPr>
              <w:rPr>
                <w:sz w:val="20"/>
                <w:szCs w:val="20"/>
              </w:rPr>
            </w:pPr>
            <w:r>
              <w:rPr>
                <w:sz w:val="20"/>
                <w:szCs w:val="20"/>
              </w:rPr>
              <w:t>Není relevantní</w:t>
            </w:r>
          </w:p>
        </w:tc>
        <w:tc>
          <w:tcPr>
            <w:tcW w:w="1984" w:type="dxa"/>
          </w:tcPr>
          <w:p w:rsidR="003A64BF" w:rsidRPr="00352092" w:rsidRDefault="003A64BF" w:rsidP="00B66FDE">
            <w:pPr>
              <w:rPr>
                <w:rFonts w:cstheme="minorHAnsi"/>
                <w:sz w:val="20"/>
                <w:szCs w:val="20"/>
              </w:rPr>
            </w:pPr>
            <w:r>
              <w:rPr>
                <w:sz w:val="20"/>
                <w:szCs w:val="20"/>
              </w:rPr>
              <w:t>Celkové certifikované způsobilé výdaje</w:t>
            </w:r>
          </w:p>
        </w:tc>
        <w:tc>
          <w:tcPr>
            <w:tcW w:w="1276" w:type="dxa"/>
          </w:tcPr>
          <w:p w:rsidR="003A64BF" w:rsidRPr="00352092" w:rsidRDefault="003A64BF" w:rsidP="00B66FDE">
            <w:pPr>
              <w:rPr>
                <w:rFonts w:cstheme="minorHAnsi"/>
                <w:sz w:val="20"/>
                <w:szCs w:val="20"/>
              </w:rPr>
            </w:pPr>
            <w:r>
              <w:rPr>
                <w:rFonts w:cstheme="minorHAnsi"/>
                <w:sz w:val="20"/>
                <w:szCs w:val="20"/>
              </w:rPr>
              <w:t>EUR</w:t>
            </w:r>
          </w:p>
        </w:tc>
        <w:tc>
          <w:tcPr>
            <w:tcW w:w="992" w:type="dxa"/>
          </w:tcPr>
          <w:p w:rsidR="003A64BF" w:rsidRPr="003A64BF" w:rsidRDefault="003A64BF" w:rsidP="003A64BF">
            <w:pPr>
              <w:rPr>
                <w:rFonts w:cstheme="minorHAnsi"/>
                <w:sz w:val="20"/>
                <w:szCs w:val="20"/>
              </w:rPr>
            </w:pPr>
            <w:r w:rsidRPr="003A64BF">
              <w:rPr>
                <w:rFonts w:cstheme="minorHAnsi"/>
                <w:sz w:val="20"/>
                <w:szCs w:val="20"/>
              </w:rPr>
              <w:t>110</w:t>
            </w:r>
            <w:r>
              <w:rPr>
                <w:rFonts w:cstheme="minorHAnsi"/>
                <w:sz w:val="20"/>
                <w:szCs w:val="20"/>
              </w:rPr>
              <w:t> </w:t>
            </w:r>
            <w:r w:rsidRPr="003A64BF">
              <w:rPr>
                <w:rFonts w:cstheme="minorHAnsi"/>
                <w:sz w:val="20"/>
                <w:szCs w:val="20"/>
              </w:rPr>
              <w:t>707</w:t>
            </w:r>
            <w:r>
              <w:rPr>
                <w:rFonts w:cstheme="minorHAnsi"/>
                <w:sz w:val="20"/>
                <w:szCs w:val="20"/>
              </w:rPr>
              <w:t xml:space="preserve"> </w:t>
            </w:r>
            <w:r w:rsidRPr="003A64BF">
              <w:rPr>
                <w:rFonts w:cstheme="minorHAnsi"/>
                <w:sz w:val="20"/>
                <w:szCs w:val="20"/>
              </w:rPr>
              <w:t>857</w:t>
            </w:r>
          </w:p>
          <w:p w:rsidR="003A64BF" w:rsidRDefault="003A64BF" w:rsidP="00B66FDE">
            <w:pPr>
              <w:rPr>
                <w:rFonts w:cstheme="minorHAnsi"/>
                <w:sz w:val="20"/>
                <w:szCs w:val="20"/>
              </w:rPr>
            </w:pPr>
          </w:p>
        </w:tc>
        <w:tc>
          <w:tcPr>
            <w:tcW w:w="1276" w:type="dxa"/>
          </w:tcPr>
          <w:p w:rsidR="003A64BF" w:rsidRPr="003A64BF" w:rsidRDefault="003A64BF" w:rsidP="003A64BF">
            <w:pPr>
              <w:rPr>
                <w:sz w:val="20"/>
                <w:szCs w:val="20"/>
              </w:rPr>
            </w:pPr>
            <w:r w:rsidRPr="003A64BF">
              <w:rPr>
                <w:sz w:val="20"/>
                <w:szCs w:val="20"/>
              </w:rPr>
              <w:t>435</w:t>
            </w:r>
            <w:r>
              <w:rPr>
                <w:sz w:val="20"/>
                <w:szCs w:val="20"/>
              </w:rPr>
              <w:t> </w:t>
            </w:r>
            <w:r w:rsidRPr="003A64BF">
              <w:rPr>
                <w:sz w:val="20"/>
                <w:szCs w:val="20"/>
              </w:rPr>
              <w:t>731</w:t>
            </w:r>
            <w:r>
              <w:rPr>
                <w:sz w:val="20"/>
                <w:szCs w:val="20"/>
              </w:rPr>
              <w:t xml:space="preserve"> </w:t>
            </w:r>
            <w:r w:rsidRPr="003A64BF">
              <w:rPr>
                <w:sz w:val="20"/>
                <w:szCs w:val="20"/>
              </w:rPr>
              <w:t>044</w:t>
            </w:r>
          </w:p>
          <w:p w:rsidR="003A64BF" w:rsidRPr="00352092" w:rsidRDefault="003A64BF" w:rsidP="00B66FDE">
            <w:pPr>
              <w:rPr>
                <w:sz w:val="20"/>
                <w:szCs w:val="20"/>
              </w:rPr>
            </w:pPr>
          </w:p>
        </w:tc>
      </w:tr>
      <w:tr w:rsidR="003A64BF" w:rsidRPr="00352092" w:rsidTr="004C75A9">
        <w:trPr>
          <w:trHeight w:val="699"/>
        </w:trPr>
        <w:tc>
          <w:tcPr>
            <w:tcW w:w="1418" w:type="dxa"/>
          </w:tcPr>
          <w:p w:rsidR="003A64BF" w:rsidRPr="00352092" w:rsidRDefault="003A64BF" w:rsidP="00B66FDE">
            <w:pPr>
              <w:rPr>
                <w:rFonts w:cstheme="minorHAnsi"/>
                <w:sz w:val="20"/>
                <w:szCs w:val="20"/>
              </w:rPr>
            </w:pPr>
            <w:r w:rsidRPr="00352092">
              <w:rPr>
                <w:rFonts w:cstheme="minorHAnsi"/>
                <w:sz w:val="20"/>
                <w:szCs w:val="20"/>
              </w:rPr>
              <w:t xml:space="preserve">Prioritní osa </w:t>
            </w:r>
            <w:r>
              <w:rPr>
                <w:rFonts w:cstheme="minorHAnsi"/>
                <w:sz w:val="20"/>
                <w:szCs w:val="20"/>
              </w:rPr>
              <w:t>3</w:t>
            </w:r>
          </w:p>
        </w:tc>
        <w:tc>
          <w:tcPr>
            <w:tcW w:w="850" w:type="dxa"/>
          </w:tcPr>
          <w:p w:rsidR="003A64BF" w:rsidRDefault="003A64BF" w:rsidP="00B66FDE">
            <w:pPr>
              <w:rPr>
                <w:rFonts w:cstheme="minorHAnsi"/>
                <w:sz w:val="20"/>
                <w:szCs w:val="20"/>
              </w:rPr>
            </w:pPr>
            <w:r>
              <w:rPr>
                <w:sz w:val="20"/>
                <w:szCs w:val="20"/>
              </w:rPr>
              <w:t>EFRR</w:t>
            </w:r>
          </w:p>
        </w:tc>
        <w:tc>
          <w:tcPr>
            <w:tcW w:w="993" w:type="dxa"/>
          </w:tcPr>
          <w:p w:rsidR="003A64BF" w:rsidRDefault="003A64BF" w:rsidP="00B66FDE">
            <w:pPr>
              <w:rPr>
                <w:sz w:val="20"/>
                <w:szCs w:val="20"/>
              </w:rPr>
            </w:pPr>
            <w:r>
              <w:rPr>
                <w:rFonts w:cstheme="minorHAnsi"/>
                <w:sz w:val="20"/>
                <w:szCs w:val="20"/>
              </w:rPr>
              <w:t>Méně rozvinuté regiony</w:t>
            </w:r>
          </w:p>
        </w:tc>
        <w:tc>
          <w:tcPr>
            <w:tcW w:w="1984" w:type="dxa"/>
          </w:tcPr>
          <w:p w:rsidR="003A64BF" w:rsidRPr="00352092" w:rsidRDefault="003A64BF" w:rsidP="00B66FDE">
            <w:pPr>
              <w:rPr>
                <w:rFonts w:cstheme="minorHAnsi"/>
                <w:sz w:val="20"/>
                <w:szCs w:val="20"/>
              </w:rPr>
            </w:pPr>
            <w:r>
              <w:rPr>
                <w:sz w:val="20"/>
                <w:szCs w:val="20"/>
              </w:rPr>
              <w:t>Celkové certifikované způsobilé výdaje</w:t>
            </w:r>
          </w:p>
        </w:tc>
        <w:tc>
          <w:tcPr>
            <w:tcW w:w="1276" w:type="dxa"/>
          </w:tcPr>
          <w:p w:rsidR="003A64BF" w:rsidRPr="00352092" w:rsidRDefault="003A64BF" w:rsidP="00B66FDE">
            <w:pPr>
              <w:rPr>
                <w:rFonts w:cstheme="minorHAnsi"/>
                <w:sz w:val="20"/>
                <w:szCs w:val="20"/>
              </w:rPr>
            </w:pPr>
            <w:r>
              <w:rPr>
                <w:rFonts w:cstheme="minorHAnsi"/>
                <w:sz w:val="20"/>
                <w:szCs w:val="20"/>
              </w:rPr>
              <w:t>EUR</w:t>
            </w:r>
          </w:p>
        </w:tc>
        <w:tc>
          <w:tcPr>
            <w:tcW w:w="992" w:type="dxa"/>
          </w:tcPr>
          <w:p w:rsidR="003A64BF" w:rsidRPr="003A64BF" w:rsidRDefault="003A64BF" w:rsidP="003A64BF">
            <w:pPr>
              <w:rPr>
                <w:rFonts w:cstheme="minorHAnsi"/>
                <w:sz w:val="20"/>
                <w:szCs w:val="20"/>
              </w:rPr>
            </w:pPr>
            <w:r w:rsidRPr="003A64BF">
              <w:rPr>
                <w:rFonts w:cstheme="minorHAnsi"/>
                <w:sz w:val="20"/>
                <w:szCs w:val="20"/>
              </w:rPr>
              <w:t>5</w:t>
            </w:r>
            <w:r>
              <w:rPr>
                <w:rFonts w:cstheme="minorHAnsi"/>
                <w:sz w:val="20"/>
                <w:szCs w:val="20"/>
              </w:rPr>
              <w:t xml:space="preserve"> </w:t>
            </w:r>
            <w:r w:rsidRPr="003A64BF">
              <w:rPr>
                <w:rFonts w:cstheme="minorHAnsi"/>
                <w:sz w:val="20"/>
                <w:szCs w:val="20"/>
              </w:rPr>
              <w:t>896</w:t>
            </w:r>
            <w:r>
              <w:rPr>
                <w:rFonts w:cstheme="minorHAnsi"/>
                <w:sz w:val="20"/>
                <w:szCs w:val="20"/>
              </w:rPr>
              <w:t xml:space="preserve"> </w:t>
            </w:r>
            <w:r w:rsidRPr="003A64BF">
              <w:rPr>
                <w:rFonts w:cstheme="minorHAnsi"/>
                <w:sz w:val="20"/>
                <w:szCs w:val="20"/>
              </w:rPr>
              <w:t>956</w:t>
            </w:r>
          </w:p>
          <w:p w:rsidR="003A64BF" w:rsidRDefault="003A64BF" w:rsidP="00B66FDE">
            <w:pPr>
              <w:rPr>
                <w:rFonts w:cstheme="minorHAnsi"/>
                <w:sz w:val="20"/>
                <w:szCs w:val="20"/>
              </w:rPr>
            </w:pPr>
          </w:p>
        </w:tc>
        <w:tc>
          <w:tcPr>
            <w:tcW w:w="1276" w:type="dxa"/>
          </w:tcPr>
          <w:p w:rsidR="003A64BF" w:rsidRPr="003A64BF" w:rsidRDefault="003A64BF" w:rsidP="003A64BF">
            <w:pPr>
              <w:rPr>
                <w:sz w:val="20"/>
                <w:szCs w:val="20"/>
              </w:rPr>
            </w:pPr>
            <w:r w:rsidRPr="003A64BF">
              <w:rPr>
                <w:sz w:val="20"/>
                <w:szCs w:val="20"/>
              </w:rPr>
              <w:t>23</w:t>
            </w:r>
            <w:r>
              <w:rPr>
                <w:sz w:val="20"/>
                <w:szCs w:val="20"/>
              </w:rPr>
              <w:t xml:space="preserve"> </w:t>
            </w:r>
            <w:r w:rsidRPr="003A64BF">
              <w:rPr>
                <w:sz w:val="20"/>
                <w:szCs w:val="20"/>
              </w:rPr>
              <w:t>088</w:t>
            </w:r>
            <w:r>
              <w:rPr>
                <w:sz w:val="20"/>
                <w:szCs w:val="20"/>
              </w:rPr>
              <w:t xml:space="preserve"> </w:t>
            </w:r>
            <w:r w:rsidRPr="003A64BF">
              <w:rPr>
                <w:sz w:val="20"/>
                <w:szCs w:val="20"/>
              </w:rPr>
              <w:t>950,99</w:t>
            </w:r>
          </w:p>
          <w:p w:rsidR="003A64BF" w:rsidRPr="00352092" w:rsidRDefault="003A64BF" w:rsidP="00B66FDE">
            <w:pPr>
              <w:rPr>
                <w:sz w:val="20"/>
                <w:szCs w:val="20"/>
              </w:rPr>
            </w:pPr>
          </w:p>
        </w:tc>
      </w:tr>
      <w:tr w:rsidR="003A64BF" w:rsidRPr="00352092" w:rsidTr="004C75A9">
        <w:trPr>
          <w:trHeight w:val="699"/>
        </w:trPr>
        <w:tc>
          <w:tcPr>
            <w:tcW w:w="1418" w:type="dxa"/>
          </w:tcPr>
          <w:p w:rsidR="003A64BF" w:rsidRPr="00352092" w:rsidRDefault="003A64BF" w:rsidP="00B66FDE">
            <w:pPr>
              <w:rPr>
                <w:rFonts w:cstheme="minorHAnsi"/>
                <w:sz w:val="20"/>
                <w:szCs w:val="20"/>
              </w:rPr>
            </w:pPr>
            <w:r w:rsidRPr="00352092">
              <w:rPr>
                <w:rFonts w:cstheme="minorHAnsi"/>
                <w:sz w:val="20"/>
                <w:szCs w:val="20"/>
              </w:rPr>
              <w:t>Prioritní osa 3</w:t>
            </w:r>
          </w:p>
        </w:tc>
        <w:tc>
          <w:tcPr>
            <w:tcW w:w="850" w:type="dxa"/>
          </w:tcPr>
          <w:p w:rsidR="003A64BF" w:rsidRPr="00352092" w:rsidRDefault="003A64BF" w:rsidP="00B66FDE">
            <w:pPr>
              <w:rPr>
                <w:rFonts w:cstheme="minorHAnsi"/>
                <w:sz w:val="20"/>
                <w:szCs w:val="20"/>
              </w:rPr>
            </w:pPr>
            <w:r>
              <w:rPr>
                <w:rFonts w:cstheme="minorHAnsi"/>
                <w:sz w:val="20"/>
                <w:szCs w:val="20"/>
              </w:rPr>
              <w:t>FS</w:t>
            </w:r>
          </w:p>
        </w:tc>
        <w:tc>
          <w:tcPr>
            <w:tcW w:w="993" w:type="dxa"/>
          </w:tcPr>
          <w:p w:rsidR="003A64BF" w:rsidRPr="00352092" w:rsidRDefault="003A64BF" w:rsidP="00B66FDE">
            <w:pPr>
              <w:rPr>
                <w:rFonts w:cstheme="minorHAnsi"/>
                <w:sz w:val="20"/>
                <w:szCs w:val="20"/>
              </w:rPr>
            </w:pPr>
            <w:r>
              <w:rPr>
                <w:sz w:val="20"/>
                <w:szCs w:val="20"/>
              </w:rPr>
              <w:t>Není relevantní</w:t>
            </w:r>
          </w:p>
        </w:tc>
        <w:tc>
          <w:tcPr>
            <w:tcW w:w="1984" w:type="dxa"/>
          </w:tcPr>
          <w:p w:rsidR="003A64BF" w:rsidRPr="00352092" w:rsidRDefault="003A64BF" w:rsidP="00B66FDE">
            <w:pPr>
              <w:rPr>
                <w:rFonts w:cstheme="minorHAnsi"/>
                <w:sz w:val="20"/>
                <w:szCs w:val="20"/>
              </w:rPr>
            </w:pPr>
            <w:r w:rsidRPr="00352092">
              <w:rPr>
                <w:rFonts w:cstheme="minorHAnsi"/>
                <w:sz w:val="20"/>
                <w:szCs w:val="20"/>
              </w:rPr>
              <w:t>Kapacita podpořených zařízení pro materiálové využití ostatních odpadů</w:t>
            </w:r>
          </w:p>
        </w:tc>
        <w:tc>
          <w:tcPr>
            <w:tcW w:w="1276" w:type="dxa"/>
          </w:tcPr>
          <w:p w:rsidR="003A64BF" w:rsidRPr="00352092" w:rsidRDefault="003A64BF" w:rsidP="00B66FDE">
            <w:pPr>
              <w:rPr>
                <w:rFonts w:cstheme="minorHAnsi"/>
                <w:sz w:val="20"/>
                <w:szCs w:val="20"/>
              </w:rPr>
            </w:pPr>
            <w:r w:rsidRPr="00352092">
              <w:rPr>
                <w:rFonts w:cstheme="minorHAnsi"/>
                <w:sz w:val="20"/>
                <w:szCs w:val="20"/>
              </w:rPr>
              <w:t>t</w:t>
            </w:r>
            <w:r>
              <w:rPr>
                <w:rFonts w:cstheme="minorHAnsi"/>
                <w:sz w:val="20"/>
                <w:szCs w:val="20"/>
              </w:rPr>
              <w:t>/rok</w:t>
            </w:r>
          </w:p>
        </w:tc>
        <w:tc>
          <w:tcPr>
            <w:tcW w:w="992" w:type="dxa"/>
          </w:tcPr>
          <w:p w:rsidR="003A64BF" w:rsidRPr="00352092" w:rsidRDefault="003A64BF" w:rsidP="00B66FDE">
            <w:pPr>
              <w:rPr>
                <w:rFonts w:cstheme="minorHAnsi"/>
                <w:sz w:val="20"/>
                <w:szCs w:val="20"/>
              </w:rPr>
            </w:pPr>
            <w:r>
              <w:rPr>
                <w:rFonts w:cstheme="minorHAnsi"/>
                <w:sz w:val="20"/>
                <w:szCs w:val="20"/>
              </w:rPr>
              <w:t>300 000</w:t>
            </w:r>
          </w:p>
        </w:tc>
        <w:tc>
          <w:tcPr>
            <w:tcW w:w="1276" w:type="dxa"/>
          </w:tcPr>
          <w:p w:rsidR="003A64BF" w:rsidRPr="00352092" w:rsidRDefault="003A64BF" w:rsidP="00B66FDE">
            <w:pPr>
              <w:rPr>
                <w:rFonts w:cstheme="minorHAnsi"/>
                <w:sz w:val="20"/>
                <w:szCs w:val="20"/>
              </w:rPr>
            </w:pPr>
            <w:r w:rsidRPr="00352092">
              <w:rPr>
                <w:sz w:val="20"/>
                <w:szCs w:val="20"/>
              </w:rPr>
              <w:t>2 000 000</w:t>
            </w:r>
          </w:p>
        </w:tc>
      </w:tr>
      <w:tr w:rsidR="003A64BF" w:rsidRPr="00352092" w:rsidTr="004C75A9">
        <w:trPr>
          <w:trHeight w:val="461"/>
        </w:trPr>
        <w:tc>
          <w:tcPr>
            <w:tcW w:w="1418" w:type="dxa"/>
          </w:tcPr>
          <w:p w:rsidR="003A64BF" w:rsidRPr="00352092" w:rsidRDefault="003A64BF" w:rsidP="00B66FDE">
            <w:pPr>
              <w:rPr>
                <w:rFonts w:cstheme="minorHAnsi"/>
                <w:sz w:val="20"/>
                <w:szCs w:val="20"/>
              </w:rPr>
            </w:pPr>
            <w:r w:rsidRPr="00352092">
              <w:rPr>
                <w:rFonts w:cstheme="minorHAnsi"/>
                <w:sz w:val="20"/>
                <w:szCs w:val="20"/>
              </w:rPr>
              <w:t>Prioritní osa 3</w:t>
            </w:r>
          </w:p>
        </w:tc>
        <w:tc>
          <w:tcPr>
            <w:tcW w:w="850" w:type="dxa"/>
          </w:tcPr>
          <w:p w:rsidR="003A64BF" w:rsidRPr="00352092" w:rsidRDefault="003A64BF" w:rsidP="00B66FDE">
            <w:pPr>
              <w:rPr>
                <w:rFonts w:cstheme="minorHAnsi"/>
                <w:sz w:val="20"/>
                <w:szCs w:val="20"/>
              </w:rPr>
            </w:pPr>
            <w:r>
              <w:rPr>
                <w:rFonts w:cstheme="minorHAnsi"/>
                <w:sz w:val="20"/>
                <w:szCs w:val="20"/>
              </w:rPr>
              <w:t>EFRR</w:t>
            </w:r>
          </w:p>
        </w:tc>
        <w:tc>
          <w:tcPr>
            <w:tcW w:w="993" w:type="dxa"/>
          </w:tcPr>
          <w:p w:rsidR="003A64BF" w:rsidRPr="00352092" w:rsidRDefault="003A64BF" w:rsidP="00B66FDE">
            <w:pPr>
              <w:rPr>
                <w:rFonts w:cstheme="minorHAnsi"/>
                <w:sz w:val="20"/>
                <w:szCs w:val="20"/>
              </w:rPr>
            </w:pPr>
            <w:r>
              <w:rPr>
                <w:rFonts w:cstheme="minorHAnsi"/>
                <w:sz w:val="20"/>
                <w:szCs w:val="20"/>
              </w:rPr>
              <w:t>Méně rozvinuté regiony</w:t>
            </w:r>
          </w:p>
        </w:tc>
        <w:tc>
          <w:tcPr>
            <w:tcW w:w="1984" w:type="dxa"/>
          </w:tcPr>
          <w:p w:rsidR="003A64BF" w:rsidRPr="00352092" w:rsidRDefault="003A64BF" w:rsidP="00B66FDE">
            <w:pPr>
              <w:rPr>
                <w:rFonts w:cstheme="minorHAnsi"/>
                <w:sz w:val="20"/>
                <w:szCs w:val="20"/>
              </w:rPr>
            </w:pPr>
            <w:r w:rsidRPr="00352092">
              <w:rPr>
                <w:rFonts w:cstheme="minorHAnsi"/>
                <w:sz w:val="20"/>
                <w:szCs w:val="20"/>
              </w:rPr>
              <w:t>Snížení rizika při nakládání s nebezpečnými látkami</w:t>
            </w:r>
          </w:p>
        </w:tc>
        <w:tc>
          <w:tcPr>
            <w:tcW w:w="1276" w:type="dxa"/>
          </w:tcPr>
          <w:p w:rsidR="003A64BF" w:rsidRPr="00352092" w:rsidRDefault="003A64BF" w:rsidP="00B66FDE">
            <w:pPr>
              <w:rPr>
                <w:rFonts w:cstheme="minorHAnsi"/>
                <w:sz w:val="20"/>
                <w:szCs w:val="20"/>
              </w:rPr>
            </w:pPr>
            <w:r w:rsidRPr="00352092">
              <w:rPr>
                <w:rFonts w:cstheme="minorHAnsi"/>
                <w:sz w:val="20"/>
                <w:szCs w:val="20"/>
              </w:rPr>
              <w:t>Relativní míra rizika</w:t>
            </w:r>
          </w:p>
        </w:tc>
        <w:tc>
          <w:tcPr>
            <w:tcW w:w="992" w:type="dxa"/>
          </w:tcPr>
          <w:p w:rsidR="003A64BF" w:rsidRPr="00352092" w:rsidRDefault="003A64BF" w:rsidP="00B66FDE">
            <w:pPr>
              <w:rPr>
                <w:rFonts w:cstheme="minorHAnsi"/>
                <w:sz w:val="20"/>
                <w:szCs w:val="20"/>
              </w:rPr>
            </w:pPr>
            <w:r>
              <w:rPr>
                <w:rFonts w:cstheme="minorHAnsi"/>
                <w:sz w:val="20"/>
                <w:szCs w:val="20"/>
              </w:rPr>
              <w:t>0,9</w:t>
            </w:r>
          </w:p>
        </w:tc>
        <w:tc>
          <w:tcPr>
            <w:tcW w:w="1276" w:type="dxa"/>
          </w:tcPr>
          <w:p w:rsidR="003A64BF" w:rsidRPr="00352092" w:rsidRDefault="003A64BF" w:rsidP="00B66FDE">
            <w:pPr>
              <w:rPr>
                <w:rFonts w:cstheme="minorHAnsi"/>
                <w:sz w:val="20"/>
                <w:szCs w:val="20"/>
              </w:rPr>
            </w:pPr>
            <w:r w:rsidRPr="00352092">
              <w:rPr>
                <w:rFonts w:cstheme="minorHAnsi"/>
                <w:sz w:val="20"/>
                <w:szCs w:val="20"/>
              </w:rPr>
              <w:t>0,8</w:t>
            </w:r>
          </w:p>
        </w:tc>
      </w:tr>
      <w:tr w:rsidR="003A64BF" w:rsidRPr="00352092" w:rsidTr="004C75A9">
        <w:trPr>
          <w:trHeight w:val="461"/>
        </w:trPr>
        <w:tc>
          <w:tcPr>
            <w:tcW w:w="1418" w:type="dxa"/>
          </w:tcPr>
          <w:p w:rsidR="003A64BF" w:rsidRPr="00352092" w:rsidRDefault="003A64BF" w:rsidP="00B66FDE">
            <w:pPr>
              <w:rPr>
                <w:rFonts w:cstheme="minorHAnsi"/>
                <w:sz w:val="20"/>
                <w:szCs w:val="20"/>
              </w:rPr>
            </w:pPr>
            <w:r w:rsidRPr="00352092">
              <w:rPr>
                <w:rFonts w:cstheme="minorHAnsi"/>
                <w:sz w:val="20"/>
                <w:szCs w:val="20"/>
              </w:rPr>
              <w:t xml:space="preserve">Prioritní osa </w:t>
            </w:r>
            <w:r>
              <w:rPr>
                <w:rFonts w:cstheme="minorHAnsi"/>
                <w:sz w:val="20"/>
                <w:szCs w:val="20"/>
              </w:rPr>
              <w:t>4</w:t>
            </w:r>
          </w:p>
        </w:tc>
        <w:tc>
          <w:tcPr>
            <w:tcW w:w="850" w:type="dxa"/>
          </w:tcPr>
          <w:p w:rsidR="003A64BF" w:rsidRDefault="003A64BF" w:rsidP="00B66FDE">
            <w:pPr>
              <w:rPr>
                <w:rFonts w:cstheme="minorHAnsi"/>
                <w:sz w:val="20"/>
                <w:szCs w:val="20"/>
              </w:rPr>
            </w:pPr>
            <w:r>
              <w:rPr>
                <w:sz w:val="20"/>
                <w:szCs w:val="20"/>
              </w:rPr>
              <w:t>EFRR</w:t>
            </w:r>
          </w:p>
        </w:tc>
        <w:tc>
          <w:tcPr>
            <w:tcW w:w="993" w:type="dxa"/>
          </w:tcPr>
          <w:p w:rsidR="003A64BF" w:rsidRDefault="003A64BF" w:rsidP="00B66FDE">
            <w:pPr>
              <w:rPr>
                <w:rFonts w:cstheme="minorHAnsi"/>
                <w:sz w:val="20"/>
                <w:szCs w:val="20"/>
              </w:rPr>
            </w:pPr>
            <w:r>
              <w:rPr>
                <w:rFonts w:cstheme="minorHAnsi"/>
                <w:sz w:val="20"/>
                <w:szCs w:val="20"/>
              </w:rPr>
              <w:t>Méně rozvinuté regiony</w:t>
            </w:r>
          </w:p>
        </w:tc>
        <w:tc>
          <w:tcPr>
            <w:tcW w:w="1984" w:type="dxa"/>
          </w:tcPr>
          <w:p w:rsidR="003A64BF" w:rsidRPr="00352092" w:rsidRDefault="003A64BF" w:rsidP="003A64BF">
            <w:pPr>
              <w:spacing w:after="0" w:afterAutospacing="0"/>
              <w:rPr>
                <w:rFonts w:cstheme="minorHAnsi"/>
                <w:sz w:val="20"/>
                <w:szCs w:val="20"/>
              </w:rPr>
            </w:pPr>
            <w:r>
              <w:rPr>
                <w:sz w:val="20"/>
                <w:szCs w:val="20"/>
              </w:rPr>
              <w:t>Celkové certifikované způsobilé výdaje</w:t>
            </w:r>
          </w:p>
        </w:tc>
        <w:tc>
          <w:tcPr>
            <w:tcW w:w="1276" w:type="dxa"/>
          </w:tcPr>
          <w:p w:rsidR="003A64BF" w:rsidRPr="00352092" w:rsidRDefault="003A64BF" w:rsidP="00B66FDE">
            <w:pPr>
              <w:rPr>
                <w:rFonts w:cstheme="minorHAnsi"/>
                <w:sz w:val="20"/>
                <w:szCs w:val="20"/>
              </w:rPr>
            </w:pPr>
            <w:r>
              <w:rPr>
                <w:rFonts w:cstheme="minorHAnsi"/>
                <w:sz w:val="20"/>
                <w:szCs w:val="20"/>
              </w:rPr>
              <w:t>EUR</w:t>
            </w:r>
          </w:p>
        </w:tc>
        <w:tc>
          <w:tcPr>
            <w:tcW w:w="992" w:type="dxa"/>
          </w:tcPr>
          <w:p w:rsidR="007248DA" w:rsidRPr="007248DA" w:rsidRDefault="007248DA" w:rsidP="007248DA">
            <w:pPr>
              <w:rPr>
                <w:rFonts w:cstheme="minorHAnsi"/>
                <w:sz w:val="20"/>
                <w:szCs w:val="20"/>
              </w:rPr>
            </w:pPr>
            <w:r w:rsidRPr="007248DA">
              <w:rPr>
                <w:rFonts w:cstheme="minorHAnsi"/>
                <w:sz w:val="20"/>
                <w:szCs w:val="20"/>
              </w:rPr>
              <w:t>89</w:t>
            </w:r>
            <w:r>
              <w:rPr>
                <w:rFonts w:cstheme="minorHAnsi"/>
                <w:sz w:val="20"/>
                <w:szCs w:val="20"/>
              </w:rPr>
              <w:t xml:space="preserve"> </w:t>
            </w:r>
            <w:r w:rsidRPr="007248DA">
              <w:rPr>
                <w:rFonts w:cstheme="minorHAnsi"/>
                <w:sz w:val="20"/>
                <w:szCs w:val="20"/>
              </w:rPr>
              <w:t>833</w:t>
            </w:r>
            <w:r>
              <w:rPr>
                <w:rFonts w:cstheme="minorHAnsi"/>
                <w:sz w:val="20"/>
                <w:szCs w:val="20"/>
              </w:rPr>
              <w:t xml:space="preserve"> </w:t>
            </w:r>
            <w:r w:rsidRPr="007248DA">
              <w:rPr>
                <w:rFonts w:cstheme="minorHAnsi"/>
                <w:sz w:val="20"/>
                <w:szCs w:val="20"/>
              </w:rPr>
              <w:t>716</w:t>
            </w:r>
          </w:p>
          <w:p w:rsidR="003A64BF" w:rsidRDefault="003A64BF" w:rsidP="00B66FDE">
            <w:pPr>
              <w:rPr>
                <w:rFonts w:cstheme="minorHAnsi"/>
                <w:sz w:val="20"/>
                <w:szCs w:val="20"/>
              </w:rPr>
            </w:pPr>
          </w:p>
        </w:tc>
        <w:tc>
          <w:tcPr>
            <w:tcW w:w="1276" w:type="dxa"/>
          </w:tcPr>
          <w:p w:rsidR="007248DA" w:rsidRPr="007248DA" w:rsidRDefault="007248DA" w:rsidP="007248DA">
            <w:pPr>
              <w:rPr>
                <w:sz w:val="20"/>
                <w:szCs w:val="20"/>
              </w:rPr>
            </w:pPr>
            <w:r w:rsidRPr="007248DA">
              <w:rPr>
                <w:sz w:val="20"/>
                <w:szCs w:val="20"/>
              </w:rPr>
              <w:t>351</w:t>
            </w:r>
            <w:r>
              <w:rPr>
                <w:sz w:val="20"/>
                <w:szCs w:val="20"/>
              </w:rPr>
              <w:t xml:space="preserve"> </w:t>
            </w:r>
            <w:r w:rsidRPr="007248DA">
              <w:rPr>
                <w:sz w:val="20"/>
                <w:szCs w:val="20"/>
              </w:rPr>
              <w:t>735</w:t>
            </w:r>
            <w:r>
              <w:rPr>
                <w:sz w:val="20"/>
                <w:szCs w:val="20"/>
              </w:rPr>
              <w:t xml:space="preserve"> </w:t>
            </w:r>
            <w:r w:rsidRPr="007248DA">
              <w:rPr>
                <w:sz w:val="20"/>
                <w:szCs w:val="20"/>
              </w:rPr>
              <w:t>068,9</w:t>
            </w:r>
          </w:p>
          <w:p w:rsidR="003A64BF" w:rsidRPr="00352092" w:rsidDel="009A33D6" w:rsidRDefault="003A64BF" w:rsidP="00B66FDE">
            <w:pPr>
              <w:rPr>
                <w:sz w:val="20"/>
                <w:szCs w:val="20"/>
              </w:rPr>
            </w:pPr>
          </w:p>
        </w:tc>
      </w:tr>
      <w:tr w:rsidR="003A64BF" w:rsidRPr="00352092" w:rsidTr="004C75A9">
        <w:trPr>
          <w:trHeight w:val="461"/>
        </w:trPr>
        <w:tc>
          <w:tcPr>
            <w:tcW w:w="1418" w:type="dxa"/>
          </w:tcPr>
          <w:p w:rsidR="003A64BF" w:rsidRPr="00352092" w:rsidRDefault="003A64BF" w:rsidP="00B66FDE">
            <w:pPr>
              <w:rPr>
                <w:rFonts w:cstheme="minorHAnsi"/>
                <w:sz w:val="20"/>
                <w:szCs w:val="20"/>
              </w:rPr>
            </w:pPr>
            <w:r w:rsidRPr="00352092">
              <w:rPr>
                <w:rFonts w:cstheme="minorHAnsi"/>
                <w:sz w:val="20"/>
                <w:szCs w:val="20"/>
              </w:rPr>
              <w:t>Prioritní osa 4</w:t>
            </w:r>
          </w:p>
        </w:tc>
        <w:tc>
          <w:tcPr>
            <w:tcW w:w="850" w:type="dxa"/>
          </w:tcPr>
          <w:p w:rsidR="003A64BF" w:rsidRPr="00352092" w:rsidRDefault="003A64BF" w:rsidP="00B66FDE">
            <w:pPr>
              <w:rPr>
                <w:rFonts w:cstheme="minorHAnsi"/>
                <w:sz w:val="20"/>
                <w:szCs w:val="20"/>
              </w:rPr>
            </w:pPr>
            <w:r>
              <w:rPr>
                <w:rFonts w:cstheme="minorHAnsi"/>
                <w:sz w:val="20"/>
                <w:szCs w:val="20"/>
              </w:rPr>
              <w:t>EFRR</w:t>
            </w:r>
          </w:p>
        </w:tc>
        <w:tc>
          <w:tcPr>
            <w:tcW w:w="993" w:type="dxa"/>
          </w:tcPr>
          <w:p w:rsidR="003A64BF" w:rsidRPr="00352092" w:rsidRDefault="003A64BF" w:rsidP="00B66FDE">
            <w:pPr>
              <w:rPr>
                <w:rFonts w:cstheme="minorHAnsi"/>
                <w:sz w:val="20"/>
                <w:szCs w:val="20"/>
              </w:rPr>
            </w:pPr>
            <w:r>
              <w:rPr>
                <w:rFonts w:cstheme="minorHAnsi"/>
                <w:sz w:val="20"/>
                <w:szCs w:val="20"/>
              </w:rPr>
              <w:t xml:space="preserve">Méně rozvinuté </w:t>
            </w:r>
            <w:r>
              <w:rPr>
                <w:rFonts w:cstheme="minorHAnsi"/>
                <w:sz w:val="20"/>
                <w:szCs w:val="20"/>
              </w:rPr>
              <w:lastRenderedPageBreak/>
              <w:t>regiony</w:t>
            </w:r>
          </w:p>
        </w:tc>
        <w:tc>
          <w:tcPr>
            <w:tcW w:w="1984" w:type="dxa"/>
          </w:tcPr>
          <w:p w:rsidR="003A64BF" w:rsidRPr="00352092" w:rsidRDefault="003A64BF" w:rsidP="00B66FDE">
            <w:pPr>
              <w:rPr>
                <w:rFonts w:cstheme="minorHAnsi"/>
                <w:sz w:val="20"/>
                <w:szCs w:val="20"/>
              </w:rPr>
            </w:pPr>
            <w:r w:rsidRPr="00352092">
              <w:rPr>
                <w:rFonts w:cstheme="minorHAnsi"/>
                <w:sz w:val="20"/>
                <w:szCs w:val="20"/>
              </w:rPr>
              <w:lastRenderedPageBreak/>
              <w:t xml:space="preserve">Plocha revitalizovaného území  </w:t>
            </w:r>
          </w:p>
        </w:tc>
        <w:tc>
          <w:tcPr>
            <w:tcW w:w="1276" w:type="dxa"/>
          </w:tcPr>
          <w:p w:rsidR="003A64BF" w:rsidRPr="00352092" w:rsidRDefault="003A64BF" w:rsidP="00B66FDE">
            <w:pPr>
              <w:rPr>
                <w:rFonts w:cstheme="minorHAnsi"/>
                <w:sz w:val="20"/>
                <w:szCs w:val="20"/>
              </w:rPr>
            </w:pPr>
            <w:r w:rsidRPr="00352092">
              <w:rPr>
                <w:rFonts w:cstheme="minorHAnsi"/>
                <w:sz w:val="20"/>
                <w:szCs w:val="20"/>
              </w:rPr>
              <w:t>ha</w:t>
            </w:r>
          </w:p>
        </w:tc>
        <w:tc>
          <w:tcPr>
            <w:tcW w:w="992" w:type="dxa"/>
          </w:tcPr>
          <w:p w:rsidR="003A64BF" w:rsidRPr="00352092" w:rsidRDefault="003A64BF" w:rsidP="00B66FDE">
            <w:pPr>
              <w:rPr>
                <w:rFonts w:cstheme="minorHAnsi"/>
                <w:sz w:val="20"/>
                <w:szCs w:val="20"/>
              </w:rPr>
            </w:pPr>
            <w:r>
              <w:rPr>
                <w:rFonts w:cstheme="minorHAnsi"/>
                <w:sz w:val="20"/>
                <w:szCs w:val="20"/>
              </w:rPr>
              <w:t>41 378</w:t>
            </w:r>
          </w:p>
        </w:tc>
        <w:tc>
          <w:tcPr>
            <w:tcW w:w="1276" w:type="dxa"/>
          </w:tcPr>
          <w:p w:rsidR="003A64BF" w:rsidRPr="00352092" w:rsidRDefault="003A64BF" w:rsidP="00B66FDE">
            <w:pPr>
              <w:rPr>
                <w:rFonts w:cstheme="minorHAnsi"/>
                <w:sz w:val="20"/>
                <w:szCs w:val="20"/>
              </w:rPr>
            </w:pPr>
            <w:r>
              <w:rPr>
                <w:sz w:val="20"/>
                <w:szCs w:val="20"/>
              </w:rPr>
              <w:t>49 820</w:t>
            </w:r>
          </w:p>
        </w:tc>
      </w:tr>
      <w:tr w:rsidR="003A64BF" w:rsidRPr="00352092" w:rsidTr="004C75A9">
        <w:trPr>
          <w:trHeight w:val="476"/>
        </w:trPr>
        <w:tc>
          <w:tcPr>
            <w:tcW w:w="1418" w:type="dxa"/>
          </w:tcPr>
          <w:p w:rsidR="003A64BF" w:rsidRPr="00352092" w:rsidRDefault="003A64BF" w:rsidP="00B66FDE">
            <w:pPr>
              <w:rPr>
                <w:rFonts w:cstheme="minorHAnsi"/>
                <w:sz w:val="20"/>
                <w:szCs w:val="20"/>
              </w:rPr>
            </w:pPr>
            <w:r w:rsidRPr="00352092">
              <w:rPr>
                <w:rFonts w:cstheme="minorHAnsi"/>
                <w:sz w:val="20"/>
                <w:szCs w:val="20"/>
              </w:rPr>
              <w:lastRenderedPageBreak/>
              <w:t xml:space="preserve">Prioritní osa </w:t>
            </w:r>
            <w:r>
              <w:rPr>
                <w:rFonts w:cstheme="minorHAnsi"/>
                <w:sz w:val="20"/>
                <w:szCs w:val="20"/>
              </w:rPr>
              <w:t>5</w:t>
            </w:r>
          </w:p>
        </w:tc>
        <w:tc>
          <w:tcPr>
            <w:tcW w:w="850" w:type="dxa"/>
          </w:tcPr>
          <w:p w:rsidR="003A64BF" w:rsidRDefault="003A64BF" w:rsidP="00B66FDE">
            <w:pPr>
              <w:rPr>
                <w:rFonts w:cstheme="minorHAnsi"/>
                <w:sz w:val="20"/>
                <w:szCs w:val="20"/>
              </w:rPr>
            </w:pPr>
            <w:r>
              <w:rPr>
                <w:sz w:val="20"/>
                <w:szCs w:val="20"/>
              </w:rPr>
              <w:t>FS</w:t>
            </w:r>
          </w:p>
        </w:tc>
        <w:tc>
          <w:tcPr>
            <w:tcW w:w="993" w:type="dxa"/>
          </w:tcPr>
          <w:p w:rsidR="003A64BF" w:rsidRDefault="003A64BF" w:rsidP="00B66FDE">
            <w:pPr>
              <w:rPr>
                <w:sz w:val="20"/>
                <w:szCs w:val="20"/>
              </w:rPr>
            </w:pPr>
            <w:r>
              <w:rPr>
                <w:sz w:val="20"/>
                <w:szCs w:val="20"/>
              </w:rPr>
              <w:t>Není relevantní</w:t>
            </w:r>
          </w:p>
        </w:tc>
        <w:tc>
          <w:tcPr>
            <w:tcW w:w="1984" w:type="dxa"/>
          </w:tcPr>
          <w:p w:rsidR="003A64BF" w:rsidRPr="008B5287" w:rsidRDefault="003A64BF" w:rsidP="00B66FDE">
            <w:pPr>
              <w:rPr>
                <w:sz w:val="20"/>
                <w:szCs w:val="20"/>
              </w:rPr>
            </w:pPr>
            <w:r>
              <w:rPr>
                <w:sz w:val="20"/>
                <w:szCs w:val="20"/>
              </w:rPr>
              <w:t>Celkové certifikované způsobilé výdaje</w:t>
            </w:r>
          </w:p>
        </w:tc>
        <w:tc>
          <w:tcPr>
            <w:tcW w:w="1276" w:type="dxa"/>
          </w:tcPr>
          <w:p w:rsidR="003A64BF" w:rsidRPr="00352092" w:rsidDel="009A33D6" w:rsidRDefault="003A64BF" w:rsidP="00B66FDE">
            <w:pPr>
              <w:rPr>
                <w:sz w:val="20"/>
                <w:szCs w:val="20"/>
              </w:rPr>
            </w:pPr>
            <w:r>
              <w:rPr>
                <w:rFonts w:cstheme="minorHAnsi"/>
                <w:sz w:val="20"/>
                <w:szCs w:val="20"/>
              </w:rPr>
              <w:t>EUR</w:t>
            </w:r>
          </w:p>
        </w:tc>
        <w:tc>
          <w:tcPr>
            <w:tcW w:w="992" w:type="dxa"/>
          </w:tcPr>
          <w:p w:rsidR="007248DA" w:rsidRPr="007248DA" w:rsidRDefault="0033290F" w:rsidP="007248DA">
            <w:pPr>
              <w:spacing w:line="276" w:lineRule="auto"/>
              <w:rPr>
                <w:rFonts w:asciiTheme="majorHAnsi" w:hAnsiTheme="majorHAnsi"/>
                <w:color w:val="000000"/>
                <w:sz w:val="20"/>
                <w:szCs w:val="20"/>
              </w:rPr>
            </w:pPr>
            <w:r w:rsidRPr="0033290F">
              <w:rPr>
                <w:rFonts w:asciiTheme="majorHAnsi" w:hAnsiTheme="majorHAnsi"/>
                <w:color w:val="000000"/>
                <w:sz w:val="20"/>
                <w:szCs w:val="20"/>
              </w:rPr>
              <w:t>129</w:t>
            </w:r>
            <w:r w:rsidR="007248DA">
              <w:rPr>
                <w:rFonts w:asciiTheme="majorHAnsi" w:hAnsiTheme="majorHAnsi"/>
                <w:color w:val="000000"/>
                <w:sz w:val="20"/>
                <w:szCs w:val="20"/>
              </w:rPr>
              <w:t xml:space="preserve"> </w:t>
            </w:r>
            <w:r w:rsidRPr="0033290F">
              <w:rPr>
                <w:rFonts w:asciiTheme="majorHAnsi" w:hAnsiTheme="majorHAnsi"/>
                <w:color w:val="000000"/>
                <w:sz w:val="20"/>
                <w:szCs w:val="20"/>
              </w:rPr>
              <w:t>482</w:t>
            </w:r>
            <w:r w:rsidR="007248DA">
              <w:rPr>
                <w:rFonts w:asciiTheme="majorHAnsi" w:hAnsiTheme="majorHAnsi"/>
                <w:color w:val="000000"/>
                <w:sz w:val="20"/>
                <w:szCs w:val="20"/>
              </w:rPr>
              <w:t xml:space="preserve"> </w:t>
            </w:r>
            <w:r w:rsidRPr="0033290F">
              <w:rPr>
                <w:rFonts w:asciiTheme="majorHAnsi" w:hAnsiTheme="majorHAnsi"/>
                <w:color w:val="000000"/>
                <w:sz w:val="20"/>
                <w:szCs w:val="20"/>
              </w:rPr>
              <w:t>874</w:t>
            </w:r>
          </w:p>
          <w:p w:rsidR="003A64BF" w:rsidRPr="00352092" w:rsidRDefault="003A64BF" w:rsidP="00B66FDE">
            <w:pPr>
              <w:rPr>
                <w:sz w:val="20"/>
                <w:szCs w:val="20"/>
              </w:rPr>
            </w:pPr>
          </w:p>
        </w:tc>
        <w:tc>
          <w:tcPr>
            <w:tcW w:w="1276" w:type="dxa"/>
          </w:tcPr>
          <w:p w:rsidR="007248DA" w:rsidRPr="007248DA" w:rsidRDefault="007248DA" w:rsidP="007248DA">
            <w:pPr>
              <w:rPr>
                <w:sz w:val="20"/>
                <w:szCs w:val="20"/>
              </w:rPr>
            </w:pPr>
            <w:r w:rsidRPr="007248DA">
              <w:rPr>
                <w:sz w:val="20"/>
                <w:szCs w:val="20"/>
              </w:rPr>
              <w:t>509</w:t>
            </w:r>
            <w:r>
              <w:rPr>
                <w:sz w:val="20"/>
                <w:szCs w:val="20"/>
              </w:rPr>
              <w:t xml:space="preserve"> </w:t>
            </w:r>
            <w:r w:rsidRPr="007248DA">
              <w:rPr>
                <w:sz w:val="20"/>
                <w:szCs w:val="20"/>
              </w:rPr>
              <w:t>626</w:t>
            </w:r>
            <w:r>
              <w:rPr>
                <w:sz w:val="20"/>
                <w:szCs w:val="20"/>
              </w:rPr>
              <w:t xml:space="preserve"> </w:t>
            </w:r>
            <w:r w:rsidRPr="007248DA">
              <w:rPr>
                <w:sz w:val="20"/>
                <w:szCs w:val="20"/>
              </w:rPr>
              <w:t>952</w:t>
            </w:r>
          </w:p>
          <w:p w:rsidR="003A64BF" w:rsidRPr="00352092" w:rsidDel="009A33D6" w:rsidRDefault="003A64BF" w:rsidP="00B66FDE">
            <w:pPr>
              <w:rPr>
                <w:sz w:val="20"/>
                <w:szCs w:val="20"/>
              </w:rPr>
            </w:pPr>
          </w:p>
        </w:tc>
      </w:tr>
      <w:tr w:rsidR="003A64BF" w:rsidRPr="00352092" w:rsidTr="004C75A9">
        <w:trPr>
          <w:trHeight w:val="476"/>
        </w:trPr>
        <w:tc>
          <w:tcPr>
            <w:tcW w:w="1418" w:type="dxa"/>
          </w:tcPr>
          <w:p w:rsidR="003A64BF" w:rsidRPr="00352092" w:rsidRDefault="003A64BF" w:rsidP="00B66FDE">
            <w:pPr>
              <w:rPr>
                <w:rFonts w:cstheme="minorHAnsi"/>
                <w:sz w:val="20"/>
                <w:szCs w:val="20"/>
              </w:rPr>
            </w:pPr>
            <w:r w:rsidRPr="00352092">
              <w:rPr>
                <w:rFonts w:cstheme="minorHAnsi"/>
                <w:sz w:val="20"/>
                <w:szCs w:val="20"/>
              </w:rPr>
              <w:t>Prioritní osa 5</w:t>
            </w:r>
          </w:p>
        </w:tc>
        <w:tc>
          <w:tcPr>
            <w:tcW w:w="850" w:type="dxa"/>
          </w:tcPr>
          <w:p w:rsidR="003A64BF" w:rsidRPr="00352092" w:rsidRDefault="003A64BF" w:rsidP="00B66FDE">
            <w:pPr>
              <w:rPr>
                <w:rFonts w:cstheme="minorHAnsi"/>
                <w:sz w:val="20"/>
                <w:szCs w:val="20"/>
              </w:rPr>
            </w:pPr>
            <w:r>
              <w:rPr>
                <w:rFonts w:cstheme="minorHAnsi"/>
                <w:sz w:val="20"/>
                <w:szCs w:val="20"/>
              </w:rPr>
              <w:t>FS</w:t>
            </w:r>
          </w:p>
        </w:tc>
        <w:tc>
          <w:tcPr>
            <w:tcW w:w="993" w:type="dxa"/>
          </w:tcPr>
          <w:p w:rsidR="003A64BF" w:rsidRPr="00352092" w:rsidRDefault="003A64BF" w:rsidP="00B66FDE">
            <w:pPr>
              <w:rPr>
                <w:rFonts w:cstheme="minorHAnsi"/>
                <w:sz w:val="20"/>
                <w:szCs w:val="20"/>
              </w:rPr>
            </w:pPr>
            <w:r>
              <w:rPr>
                <w:sz w:val="20"/>
                <w:szCs w:val="20"/>
              </w:rPr>
              <w:t>Není relevantní</w:t>
            </w:r>
          </w:p>
        </w:tc>
        <w:tc>
          <w:tcPr>
            <w:tcW w:w="1984" w:type="dxa"/>
          </w:tcPr>
          <w:p w:rsidR="003A64BF" w:rsidRPr="00352092" w:rsidRDefault="003A64BF" w:rsidP="00B66FDE">
            <w:pPr>
              <w:rPr>
                <w:rFonts w:cstheme="minorHAnsi"/>
                <w:sz w:val="20"/>
                <w:szCs w:val="20"/>
              </w:rPr>
            </w:pPr>
            <w:r w:rsidRPr="008B5287">
              <w:rPr>
                <w:sz w:val="20"/>
                <w:szCs w:val="20"/>
              </w:rPr>
              <w:t>Snížení konečné spotřeby energie ve veřejných budovách</w:t>
            </w:r>
          </w:p>
        </w:tc>
        <w:tc>
          <w:tcPr>
            <w:tcW w:w="1276" w:type="dxa"/>
          </w:tcPr>
          <w:p w:rsidR="003A64BF" w:rsidRPr="00352092" w:rsidRDefault="003A64BF" w:rsidP="00B66FDE">
            <w:pPr>
              <w:rPr>
                <w:rFonts w:cstheme="minorHAnsi"/>
                <w:sz w:val="20"/>
                <w:szCs w:val="20"/>
              </w:rPr>
            </w:pPr>
            <w:r>
              <w:rPr>
                <w:sz w:val="20"/>
                <w:szCs w:val="20"/>
              </w:rPr>
              <w:t>GJ</w:t>
            </w:r>
            <w:r w:rsidRPr="00352092">
              <w:rPr>
                <w:sz w:val="20"/>
                <w:szCs w:val="20"/>
                <w:lang w:val="en-US"/>
              </w:rPr>
              <w:t>/</w:t>
            </w:r>
            <w:proofErr w:type="spellStart"/>
            <w:r w:rsidRPr="00352092">
              <w:rPr>
                <w:sz w:val="20"/>
                <w:szCs w:val="20"/>
                <w:lang w:val="en-US"/>
              </w:rPr>
              <w:t>rok</w:t>
            </w:r>
            <w:proofErr w:type="spellEnd"/>
          </w:p>
        </w:tc>
        <w:tc>
          <w:tcPr>
            <w:tcW w:w="992" w:type="dxa"/>
          </w:tcPr>
          <w:p w:rsidR="003A64BF" w:rsidRPr="00352092" w:rsidRDefault="003A64BF" w:rsidP="00B66FDE">
            <w:pPr>
              <w:rPr>
                <w:rFonts w:cstheme="minorHAnsi"/>
                <w:sz w:val="20"/>
                <w:szCs w:val="20"/>
              </w:rPr>
            </w:pPr>
            <w:r w:rsidRPr="00352092">
              <w:rPr>
                <w:sz w:val="20"/>
                <w:szCs w:val="20"/>
              </w:rPr>
              <w:t>500 000</w:t>
            </w:r>
          </w:p>
        </w:tc>
        <w:tc>
          <w:tcPr>
            <w:tcW w:w="1276" w:type="dxa"/>
          </w:tcPr>
          <w:p w:rsidR="003A64BF" w:rsidRPr="00352092" w:rsidRDefault="003A64BF" w:rsidP="00B66FDE">
            <w:pPr>
              <w:rPr>
                <w:rFonts w:cstheme="minorHAnsi"/>
                <w:sz w:val="20"/>
                <w:szCs w:val="20"/>
              </w:rPr>
            </w:pPr>
            <w:r>
              <w:rPr>
                <w:sz w:val="20"/>
                <w:szCs w:val="20"/>
              </w:rPr>
              <w:t>2 000 000</w:t>
            </w:r>
          </w:p>
        </w:tc>
      </w:tr>
    </w:tbl>
    <w:p w:rsidR="001D2383" w:rsidRDefault="001D2383" w:rsidP="0072263D"/>
    <w:p w:rsidR="00F625C4" w:rsidRDefault="00F625C4" w:rsidP="0072263D"/>
    <w:p w:rsidR="00F625C4" w:rsidRDefault="00F625C4" w:rsidP="0072263D"/>
    <w:p w:rsidR="00F625C4" w:rsidRDefault="00F625C4" w:rsidP="0072263D"/>
    <w:p w:rsidR="00F625C4" w:rsidRDefault="00F625C4" w:rsidP="0072263D"/>
    <w:p w:rsidR="00F625C4" w:rsidRDefault="00F625C4" w:rsidP="0072263D"/>
    <w:p w:rsidR="00F625C4" w:rsidRDefault="00F625C4" w:rsidP="0072263D"/>
    <w:p w:rsidR="00F625C4" w:rsidRDefault="00F625C4" w:rsidP="0072263D"/>
    <w:p w:rsidR="00F625C4" w:rsidRDefault="00F625C4" w:rsidP="0072263D"/>
    <w:p w:rsidR="00F625C4" w:rsidRDefault="00F625C4" w:rsidP="0072263D"/>
    <w:p w:rsidR="00F625C4" w:rsidRDefault="00F625C4" w:rsidP="0072263D"/>
    <w:p w:rsidR="00F625C4" w:rsidRDefault="00F625C4" w:rsidP="0072263D"/>
    <w:p w:rsidR="00F625C4" w:rsidRDefault="00F625C4" w:rsidP="0072263D"/>
    <w:p w:rsidR="00F625C4" w:rsidRDefault="00F625C4" w:rsidP="0072263D"/>
    <w:p w:rsidR="00F625C4" w:rsidRDefault="00F625C4" w:rsidP="0072263D"/>
    <w:p w:rsidR="00F625C4" w:rsidRDefault="00F625C4" w:rsidP="0072263D"/>
    <w:p w:rsidR="00F625C4" w:rsidRPr="0072263D" w:rsidRDefault="00F625C4" w:rsidP="0072263D"/>
    <w:p w:rsidR="00674BC9" w:rsidRDefault="007627C7">
      <w:pPr>
        <w:pStyle w:val="Nadpis2"/>
      </w:pPr>
      <w:bookmarkStart w:id="3504" w:name="_Toc392151104"/>
      <w:r w:rsidRPr="0072263D">
        <w:lastRenderedPageBreak/>
        <w:t xml:space="preserve">Seznam </w:t>
      </w:r>
      <w:r w:rsidR="00D4425A">
        <w:t>příslušných</w:t>
      </w:r>
      <w:r w:rsidR="00D4425A" w:rsidRPr="0072263D">
        <w:t xml:space="preserve"> </w:t>
      </w:r>
      <w:r w:rsidR="003E74C4" w:rsidRPr="0072263D">
        <w:t>partnerů zapojených do </w:t>
      </w:r>
      <w:r w:rsidRPr="0072263D">
        <w:t>přípravy operačního programu</w:t>
      </w:r>
      <w:bookmarkEnd w:id="3504"/>
    </w:p>
    <w:tbl>
      <w:tblPr>
        <w:tblW w:w="9087" w:type="dxa"/>
        <w:tblInd w:w="55" w:type="dxa"/>
        <w:tblCellMar>
          <w:left w:w="70" w:type="dxa"/>
          <w:right w:w="70" w:type="dxa"/>
        </w:tblCellMar>
        <w:tblLook w:val="04A0" w:firstRow="1" w:lastRow="0" w:firstColumn="1" w:lastColumn="0" w:noHBand="0" w:noVBand="1"/>
      </w:tblPr>
      <w:tblGrid>
        <w:gridCol w:w="429"/>
        <w:gridCol w:w="8658"/>
      </w:tblGrid>
      <w:tr w:rsidR="00AB19FD" w:rsidRPr="00AB19FD" w:rsidTr="00FB0534">
        <w:trPr>
          <w:trHeight w:hRule="exact" w:val="622"/>
        </w:trPr>
        <w:tc>
          <w:tcPr>
            <w:tcW w:w="90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B19FD" w:rsidRPr="00AB19FD" w:rsidRDefault="00DB26AA" w:rsidP="00B66FDE">
            <w:pPr>
              <w:rPr>
                <w:rFonts w:eastAsia="Times New Roman" w:cs="Times New Roman"/>
                <w:b/>
                <w:bCs/>
                <w:color w:val="000000"/>
              </w:rPr>
            </w:pPr>
            <w:r w:rsidRPr="00DB26AA">
              <w:rPr>
                <w:rFonts w:eastAsia="Times New Roman" w:cs="Times New Roman"/>
                <w:b/>
                <w:bCs/>
                <w:color w:val="000000"/>
              </w:rPr>
              <w:t>Seznam členů Platformy MŽP 2014-2020</w:t>
            </w:r>
          </w:p>
        </w:tc>
      </w:tr>
      <w:tr w:rsidR="00AB19FD" w:rsidRPr="00AB19FD" w:rsidTr="00FB0534">
        <w:trPr>
          <w:trHeight w:hRule="exact" w:val="312"/>
        </w:trPr>
        <w:tc>
          <w:tcPr>
            <w:tcW w:w="90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B19FD" w:rsidRPr="00AB19FD" w:rsidRDefault="00AB19FD" w:rsidP="00B66FDE">
            <w:pPr>
              <w:rPr>
                <w:rFonts w:eastAsia="Times New Roman" w:cs="Times New Roman"/>
                <w:b/>
                <w:bCs/>
                <w:color w:val="000000"/>
              </w:rPr>
            </w:pPr>
            <w:r w:rsidRPr="00AB19FD">
              <w:rPr>
                <w:rFonts w:eastAsia="Times New Roman" w:cs="Times New Roman"/>
                <w:b/>
                <w:bCs/>
                <w:color w:val="000000"/>
              </w:rPr>
              <w:t>Organizace</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1.</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Asociace krajů České republiky</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2.</w:t>
            </w:r>
          </w:p>
        </w:tc>
        <w:tc>
          <w:tcPr>
            <w:tcW w:w="8658" w:type="dxa"/>
            <w:tcBorders>
              <w:top w:val="nil"/>
              <w:left w:val="nil"/>
              <w:bottom w:val="single" w:sz="4" w:space="0" w:color="auto"/>
              <w:right w:val="single" w:sz="4" w:space="0" w:color="auto"/>
            </w:tcBorders>
            <w:shd w:val="clear" w:color="auto" w:fill="auto"/>
            <w:vAlign w:val="bottom"/>
            <w:hideMark/>
          </w:tcPr>
          <w:p w:rsidR="00486973" w:rsidRDefault="00486973">
            <w:pPr>
              <w:rPr>
                <w:color w:val="000000"/>
              </w:rPr>
            </w:pPr>
            <w:r>
              <w:rPr>
                <w:color w:val="000000"/>
              </w:rPr>
              <w:t>Asociace poskytovatelů energetických služeb</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3.</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Centrum pro dopravu a energetiku</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4.</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Centrum pro otázky životního prostředí Univerzity Karlovy v Praze</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5.</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 xml:space="preserve">Česká asociace odpadového hospodářství </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6.</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Česká bankovní asociace</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7.</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 xml:space="preserve">Českomoravská konfederace odborových svazů </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8.</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Česko-Moravsko-Slezská Asociace společenství vlastníků jednotek</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9.</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Český hydrometeorologický ústav</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10.</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 xml:space="preserve">Český statistický úřad </w:t>
            </w:r>
          </w:p>
        </w:tc>
      </w:tr>
      <w:tr w:rsidR="00486973" w:rsidRPr="00AB19FD" w:rsidTr="009B0D22">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11.</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Český svaz ochránců přírody</w:t>
            </w:r>
          </w:p>
        </w:tc>
      </w:tr>
      <w:tr w:rsidR="00486973" w:rsidRPr="00AB19FD" w:rsidTr="009B0D22">
        <w:trPr>
          <w:trHeight w:val="312"/>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12.</w:t>
            </w:r>
          </w:p>
        </w:tc>
        <w:tc>
          <w:tcPr>
            <w:tcW w:w="8658" w:type="dxa"/>
            <w:tcBorders>
              <w:top w:val="single" w:sz="4" w:space="0" w:color="auto"/>
              <w:left w:val="nil"/>
              <w:bottom w:val="single" w:sz="4" w:space="0" w:color="auto"/>
              <w:right w:val="single" w:sz="4" w:space="0" w:color="auto"/>
            </w:tcBorders>
            <w:shd w:val="clear" w:color="auto" w:fill="auto"/>
            <w:noWrap/>
            <w:vAlign w:val="bottom"/>
            <w:hideMark/>
          </w:tcPr>
          <w:p w:rsidR="00486973" w:rsidRDefault="00486973">
            <w:pPr>
              <w:rPr>
                <w:color w:val="000000"/>
              </w:rPr>
            </w:pPr>
            <w:proofErr w:type="spellStart"/>
            <w:r>
              <w:rPr>
                <w:color w:val="000000"/>
              </w:rPr>
              <w:t>Daphne</w:t>
            </w:r>
            <w:proofErr w:type="spellEnd"/>
            <w:r>
              <w:rPr>
                <w:color w:val="000000"/>
              </w:rPr>
              <w:t xml:space="preserve"> - Institut aplikované ekologie</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13.</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Generální sekretář pro dopravu a životní prostředí</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14.</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Hnutí Duha</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15.</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Hospodářská komora České republiky</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16.</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Konfederace zaměstnavatelských a podnikatelských svazů</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17.</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Magistrát hlavního města Prahy</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18.</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Ministerstvo dopravy</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19.</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Ministerstvo financí Platební a certifikační orgán</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20.</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Ministerstvo obrany</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21.</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Ministerstvo práce a sociálních věcí - Sekce náměstka ministra pro EU, mezinárodní spolupráci, sociální začleňování a rovné příležitosti</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22.</w:t>
            </w:r>
          </w:p>
        </w:tc>
        <w:tc>
          <w:tcPr>
            <w:tcW w:w="8658" w:type="dxa"/>
            <w:tcBorders>
              <w:top w:val="nil"/>
              <w:left w:val="nil"/>
              <w:bottom w:val="single" w:sz="4" w:space="0" w:color="auto"/>
              <w:right w:val="single" w:sz="4" w:space="0" w:color="auto"/>
            </w:tcBorders>
            <w:shd w:val="clear" w:color="auto" w:fill="auto"/>
            <w:vAlign w:val="bottom"/>
            <w:hideMark/>
          </w:tcPr>
          <w:p w:rsidR="00486973" w:rsidRDefault="00486973">
            <w:pPr>
              <w:rPr>
                <w:color w:val="000000"/>
              </w:rPr>
            </w:pPr>
            <w:r>
              <w:rPr>
                <w:color w:val="000000"/>
              </w:rPr>
              <w:t>Ministerstvo pro místní rozvoj</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23.</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Ministerstvo průmyslu a obchodu</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24.</w:t>
            </w:r>
          </w:p>
        </w:tc>
        <w:tc>
          <w:tcPr>
            <w:tcW w:w="8658" w:type="dxa"/>
            <w:tcBorders>
              <w:top w:val="nil"/>
              <w:left w:val="nil"/>
              <w:bottom w:val="single" w:sz="4" w:space="0" w:color="auto"/>
              <w:right w:val="single" w:sz="4" w:space="0" w:color="auto"/>
            </w:tcBorders>
            <w:shd w:val="clear" w:color="auto" w:fill="auto"/>
            <w:vAlign w:val="bottom"/>
            <w:hideMark/>
          </w:tcPr>
          <w:p w:rsidR="00486973" w:rsidRDefault="00486973">
            <w:pPr>
              <w:rPr>
                <w:color w:val="000000"/>
              </w:rPr>
            </w:pPr>
            <w:r>
              <w:rPr>
                <w:color w:val="000000"/>
              </w:rPr>
              <w:t>Ministerstvo spravedlnosti</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25.</w:t>
            </w:r>
          </w:p>
        </w:tc>
        <w:tc>
          <w:tcPr>
            <w:tcW w:w="8658" w:type="dxa"/>
            <w:tcBorders>
              <w:top w:val="nil"/>
              <w:left w:val="nil"/>
              <w:bottom w:val="single" w:sz="4" w:space="0" w:color="auto"/>
              <w:right w:val="single" w:sz="4" w:space="0" w:color="auto"/>
            </w:tcBorders>
            <w:shd w:val="clear" w:color="auto" w:fill="auto"/>
            <w:vAlign w:val="bottom"/>
            <w:hideMark/>
          </w:tcPr>
          <w:p w:rsidR="00486973" w:rsidRDefault="00486973">
            <w:pPr>
              <w:rPr>
                <w:color w:val="000000"/>
              </w:rPr>
            </w:pPr>
            <w:r>
              <w:rPr>
                <w:color w:val="000000"/>
              </w:rPr>
              <w:t>Ministerstvo školství, mládeže a tělovýchovy</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26.</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Ministerstvo vnitra</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27.</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Ministerstvo zdravotnictví</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28.</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Ministerstvo zemědělství</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29.</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Národní síť místních akčních skupin</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30.</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Občanské sdružení Rezekvítek</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31.</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 xml:space="preserve">Poslanecká sněmovna parlamentu - Výbor pro životní prostředí </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32.</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Sdružení místních samospráv České republiky</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33.</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 xml:space="preserve">Sdružení oboru vodovodů a kanalizací </w:t>
            </w:r>
          </w:p>
        </w:tc>
      </w:tr>
      <w:tr w:rsidR="00486973" w:rsidRPr="00AB19FD" w:rsidTr="00D4425A">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34.</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 xml:space="preserve">Sdružení vlastníků obecních a soukromých lesů v České republice </w:t>
            </w:r>
          </w:p>
        </w:tc>
      </w:tr>
      <w:tr w:rsidR="00486973" w:rsidRPr="00AB19FD" w:rsidTr="00D4425A">
        <w:trPr>
          <w:trHeight w:val="312"/>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35.</w:t>
            </w:r>
          </w:p>
        </w:tc>
        <w:tc>
          <w:tcPr>
            <w:tcW w:w="8658" w:type="dxa"/>
            <w:tcBorders>
              <w:top w:val="single" w:sz="4" w:space="0" w:color="auto"/>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Senát Parlamentu - Výbor pro územní rozvoj, veřejnou správu a životní prostředí</w:t>
            </w:r>
          </w:p>
        </w:tc>
      </w:tr>
      <w:tr w:rsidR="00486973" w:rsidRPr="00AB19FD" w:rsidTr="00B401D6">
        <w:trPr>
          <w:trHeight w:val="312"/>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lastRenderedPageBreak/>
              <w:t>36.</w:t>
            </w:r>
          </w:p>
        </w:tc>
        <w:tc>
          <w:tcPr>
            <w:tcW w:w="8658" w:type="dxa"/>
            <w:tcBorders>
              <w:top w:val="single" w:sz="4" w:space="0" w:color="auto"/>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 xml:space="preserve">Společnost EKO-KOM, a. s. </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37.</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Svaz dopravy České republiky</w:t>
            </w:r>
          </w:p>
        </w:tc>
      </w:tr>
      <w:tr w:rsidR="00486973" w:rsidRPr="00AB19FD" w:rsidTr="00EA2761">
        <w:trPr>
          <w:trHeight w:val="312"/>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38.</w:t>
            </w:r>
          </w:p>
        </w:tc>
        <w:tc>
          <w:tcPr>
            <w:tcW w:w="8658" w:type="dxa"/>
            <w:tcBorders>
              <w:top w:val="single" w:sz="4" w:space="0" w:color="auto"/>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Svaz měst a obcí České republiky</w:t>
            </w:r>
          </w:p>
        </w:tc>
      </w:tr>
      <w:tr w:rsidR="00486973" w:rsidRPr="00AB19FD" w:rsidTr="00EA2761">
        <w:trPr>
          <w:trHeight w:val="312"/>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39.</w:t>
            </w:r>
          </w:p>
        </w:tc>
        <w:tc>
          <w:tcPr>
            <w:tcW w:w="8658" w:type="dxa"/>
            <w:tcBorders>
              <w:top w:val="single" w:sz="4" w:space="0" w:color="auto"/>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Svaz podnikatelů ve stavebnictví v České republice</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40.</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Svaz průmyslu a dopravy</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41.</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Svaz vlastníků půdy</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42.</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Svaz vodního hospodářství</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4</w:t>
            </w:r>
            <w:r>
              <w:rPr>
                <w:rFonts w:eastAsia="Times New Roman" w:cs="Times New Roman"/>
                <w:color w:val="000000"/>
              </w:rPr>
              <w:t>3</w:t>
            </w:r>
            <w:r w:rsidRPr="00AB19FD">
              <w:rPr>
                <w:rFonts w:eastAsia="Times New Roman" w:cs="Times New Roman"/>
                <w:color w:val="000000"/>
              </w:rPr>
              <w:t>.</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Šance pro budovy</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4</w:t>
            </w:r>
            <w:r>
              <w:rPr>
                <w:rFonts w:eastAsia="Times New Roman" w:cs="Times New Roman"/>
                <w:color w:val="000000"/>
              </w:rPr>
              <w:t>4</w:t>
            </w:r>
            <w:r w:rsidRPr="00AB19FD">
              <w:rPr>
                <w:rFonts w:eastAsia="Times New Roman" w:cs="Times New Roman"/>
                <w:color w:val="000000"/>
              </w:rPr>
              <w:t>.</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Úřad vlády České republiky - Sekce pro evropské záležitosti</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4</w:t>
            </w:r>
            <w:r>
              <w:rPr>
                <w:rFonts w:eastAsia="Times New Roman" w:cs="Times New Roman"/>
                <w:color w:val="000000"/>
              </w:rPr>
              <w:t>5</w:t>
            </w:r>
            <w:r w:rsidRPr="00AB19FD">
              <w:rPr>
                <w:rFonts w:eastAsia="Times New Roman" w:cs="Times New Roman"/>
                <w:color w:val="000000"/>
              </w:rPr>
              <w:t>.</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Úřad vlády České republiky - Sekce pro lidská práva</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4</w:t>
            </w:r>
            <w:r>
              <w:rPr>
                <w:rFonts w:eastAsia="Times New Roman" w:cs="Times New Roman"/>
                <w:color w:val="000000"/>
              </w:rPr>
              <w:t>6</w:t>
            </w:r>
            <w:r w:rsidRPr="00AB19FD">
              <w:rPr>
                <w:rFonts w:eastAsia="Times New Roman" w:cs="Times New Roman"/>
                <w:color w:val="000000"/>
              </w:rPr>
              <w:t>.</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Veřejný ochránce práv</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4</w:t>
            </w:r>
            <w:r>
              <w:rPr>
                <w:rFonts w:eastAsia="Times New Roman" w:cs="Times New Roman"/>
                <w:color w:val="000000"/>
              </w:rPr>
              <w:t>7</w:t>
            </w:r>
            <w:r w:rsidRPr="00AB19FD">
              <w:rPr>
                <w:rFonts w:eastAsia="Times New Roman" w:cs="Times New Roman"/>
                <w:color w:val="000000"/>
              </w:rPr>
              <w:t>.</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Vysoká škola ekonomická</w:t>
            </w:r>
          </w:p>
        </w:tc>
      </w:tr>
      <w:tr w:rsidR="00486973" w:rsidRPr="00AB19FD" w:rsidTr="00486973">
        <w:trPr>
          <w:trHeight w:val="295"/>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sidRPr="00AB19FD">
              <w:rPr>
                <w:rFonts w:eastAsia="Times New Roman" w:cs="Times New Roman"/>
                <w:color w:val="000000"/>
              </w:rPr>
              <w:t>4</w:t>
            </w:r>
            <w:r>
              <w:rPr>
                <w:rFonts w:eastAsia="Times New Roman" w:cs="Times New Roman"/>
                <w:color w:val="000000"/>
              </w:rPr>
              <w:t>8</w:t>
            </w:r>
            <w:r w:rsidRPr="00AB19FD">
              <w:rPr>
                <w:rFonts w:eastAsia="Times New Roman" w:cs="Times New Roman"/>
                <w:color w:val="000000"/>
              </w:rPr>
              <w:t>.</w:t>
            </w:r>
          </w:p>
        </w:tc>
        <w:tc>
          <w:tcPr>
            <w:tcW w:w="8658" w:type="dxa"/>
            <w:tcBorders>
              <w:top w:val="nil"/>
              <w:left w:val="nil"/>
              <w:bottom w:val="single" w:sz="4" w:space="0" w:color="auto"/>
              <w:right w:val="single" w:sz="4" w:space="0" w:color="auto"/>
            </w:tcBorders>
            <w:shd w:val="clear" w:color="auto" w:fill="auto"/>
            <w:vAlign w:val="bottom"/>
            <w:hideMark/>
          </w:tcPr>
          <w:p w:rsidR="00486973" w:rsidRDefault="00486973">
            <w:pPr>
              <w:rPr>
                <w:color w:val="000000"/>
              </w:rPr>
            </w:pPr>
            <w:r>
              <w:rPr>
                <w:color w:val="000000"/>
              </w:rPr>
              <w:t>Zástupce Národní ekonomické rady vlády, zpracovatel tematického okruhu</w:t>
            </w:r>
          </w:p>
        </w:tc>
      </w:tr>
      <w:tr w:rsidR="00486973" w:rsidRPr="00AB19FD" w:rsidTr="00EA2761">
        <w:trPr>
          <w:trHeight w:val="312"/>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486973" w:rsidRPr="00AB19FD" w:rsidRDefault="00486973" w:rsidP="00B66FDE">
            <w:pPr>
              <w:rPr>
                <w:rFonts w:eastAsia="Times New Roman" w:cs="Times New Roman"/>
                <w:color w:val="000000"/>
              </w:rPr>
            </w:pPr>
            <w:r>
              <w:rPr>
                <w:rFonts w:eastAsia="Times New Roman" w:cs="Times New Roman"/>
                <w:color w:val="000000"/>
              </w:rPr>
              <w:t>49</w:t>
            </w:r>
            <w:r w:rsidRPr="00AB19FD">
              <w:rPr>
                <w:rFonts w:eastAsia="Times New Roman" w:cs="Times New Roman"/>
                <w:color w:val="000000"/>
              </w:rPr>
              <w:t>.</w:t>
            </w:r>
          </w:p>
        </w:tc>
        <w:tc>
          <w:tcPr>
            <w:tcW w:w="8658" w:type="dxa"/>
            <w:tcBorders>
              <w:top w:val="nil"/>
              <w:left w:val="nil"/>
              <w:bottom w:val="single" w:sz="4" w:space="0" w:color="auto"/>
              <w:right w:val="single" w:sz="4" w:space="0" w:color="auto"/>
            </w:tcBorders>
            <w:shd w:val="clear" w:color="auto" w:fill="auto"/>
            <w:noWrap/>
            <w:vAlign w:val="bottom"/>
            <w:hideMark/>
          </w:tcPr>
          <w:p w:rsidR="00486973" w:rsidRDefault="00486973">
            <w:pPr>
              <w:rPr>
                <w:color w:val="000000"/>
              </w:rPr>
            </w:pPr>
            <w:r>
              <w:rPr>
                <w:color w:val="000000"/>
              </w:rPr>
              <w:t>Zelený kruh - asociace ekologických organizací</w:t>
            </w:r>
          </w:p>
        </w:tc>
      </w:tr>
    </w:tbl>
    <w:p w:rsidR="005953B5" w:rsidRDefault="005953B5" w:rsidP="00B66FDE">
      <w:pPr>
        <w:rPr>
          <w:rFonts w:asciiTheme="majorHAnsi" w:hAnsiTheme="majorHAnsi"/>
          <w:b/>
          <w:bCs/>
          <w:color w:val="76923C" w:themeColor="accent3" w:themeShade="BF"/>
          <w:sz w:val="28"/>
          <w:szCs w:val="26"/>
        </w:rPr>
      </w:pPr>
    </w:p>
    <w:p w:rsidR="005B4801" w:rsidRDefault="005B4801" w:rsidP="00B66FDE">
      <w:pPr>
        <w:rPr>
          <w:rFonts w:asciiTheme="majorHAnsi" w:hAnsiTheme="majorHAnsi"/>
          <w:b/>
          <w:bCs/>
          <w:color w:val="76923C" w:themeColor="accent3" w:themeShade="BF"/>
          <w:sz w:val="28"/>
          <w:szCs w:val="26"/>
        </w:rPr>
      </w:pPr>
    </w:p>
    <w:sectPr w:rsidR="005B4801" w:rsidSect="00F625C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B5" w:rsidRDefault="00E640B5" w:rsidP="008735E1">
      <w:r>
        <w:separator/>
      </w:r>
    </w:p>
  </w:endnote>
  <w:endnote w:type="continuationSeparator" w:id="0">
    <w:p w:rsidR="00E640B5" w:rsidRDefault="00E640B5" w:rsidP="008735E1">
      <w:r>
        <w:continuationSeparator/>
      </w:r>
    </w:p>
  </w:endnote>
  <w:endnote w:type="continuationNotice" w:id="1">
    <w:p w:rsidR="00E640B5" w:rsidRDefault="00E64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00"/>
      <w:docPartObj>
        <w:docPartGallery w:val="Page Numbers (Bottom of Page)"/>
        <w:docPartUnique/>
      </w:docPartObj>
    </w:sdtPr>
    <w:sdtEndPr/>
    <w:sdtContent>
      <w:p w:rsidR="00E640B5" w:rsidRDefault="000E07F9" w:rsidP="007F08C2">
        <w:pPr>
          <w:pStyle w:val="Zpat"/>
          <w:jc w:val="center"/>
        </w:pPr>
        <w:r>
          <w:fldChar w:fldCharType="begin"/>
        </w:r>
        <w:r w:rsidR="00E640B5">
          <w:instrText>PAGE   \* MERGEFORMAT</w:instrText>
        </w:r>
        <w:r>
          <w:fldChar w:fldCharType="separate"/>
        </w:r>
        <w:r w:rsidR="00D82F04">
          <w:rPr>
            <w:noProof/>
          </w:rPr>
          <w:t>44</w:t>
        </w:r>
        <w:r>
          <w:rPr>
            <w:noProof/>
          </w:rPr>
          <w:fldChar w:fldCharType="end"/>
        </w:r>
      </w:p>
    </w:sdtContent>
  </w:sdt>
  <w:p w:rsidR="00E640B5" w:rsidRDefault="00E640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B5" w:rsidRDefault="00E640B5" w:rsidP="00C31DE4">
    <w:pPr>
      <w:pStyle w:val="Zpat"/>
      <w:jc w:val="center"/>
    </w:pPr>
  </w:p>
  <w:p w:rsidR="00E640B5" w:rsidRDefault="00E640B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01"/>
      <w:docPartObj>
        <w:docPartGallery w:val="Page Numbers (Bottom of Page)"/>
        <w:docPartUnique/>
      </w:docPartObj>
    </w:sdtPr>
    <w:sdtEndPr/>
    <w:sdtContent>
      <w:p w:rsidR="00E640B5" w:rsidRDefault="000E07F9">
        <w:pPr>
          <w:pStyle w:val="Zpat"/>
          <w:jc w:val="center"/>
        </w:pPr>
        <w:r>
          <w:fldChar w:fldCharType="begin"/>
        </w:r>
        <w:r w:rsidR="00E640B5">
          <w:instrText xml:space="preserve"> PAGE   \* MERGEFORMAT </w:instrText>
        </w:r>
        <w:r>
          <w:fldChar w:fldCharType="separate"/>
        </w:r>
        <w:r w:rsidR="00332B77">
          <w:rPr>
            <w:noProof/>
          </w:rPr>
          <w:t>200</w:t>
        </w:r>
        <w:r>
          <w:rPr>
            <w:noProof/>
          </w:rPr>
          <w:fldChar w:fldCharType="end"/>
        </w:r>
      </w:p>
    </w:sdtContent>
  </w:sdt>
  <w:p w:rsidR="00E640B5" w:rsidRDefault="00E640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B5" w:rsidRDefault="00E640B5" w:rsidP="008735E1">
      <w:r>
        <w:separator/>
      </w:r>
    </w:p>
  </w:footnote>
  <w:footnote w:type="continuationSeparator" w:id="0">
    <w:p w:rsidR="00E640B5" w:rsidRDefault="00E640B5" w:rsidP="008735E1">
      <w:r>
        <w:continuationSeparator/>
      </w:r>
    </w:p>
  </w:footnote>
  <w:footnote w:type="continuationNotice" w:id="1">
    <w:p w:rsidR="00E640B5" w:rsidRDefault="00E640B5"/>
  </w:footnote>
  <w:footnote w:id="2">
    <w:p w:rsidR="00E640B5" w:rsidRPr="00F35E44" w:rsidRDefault="00E640B5" w:rsidP="007425F1">
      <w:pPr>
        <w:pStyle w:val="Textpoznpodarou"/>
        <w:spacing w:after="0" w:afterAutospacing="0"/>
        <w:ind w:left="0" w:firstLine="0"/>
        <w:rPr>
          <w:rFonts w:asciiTheme="majorHAnsi" w:hAnsiTheme="majorHAnsi"/>
          <w:sz w:val="18"/>
          <w:szCs w:val="18"/>
          <w:lang w:val="cs-CZ"/>
        </w:rPr>
      </w:pPr>
      <w:r w:rsidRPr="00F35E44">
        <w:rPr>
          <w:rStyle w:val="Znakapoznpodarou"/>
          <w:rFonts w:asciiTheme="majorHAnsi" w:hAnsiTheme="majorHAnsi"/>
          <w:sz w:val="18"/>
          <w:szCs w:val="18"/>
          <w:lang w:val="cs-CZ"/>
        </w:rPr>
        <w:footnoteRef/>
      </w:r>
      <w:r w:rsidRPr="00F35E44">
        <w:rPr>
          <w:rFonts w:asciiTheme="majorHAnsi" w:hAnsiTheme="majorHAnsi"/>
          <w:sz w:val="18"/>
          <w:szCs w:val="18"/>
          <w:lang w:val="cs-CZ"/>
        </w:rPr>
        <w:t xml:space="preserve"> Kromě integrovaných nástrojů níže popsaných však bude územní dimenz</w:t>
      </w:r>
      <w:r>
        <w:rPr>
          <w:rFonts w:asciiTheme="majorHAnsi" w:hAnsiTheme="majorHAnsi"/>
          <w:sz w:val="18"/>
          <w:szCs w:val="18"/>
          <w:lang w:val="cs-CZ"/>
        </w:rPr>
        <w:t xml:space="preserve">e realizována i prostřednictvím </w:t>
      </w:r>
      <w:r w:rsidRPr="00F35E44">
        <w:rPr>
          <w:rFonts w:asciiTheme="majorHAnsi" w:hAnsiTheme="majorHAnsi"/>
          <w:sz w:val="18"/>
          <w:szCs w:val="18"/>
          <w:lang w:val="cs-CZ"/>
        </w:rPr>
        <w:t>individuálních projektů, nebo projektů se vzájemnou koordinací či synergií, či</w:t>
      </w:r>
      <w:r>
        <w:rPr>
          <w:rFonts w:asciiTheme="majorHAnsi" w:hAnsiTheme="majorHAnsi"/>
          <w:sz w:val="18"/>
          <w:szCs w:val="18"/>
          <w:lang w:val="cs-CZ"/>
        </w:rPr>
        <w:t xml:space="preserve"> specifickými územními řešeními </w:t>
      </w:r>
      <w:r w:rsidRPr="00F35E44">
        <w:rPr>
          <w:rFonts w:asciiTheme="majorHAnsi" w:hAnsiTheme="majorHAnsi"/>
          <w:sz w:val="18"/>
          <w:szCs w:val="18"/>
          <w:lang w:val="cs-CZ"/>
        </w:rPr>
        <w:t>zahrnujícími projekty z různých programů a fondů v rámci jedné či více socioekonomických složek.</w:t>
      </w:r>
    </w:p>
  </w:footnote>
  <w:footnote w:id="3">
    <w:p w:rsidR="00E640B5" w:rsidRDefault="00E640B5" w:rsidP="00050C80">
      <w:pPr>
        <w:pStyle w:val="Poznmkapodarou"/>
      </w:pPr>
      <w:r>
        <w:rPr>
          <w:rStyle w:val="Znakapoznpodarou"/>
        </w:rPr>
        <w:footnoteRef/>
      </w:r>
      <w:r>
        <w:t xml:space="preserve"> Draft </w:t>
      </w:r>
      <w:proofErr w:type="spellStart"/>
      <w:r>
        <w:t>Guidance</w:t>
      </w:r>
      <w:proofErr w:type="spellEnd"/>
      <w:r>
        <w:t xml:space="preserve"> on Ex Ante </w:t>
      </w:r>
      <w:proofErr w:type="spellStart"/>
      <w:r>
        <w:t>Conditionalities</w:t>
      </w:r>
      <w:proofErr w:type="spellEnd"/>
      <w:r>
        <w:t xml:space="preserve"> </w:t>
      </w:r>
      <w:proofErr w:type="spellStart"/>
      <w:r>
        <w:t>for</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Structural</w:t>
      </w:r>
      <w:proofErr w:type="spellEnd"/>
      <w:r>
        <w:t xml:space="preserve"> and </w:t>
      </w:r>
      <w:proofErr w:type="spellStart"/>
      <w:r>
        <w:t>Investment</w:t>
      </w:r>
      <w:proofErr w:type="spellEnd"/>
      <w:r>
        <w:t xml:space="preserve"> </w:t>
      </w:r>
      <w:proofErr w:type="spellStart"/>
      <w:r>
        <w:t>Funds</w:t>
      </w:r>
      <w:proofErr w:type="spellEnd"/>
      <w:r>
        <w:t xml:space="preserve"> (ESI), 13 </w:t>
      </w:r>
      <w:proofErr w:type="spellStart"/>
      <w:r>
        <w:t>February</w:t>
      </w:r>
      <w:proofErr w:type="spellEnd"/>
      <w:r>
        <w:t xml:space="preserve"> 2014.</w:t>
      </w:r>
    </w:p>
  </w:footnote>
  <w:footnote w:id="4">
    <w:p w:rsidR="00E640B5" w:rsidRDefault="00E640B5" w:rsidP="00C64F85">
      <w:pPr>
        <w:pStyle w:val="Poznmkapodarou"/>
      </w:pPr>
      <w:r>
        <w:rPr>
          <w:rStyle w:val="Znakapoznpodarou"/>
        </w:rPr>
        <w:footnoteRef/>
      </w:r>
      <w:r>
        <w:t xml:space="preserve"> Rozhodnutí Rady 2009/26/ES ze dne 26. listopadu 2009 o uzavření Úmluvy Organizace spojených národů o právech osob se zdravotním postižením Evropským společenstvím, </w:t>
      </w:r>
      <w:proofErr w:type="spellStart"/>
      <w:r>
        <w:t>Úř</w:t>
      </w:r>
      <w:proofErr w:type="spellEnd"/>
      <w:r>
        <w:t xml:space="preserve">. </w:t>
      </w:r>
      <w:proofErr w:type="spellStart"/>
      <w:proofErr w:type="gramStart"/>
      <w:r>
        <w:t>věst</w:t>
      </w:r>
      <w:proofErr w:type="spellEnd"/>
      <w:proofErr w:type="gramEnd"/>
      <w:r>
        <w:t xml:space="preserve">. L 23, </w:t>
      </w:r>
      <w:proofErr w:type="gramStart"/>
      <w:r>
        <w:t>27.1.2010</w:t>
      </w:r>
      <w:proofErr w:type="gramEnd"/>
      <w:r>
        <w:t xml:space="preserve">, s. 35. </w:t>
      </w:r>
    </w:p>
    <w:p w:rsidR="00E640B5" w:rsidRDefault="00E640B5" w:rsidP="00C64F85">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B5" w:rsidRDefault="00E640B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B5" w:rsidRDefault="00E640B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B5" w:rsidRDefault="00E640B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DEB"/>
    <w:multiLevelType w:val="hybridMultilevel"/>
    <w:tmpl w:val="E51C1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943C38"/>
    <w:multiLevelType w:val="hybridMultilevel"/>
    <w:tmpl w:val="D5FCA5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DE48EA"/>
    <w:multiLevelType w:val="hybridMultilevel"/>
    <w:tmpl w:val="1E8C4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3060F4"/>
    <w:multiLevelType w:val="hybridMultilevel"/>
    <w:tmpl w:val="7D247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1A0433"/>
    <w:multiLevelType w:val="hybridMultilevel"/>
    <w:tmpl w:val="9FE82EF0"/>
    <w:lvl w:ilvl="0" w:tplc="AF365378">
      <w:numFmt w:val="bullet"/>
      <w:lvlText w:val="-"/>
      <w:lvlJc w:val="left"/>
      <w:pPr>
        <w:ind w:left="360" w:hanging="360"/>
      </w:pPr>
      <w:rPr>
        <w:rFonts w:ascii="Times New Roman" w:eastAsia="Times New Roman" w:hAnsi="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1A10A7C"/>
    <w:multiLevelType w:val="hybridMultilevel"/>
    <w:tmpl w:val="C666EF1C"/>
    <w:lvl w:ilvl="0" w:tplc="0405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130F33"/>
    <w:multiLevelType w:val="hybridMultilevel"/>
    <w:tmpl w:val="9BD6C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1B4DAA"/>
    <w:multiLevelType w:val="hybridMultilevel"/>
    <w:tmpl w:val="655AADCC"/>
    <w:lvl w:ilvl="0" w:tplc="B210ACC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4BC21E2"/>
    <w:multiLevelType w:val="hybridMultilevel"/>
    <w:tmpl w:val="1B0AA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A157EB"/>
    <w:multiLevelType w:val="hybridMultilevel"/>
    <w:tmpl w:val="1AEE5AAA"/>
    <w:lvl w:ilvl="0" w:tplc="B210ACC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70D0A5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7F12F4C"/>
    <w:multiLevelType w:val="hybridMultilevel"/>
    <w:tmpl w:val="6A3C12C8"/>
    <w:lvl w:ilvl="0" w:tplc="AF365378">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99C28FF"/>
    <w:multiLevelType w:val="hybridMultilevel"/>
    <w:tmpl w:val="16D665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A9910B8"/>
    <w:multiLevelType w:val="hybridMultilevel"/>
    <w:tmpl w:val="373C5EB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B135035"/>
    <w:multiLevelType w:val="hybridMultilevel"/>
    <w:tmpl w:val="B33CA2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C5B0339"/>
    <w:multiLevelType w:val="hybridMultilevel"/>
    <w:tmpl w:val="8848D9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C9F2DE1"/>
    <w:multiLevelType w:val="hybridMultilevel"/>
    <w:tmpl w:val="D31EAE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D114F43"/>
    <w:multiLevelType w:val="hybridMultilevel"/>
    <w:tmpl w:val="E1A89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DBD2482"/>
    <w:multiLevelType w:val="hybridMultilevel"/>
    <w:tmpl w:val="B29CA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E9A1F23"/>
    <w:multiLevelType w:val="hybridMultilevel"/>
    <w:tmpl w:val="F09C1DD4"/>
    <w:lvl w:ilvl="0" w:tplc="4814BE98">
      <w:start w:val="1"/>
      <w:numFmt w:val="bullet"/>
      <w:lvlText w:val=""/>
      <w:lvlJc w:val="left"/>
      <w:pPr>
        <w:ind w:left="432" w:hanging="360"/>
      </w:pPr>
      <w:rPr>
        <w:rFonts w:ascii="Symbol" w:hAnsi="Symbol" w:hint="default"/>
        <w:b/>
        <w:color w:val="auto"/>
      </w:rPr>
    </w:lvl>
    <w:lvl w:ilvl="1" w:tplc="04050003">
      <w:start w:val="1"/>
      <w:numFmt w:val="bullet"/>
      <w:lvlText w:val="o"/>
      <w:lvlJc w:val="left"/>
      <w:pPr>
        <w:ind w:left="1785" w:hanging="360"/>
      </w:pPr>
      <w:rPr>
        <w:rFonts w:ascii="Courier New" w:hAnsi="Courier New" w:hint="default"/>
      </w:rPr>
    </w:lvl>
    <w:lvl w:ilvl="2" w:tplc="04050005">
      <w:start w:val="1"/>
      <w:numFmt w:val="bullet"/>
      <w:lvlText w:val=""/>
      <w:lvlJc w:val="left"/>
      <w:pPr>
        <w:ind w:left="2505" w:hanging="360"/>
      </w:pPr>
      <w:rPr>
        <w:rFonts w:ascii="Wingdings" w:hAnsi="Wingdings" w:hint="default"/>
      </w:rPr>
    </w:lvl>
    <w:lvl w:ilvl="3" w:tplc="04050001">
      <w:start w:val="1"/>
      <w:numFmt w:val="bullet"/>
      <w:lvlText w:val=""/>
      <w:lvlJc w:val="left"/>
      <w:pPr>
        <w:ind w:left="3225" w:hanging="360"/>
      </w:pPr>
      <w:rPr>
        <w:rFonts w:ascii="Symbol" w:hAnsi="Symbol" w:hint="default"/>
      </w:rPr>
    </w:lvl>
    <w:lvl w:ilvl="4" w:tplc="04050003">
      <w:start w:val="1"/>
      <w:numFmt w:val="bullet"/>
      <w:lvlText w:val="o"/>
      <w:lvlJc w:val="left"/>
      <w:pPr>
        <w:ind w:left="3945" w:hanging="360"/>
      </w:pPr>
      <w:rPr>
        <w:rFonts w:ascii="Courier New" w:hAnsi="Courier New" w:hint="default"/>
      </w:rPr>
    </w:lvl>
    <w:lvl w:ilvl="5" w:tplc="04050005">
      <w:start w:val="1"/>
      <w:numFmt w:val="bullet"/>
      <w:lvlText w:val=""/>
      <w:lvlJc w:val="left"/>
      <w:pPr>
        <w:ind w:left="4665" w:hanging="360"/>
      </w:pPr>
      <w:rPr>
        <w:rFonts w:ascii="Wingdings" w:hAnsi="Wingdings" w:hint="default"/>
      </w:rPr>
    </w:lvl>
    <w:lvl w:ilvl="6" w:tplc="04050001">
      <w:start w:val="1"/>
      <w:numFmt w:val="bullet"/>
      <w:lvlText w:val=""/>
      <w:lvlJc w:val="left"/>
      <w:pPr>
        <w:ind w:left="5385" w:hanging="360"/>
      </w:pPr>
      <w:rPr>
        <w:rFonts w:ascii="Symbol" w:hAnsi="Symbol" w:hint="default"/>
      </w:rPr>
    </w:lvl>
    <w:lvl w:ilvl="7" w:tplc="04050003">
      <w:start w:val="1"/>
      <w:numFmt w:val="bullet"/>
      <w:lvlText w:val="o"/>
      <w:lvlJc w:val="left"/>
      <w:pPr>
        <w:ind w:left="6105" w:hanging="360"/>
      </w:pPr>
      <w:rPr>
        <w:rFonts w:ascii="Courier New" w:hAnsi="Courier New" w:hint="default"/>
      </w:rPr>
    </w:lvl>
    <w:lvl w:ilvl="8" w:tplc="04050005">
      <w:start w:val="1"/>
      <w:numFmt w:val="bullet"/>
      <w:lvlText w:val=""/>
      <w:lvlJc w:val="left"/>
      <w:pPr>
        <w:ind w:left="6825" w:hanging="360"/>
      </w:pPr>
      <w:rPr>
        <w:rFonts w:ascii="Wingdings" w:hAnsi="Wingdings" w:hint="default"/>
      </w:rPr>
    </w:lvl>
  </w:abstractNum>
  <w:abstractNum w:abstractNumId="20">
    <w:nsid w:val="1EF31560"/>
    <w:multiLevelType w:val="hybridMultilevel"/>
    <w:tmpl w:val="65D40080"/>
    <w:lvl w:ilvl="0" w:tplc="B210ACC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FFF2325"/>
    <w:multiLevelType w:val="hybridMultilevel"/>
    <w:tmpl w:val="00981184"/>
    <w:lvl w:ilvl="0" w:tplc="AF365378">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1B71AAF"/>
    <w:multiLevelType w:val="hybridMultilevel"/>
    <w:tmpl w:val="C0B6B5DC"/>
    <w:lvl w:ilvl="0" w:tplc="B210ACC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4075A2B"/>
    <w:multiLevelType w:val="hybridMultilevel"/>
    <w:tmpl w:val="CDA26486"/>
    <w:lvl w:ilvl="0" w:tplc="AF365378">
      <w:numFmt w:val="bullet"/>
      <w:lvlText w:val="-"/>
      <w:lvlJc w:val="left"/>
      <w:pPr>
        <w:ind w:left="360" w:hanging="360"/>
      </w:pPr>
      <w:rPr>
        <w:rFonts w:ascii="Times New Roman" w:eastAsia="Times New Roman" w:hAnsi="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24AB641E"/>
    <w:multiLevelType w:val="hybridMultilevel"/>
    <w:tmpl w:val="2870D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531045B"/>
    <w:multiLevelType w:val="hybridMultilevel"/>
    <w:tmpl w:val="6EEE05BC"/>
    <w:lvl w:ilvl="0" w:tplc="F07C6E44">
      <w:start w:val="4"/>
      <w:numFmt w:val="bullet"/>
      <w:lvlText w:val="-"/>
      <w:lvlJc w:val="left"/>
      <w:pPr>
        <w:ind w:left="1068" w:hanging="360"/>
      </w:pPr>
      <w:rPr>
        <w:rFonts w:ascii="Arial" w:eastAsia="Times New Roman" w:hAnsi="Arial" w:hint="default"/>
        <w:b/>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nsid w:val="27923346"/>
    <w:multiLevelType w:val="hybridMultilevel"/>
    <w:tmpl w:val="CBCE56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89C2235"/>
    <w:multiLevelType w:val="hybridMultilevel"/>
    <w:tmpl w:val="E1F87A6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b/>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8FD1FD1"/>
    <w:multiLevelType w:val="hybridMultilevel"/>
    <w:tmpl w:val="7804A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9D21508"/>
    <w:multiLevelType w:val="hybridMultilevel"/>
    <w:tmpl w:val="FE887298"/>
    <w:lvl w:ilvl="0" w:tplc="B210ACC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ABC23B7"/>
    <w:multiLevelType w:val="hybridMultilevel"/>
    <w:tmpl w:val="B9A6AD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AF95062"/>
    <w:multiLevelType w:val="hybridMultilevel"/>
    <w:tmpl w:val="B218E2CE"/>
    <w:lvl w:ilvl="0" w:tplc="00749E26">
      <w:start w:val="1"/>
      <w:numFmt w:val="decimal"/>
      <w:pStyle w:val="Titulek"/>
      <w:lvlText w:val="Tabulka č. %1:"/>
      <w:lvlJc w:val="left"/>
      <w:pPr>
        <w:ind w:left="360" w:hanging="36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sz w:val="18"/>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B964E2E"/>
    <w:multiLevelType w:val="hybridMultilevel"/>
    <w:tmpl w:val="1E540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D392645"/>
    <w:multiLevelType w:val="hybridMultilevel"/>
    <w:tmpl w:val="D36670C4"/>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2DD32FD3"/>
    <w:multiLevelType w:val="hybridMultilevel"/>
    <w:tmpl w:val="EB582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2EA40B2A"/>
    <w:multiLevelType w:val="hybridMultilevel"/>
    <w:tmpl w:val="70E0BD3E"/>
    <w:lvl w:ilvl="0" w:tplc="4814BE98">
      <w:start w:val="1"/>
      <w:numFmt w:val="bullet"/>
      <w:lvlText w:val=""/>
      <w:lvlJc w:val="left"/>
      <w:pPr>
        <w:ind w:left="432"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2F5C0BAE"/>
    <w:multiLevelType w:val="hybridMultilevel"/>
    <w:tmpl w:val="7486A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2D66CA8"/>
    <w:multiLevelType w:val="hybridMultilevel"/>
    <w:tmpl w:val="6F5C8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40F5AC6"/>
    <w:multiLevelType w:val="hybridMultilevel"/>
    <w:tmpl w:val="3140B222"/>
    <w:lvl w:ilvl="0" w:tplc="B210ACC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34C82980"/>
    <w:multiLevelType w:val="hybridMultilevel"/>
    <w:tmpl w:val="9A600580"/>
    <w:lvl w:ilvl="0" w:tplc="0405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4E56AEC"/>
    <w:multiLevelType w:val="hybridMultilevel"/>
    <w:tmpl w:val="6A6AD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4F25978"/>
    <w:multiLevelType w:val="hybridMultilevel"/>
    <w:tmpl w:val="5190731C"/>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35510FD9"/>
    <w:multiLevelType w:val="hybridMultilevel"/>
    <w:tmpl w:val="98A8CD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5E95DB2"/>
    <w:multiLevelType w:val="hybridMultilevel"/>
    <w:tmpl w:val="9390A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35FA091A"/>
    <w:multiLevelType w:val="hybridMultilevel"/>
    <w:tmpl w:val="CE0AF42E"/>
    <w:lvl w:ilvl="0" w:tplc="B210ACC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37C54BD6"/>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285"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256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6">
    <w:nsid w:val="37E04B73"/>
    <w:multiLevelType w:val="hybridMultilevel"/>
    <w:tmpl w:val="867E1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387F19EB"/>
    <w:multiLevelType w:val="hybridMultilevel"/>
    <w:tmpl w:val="0E0681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38EB436D"/>
    <w:multiLevelType w:val="hybridMultilevel"/>
    <w:tmpl w:val="C654F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393B4642"/>
    <w:multiLevelType w:val="hybridMultilevel"/>
    <w:tmpl w:val="C77A402A"/>
    <w:lvl w:ilvl="0" w:tplc="0AE6970E">
      <w:start w:val="1"/>
      <w:numFmt w:val="decimal"/>
      <w:pStyle w:val="grafy"/>
      <w:lvlText w:val="Graf č. %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3A0F1D83"/>
    <w:multiLevelType w:val="hybridMultilevel"/>
    <w:tmpl w:val="E0001DCC"/>
    <w:lvl w:ilvl="0" w:tplc="B210ACC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3AC732B6"/>
    <w:multiLevelType w:val="hybridMultilevel"/>
    <w:tmpl w:val="48E27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3B68343B"/>
    <w:multiLevelType w:val="hybridMultilevel"/>
    <w:tmpl w:val="FA16E26E"/>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3BA44023"/>
    <w:multiLevelType w:val="hybridMultilevel"/>
    <w:tmpl w:val="5D18F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3D55246F"/>
    <w:multiLevelType w:val="hybridMultilevel"/>
    <w:tmpl w:val="DAA81DF8"/>
    <w:lvl w:ilvl="0" w:tplc="B210ACC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3F7B05BB"/>
    <w:multiLevelType w:val="hybridMultilevel"/>
    <w:tmpl w:val="27344568"/>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4001190B"/>
    <w:multiLevelType w:val="hybridMultilevel"/>
    <w:tmpl w:val="DD6C31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40292716"/>
    <w:multiLevelType w:val="hybridMultilevel"/>
    <w:tmpl w:val="2CEA8EF2"/>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nsid w:val="405E0F72"/>
    <w:multiLevelType w:val="hybridMultilevel"/>
    <w:tmpl w:val="6CDC90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nsid w:val="41081EFC"/>
    <w:multiLevelType w:val="hybridMultilevel"/>
    <w:tmpl w:val="B31AA03E"/>
    <w:lvl w:ilvl="0" w:tplc="AF365378">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430848E3"/>
    <w:multiLevelType w:val="hybridMultilevel"/>
    <w:tmpl w:val="BDF88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450C1AD3"/>
    <w:multiLevelType w:val="hybridMultilevel"/>
    <w:tmpl w:val="69FC65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48193DC8"/>
    <w:multiLevelType w:val="hybridMultilevel"/>
    <w:tmpl w:val="E3C48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48F76D42"/>
    <w:multiLevelType w:val="hybridMultilevel"/>
    <w:tmpl w:val="946A1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495A395D"/>
    <w:multiLevelType w:val="hybridMultilevel"/>
    <w:tmpl w:val="B0066CD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5">
    <w:nsid w:val="49D3569F"/>
    <w:multiLevelType w:val="hybridMultilevel"/>
    <w:tmpl w:val="C69E1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4E0B3022"/>
    <w:multiLevelType w:val="hybridMultilevel"/>
    <w:tmpl w:val="96AE2538"/>
    <w:lvl w:ilvl="0" w:tplc="0405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4F762EC9"/>
    <w:multiLevelType w:val="hybridMultilevel"/>
    <w:tmpl w:val="20FCB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4FFB1D80"/>
    <w:multiLevelType w:val="hybridMultilevel"/>
    <w:tmpl w:val="972AB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52205EC2"/>
    <w:multiLevelType w:val="hybridMultilevel"/>
    <w:tmpl w:val="21E0F6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54434666"/>
    <w:multiLevelType w:val="hybridMultilevel"/>
    <w:tmpl w:val="71869D70"/>
    <w:lvl w:ilvl="0" w:tplc="8D2A0516">
      <w:start w:val="1"/>
      <w:numFmt w:val="decimal"/>
      <w:pStyle w:val="obrzky"/>
      <w:lvlText w:val="Obrázek č.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54BD0BEC"/>
    <w:multiLevelType w:val="singleLevel"/>
    <w:tmpl w:val="72D6F376"/>
    <w:lvl w:ilvl="0">
      <w:start w:val="1"/>
      <w:numFmt w:val="bullet"/>
      <w:pStyle w:val="Seznamsodrkami"/>
      <w:lvlText w:val=""/>
      <w:lvlJc w:val="left"/>
      <w:pPr>
        <w:tabs>
          <w:tab w:val="num" w:pos="567"/>
        </w:tabs>
        <w:ind w:left="567" w:hanging="283"/>
      </w:pPr>
      <w:rPr>
        <w:rFonts w:ascii="Symbol" w:hAnsi="Symbol"/>
      </w:rPr>
    </w:lvl>
  </w:abstractNum>
  <w:abstractNum w:abstractNumId="72">
    <w:nsid w:val="563916D1"/>
    <w:multiLevelType w:val="hybridMultilevel"/>
    <w:tmpl w:val="8BBAC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591C547B"/>
    <w:multiLevelType w:val="hybridMultilevel"/>
    <w:tmpl w:val="6E1232F2"/>
    <w:lvl w:ilvl="0" w:tplc="04050001">
      <w:start w:val="1"/>
      <w:numFmt w:val="bullet"/>
      <w:lvlText w:val=""/>
      <w:lvlJc w:val="left"/>
      <w:pPr>
        <w:ind w:left="720" w:hanging="360"/>
      </w:pPr>
      <w:rPr>
        <w:rFonts w:ascii="Symbol" w:hAnsi="Symbol"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59671EC3"/>
    <w:multiLevelType w:val="hybridMultilevel"/>
    <w:tmpl w:val="95F08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59A14927"/>
    <w:multiLevelType w:val="hybridMultilevel"/>
    <w:tmpl w:val="3AB8F52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6">
    <w:nsid w:val="59A7162C"/>
    <w:multiLevelType w:val="hybridMultilevel"/>
    <w:tmpl w:val="8DAA4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5A79140C"/>
    <w:multiLevelType w:val="multilevel"/>
    <w:tmpl w:val="E200A022"/>
    <w:lvl w:ilvl="0">
      <w:start w:val="1"/>
      <w:numFmt w:val="decimal"/>
      <w:lvlText w:val="%1."/>
      <w:lvlJc w:val="left"/>
      <w:pPr>
        <w:ind w:left="360" w:hanging="360"/>
      </w:pPr>
    </w:lvl>
    <w:lvl w:ilvl="1">
      <w:start w:val="1"/>
      <w:numFmt w:val="decimal"/>
      <w:pStyle w:val="Nadpis11"/>
      <w:lvlText w:val="%1.%2."/>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C5337CA"/>
    <w:multiLevelType w:val="hybridMultilevel"/>
    <w:tmpl w:val="13B0B9E2"/>
    <w:lvl w:ilvl="0" w:tplc="04050001">
      <w:start w:val="1"/>
      <w:numFmt w:val="bullet"/>
      <w:lvlText w:val=""/>
      <w:lvlJc w:val="left"/>
      <w:pPr>
        <w:ind w:left="1068" w:hanging="360"/>
      </w:pPr>
      <w:rPr>
        <w:rFonts w:ascii="Symbol" w:hAnsi="Symbol" w:hint="default"/>
        <w:b/>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9">
    <w:nsid w:val="5D9902D0"/>
    <w:multiLevelType w:val="hybridMultilevel"/>
    <w:tmpl w:val="07965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5D9F6E45"/>
    <w:multiLevelType w:val="hybridMultilevel"/>
    <w:tmpl w:val="548C0E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1">
    <w:nsid w:val="5EBF0BE7"/>
    <w:multiLevelType w:val="hybridMultilevel"/>
    <w:tmpl w:val="7FEE6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61EB4DA6"/>
    <w:multiLevelType w:val="hybridMultilevel"/>
    <w:tmpl w:val="6206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625C3D34"/>
    <w:multiLevelType w:val="hybridMultilevel"/>
    <w:tmpl w:val="882ECCAC"/>
    <w:lvl w:ilvl="0" w:tplc="F07C6E44">
      <w:start w:val="4"/>
      <w:numFmt w:val="bullet"/>
      <w:lvlText w:val="-"/>
      <w:lvlJc w:val="left"/>
      <w:pPr>
        <w:ind w:left="1068" w:hanging="360"/>
      </w:pPr>
      <w:rPr>
        <w:rFonts w:ascii="Arial" w:eastAsia="Times New Roman" w:hAnsi="Arial" w:hint="default"/>
        <w:b/>
      </w:rPr>
    </w:lvl>
    <w:lvl w:ilvl="1" w:tplc="F07C6E44">
      <w:start w:val="4"/>
      <w:numFmt w:val="bullet"/>
      <w:lvlText w:val="-"/>
      <w:lvlJc w:val="left"/>
      <w:pPr>
        <w:ind w:left="1788" w:hanging="360"/>
      </w:pPr>
      <w:rPr>
        <w:rFonts w:ascii="Arial" w:eastAsia="Times New Roman" w:hAnsi="Arial" w:hint="default"/>
        <w:b/>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4">
    <w:nsid w:val="632144DD"/>
    <w:multiLevelType w:val="hybridMultilevel"/>
    <w:tmpl w:val="4B8EFA88"/>
    <w:lvl w:ilvl="0" w:tplc="0405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32542F7"/>
    <w:multiLevelType w:val="hybridMultilevel"/>
    <w:tmpl w:val="90523ECE"/>
    <w:lvl w:ilvl="0" w:tplc="AF365378">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638F2BCC"/>
    <w:multiLevelType w:val="hybridMultilevel"/>
    <w:tmpl w:val="F1F28C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639528D0"/>
    <w:multiLevelType w:val="hybridMultilevel"/>
    <w:tmpl w:val="D7F0C604"/>
    <w:lvl w:ilvl="0" w:tplc="AF365378">
      <w:numFmt w:val="bullet"/>
      <w:lvlText w:val="-"/>
      <w:lvlJc w:val="left"/>
      <w:pPr>
        <w:ind w:left="360" w:hanging="360"/>
      </w:pPr>
      <w:rPr>
        <w:rFonts w:ascii="Times New Roman" w:eastAsia="Times New Roman" w:hAnsi="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8">
    <w:nsid w:val="639943A8"/>
    <w:multiLevelType w:val="hybridMultilevel"/>
    <w:tmpl w:val="824C1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63F03DCB"/>
    <w:multiLevelType w:val="hybridMultilevel"/>
    <w:tmpl w:val="B14C3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6564752F"/>
    <w:multiLevelType w:val="hybridMultilevel"/>
    <w:tmpl w:val="A2285FE0"/>
    <w:lvl w:ilvl="0" w:tplc="0405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65746BD7"/>
    <w:multiLevelType w:val="hybridMultilevel"/>
    <w:tmpl w:val="C574777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93">
    <w:nsid w:val="681D6F42"/>
    <w:multiLevelType w:val="hybridMultilevel"/>
    <w:tmpl w:val="26EA37DE"/>
    <w:lvl w:ilvl="0" w:tplc="04050001">
      <w:start w:val="1"/>
      <w:numFmt w:val="bullet"/>
      <w:lvlText w:val=""/>
      <w:lvlJc w:val="left"/>
      <w:pPr>
        <w:ind w:left="720" w:hanging="360"/>
      </w:pPr>
      <w:rPr>
        <w:rFonts w:ascii="Symbol" w:hAnsi="Symbol" w:hint="default"/>
        <w:b/>
      </w:rPr>
    </w:lvl>
    <w:lvl w:ilvl="1" w:tplc="AF365378">
      <w:numFmt w:val="bullet"/>
      <w:lvlText w:val="-"/>
      <w:lvlJc w:val="left"/>
      <w:pPr>
        <w:ind w:left="1440" w:hanging="360"/>
      </w:pPr>
      <w:rPr>
        <w:rFonts w:ascii="Times New Roman" w:eastAsia="Times New Roman" w:hAnsi="Times New Roman" w:hint="default"/>
        <w:b/>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68FE2D45"/>
    <w:multiLevelType w:val="hybridMultilevel"/>
    <w:tmpl w:val="CE201F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6A71304E"/>
    <w:multiLevelType w:val="hybridMultilevel"/>
    <w:tmpl w:val="AEEC1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6B991051"/>
    <w:multiLevelType w:val="hybridMultilevel"/>
    <w:tmpl w:val="2F8C8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6DE410D4"/>
    <w:multiLevelType w:val="hybridMultilevel"/>
    <w:tmpl w:val="97E25D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8">
    <w:nsid w:val="70B23634"/>
    <w:multiLevelType w:val="hybridMultilevel"/>
    <w:tmpl w:val="2A205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72352E6B"/>
    <w:multiLevelType w:val="hybridMultilevel"/>
    <w:tmpl w:val="FEE666E0"/>
    <w:lvl w:ilvl="0" w:tplc="0405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72DB14E3"/>
    <w:multiLevelType w:val="hybridMultilevel"/>
    <w:tmpl w:val="FC4C8550"/>
    <w:lvl w:ilvl="0" w:tplc="F07C6E44">
      <w:start w:val="4"/>
      <w:numFmt w:val="bullet"/>
      <w:lvlText w:val="-"/>
      <w:lvlJc w:val="left"/>
      <w:pPr>
        <w:ind w:left="1068" w:hanging="360"/>
      </w:pPr>
      <w:rPr>
        <w:rFonts w:ascii="Arial" w:eastAsia="Times New Roman" w:hAnsi="Arial" w:hint="default"/>
        <w:b/>
      </w:rPr>
    </w:lvl>
    <w:lvl w:ilvl="1" w:tplc="F07C6E44">
      <w:start w:val="4"/>
      <w:numFmt w:val="bullet"/>
      <w:lvlText w:val="-"/>
      <w:lvlJc w:val="left"/>
      <w:pPr>
        <w:ind w:left="1353" w:hanging="360"/>
      </w:pPr>
      <w:rPr>
        <w:rFonts w:ascii="Arial" w:eastAsia="Times New Roman" w:hAnsi="Arial" w:hint="default"/>
        <w:b/>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1">
    <w:nsid w:val="737944F2"/>
    <w:multiLevelType w:val="hybridMultilevel"/>
    <w:tmpl w:val="7660B8BE"/>
    <w:lvl w:ilvl="0" w:tplc="B210ACC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74D14DC8"/>
    <w:multiLevelType w:val="hybridMultilevel"/>
    <w:tmpl w:val="7220C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74FF1D60"/>
    <w:multiLevelType w:val="hybridMultilevel"/>
    <w:tmpl w:val="6BE0E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751A2BC5"/>
    <w:multiLevelType w:val="hybridMultilevel"/>
    <w:tmpl w:val="9C364F3A"/>
    <w:lvl w:ilvl="0" w:tplc="0405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76725403"/>
    <w:multiLevelType w:val="hybridMultilevel"/>
    <w:tmpl w:val="861AF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77914E38"/>
    <w:multiLevelType w:val="hybridMultilevel"/>
    <w:tmpl w:val="F844E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77E27148"/>
    <w:multiLevelType w:val="hybridMultilevel"/>
    <w:tmpl w:val="6AACD450"/>
    <w:lvl w:ilvl="0" w:tplc="B210ACC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79CF588E"/>
    <w:multiLevelType w:val="hybridMultilevel"/>
    <w:tmpl w:val="31A04D1A"/>
    <w:lvl w:ilvl="0" w:tplc="AF365378">
      <w:numFmt w:val="bullet"/>
      <w:lvlText w:val="-"/>
      <w:lvlJc w:val="left"/>
      <w:pPr>
        <w:ind w:left="360" w:hanging="360"/>
      </w:pPr>
      <w:rPr>
        <w:rFonts w:ascii="Times New Roman" w:eastAsia="Times New Roman" w:hAnsi="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9">
    <w:nsid w:val="79FC1649"/>
    <w:multiLevelType w:val="hybridMultilevel"/>
    <w:tmpl w:val="45400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7AA56FB4"/>
    <w:multiLevelType w:val="hybridMultilevel"/>
    <w:tmpl w:val="129060FA"/>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7B595D49"/>
    <w:multiLevelType w:val="hybridMultilevel"/>
    <w:tmpl w:val="81B471B2"/>
    <w:lvl w:ilvl="0" w:tplc="F07C6E44">
      <w:start w:val="4"/>
      <w:numFmt w:val="bullet"/>
      <w:lvlText w:val="-"/>
      <w:lvlJc w:val="left"/>
      <w:pPr>
        <w:ind w:left="1068" w:hanging="360"/>
      </w:pPr>
      <w:rPr>
        <w:rFonts w:ascii="Arial" w:eastAsia="Times New Roman" w:hAnsi="Arial" w:hint="default"/>
        <w:b/>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2">
    <w:nsid w:val="7C297D5D"/>
    <w:multiLevelType w:val="hybridMultilevel"/>
    <w:tmpl w:val="55A65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7D55754C"/>
    <w:multiLevelType w:val="hybridMultilevel"/>
    <w:tmpl w:val="62EC5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7F29114D"/>
    <w:multiLevelType w:val="hybridMultilevel"/>
    <w:tmpl w:val="F864C396"/>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1"/>
  </w:num>
  <w:num w:numId="2">
    <w:abstractNumId w:val="92"/>
  </w:num>
  <w:num w:numId="3">
    <w:abstractNumId w:val="10"/>
  </w:num>
  <w:num w:numId="4">
    <w:abstractNumId w:val="45"/>
  </w:num>
  <w:num w:numId="5">
    <w:abstractNumId w:val="102"/>
  </w:num>
  <w:num w:numId="6">
    <w:abstractNumId w:val="89"/>
  </w:num>
  <w:num w:numId="7">
    <w:abstractNumId w:val="76"/>
  </w:num>
  <w:num w:numId="8">
    <w:abstractNumId w:val="24"/>
  </w:num>
  <w:num w:numId="9">
    <w:abstractNumId w:val="68"/>
  </w:num>
  <w:num w:numId="10">
    <w:abstractNumId w:val="0"/>
  </w:num>
  <w:num w:numId="11">
    <w:abstractNumId w:val="46"/>
  </w:num>
  <w:num w:numId="12">
    <w:abstractNumId w:val="96"/>
  </w:num>
  <w:num w:numId="13">
    <w:abstractNumId w:val="56"/>
  </w:num>
  <w:num w:numId="14">
    <w:abstractNumId w:val="112"/>
  </w:num>
  <w:num w:numId="15">
    <w:abstractNumId w:val="88"/>
  </w:num>
  <w:num w:numId="16">
    <w:abstractNumId w:val="8"/>
  </w:num>
  <w:num w:numId="17">
    <w:abstractNumId w:val="72"/>
  </w:num>
  <w:num w:numId="18">
    <w:abstractNumId w:val="37"/>
  </w:num>
  <w:num w:numId="19">
    <w:abstractNumId w:val="113"/>
  </w:num>
  <w:num w:numId="20">
    <w:abstractNumId w:val="43"/>
  </w:num>
  <w:num w:numId="21">
    <w:abstractNumId w:val="28"/>
  </w:num>
  <w:num w:numId="22">
    <w:abstractNumId w:val="98"/>
  </w:num>
  <w:num w:numId="23">
    <w:abstractNumId w:val="36"/>
  </w:num>
  <w:num w:numId="24">
    <w:abstractNumId w:val="15"/>
  </w:num>
  <w:num w:numId="25">
    <w:abstractNumId w:val="55"/>
  </w:num>
  <w:num w:numId="26">
    <w:abstractNumId w:val="12"/>
  </w:num>
  <w:num w:numId="27">
    <w:abstractNumId w:val="42"/>
  </w:num>
  <w:num w:numId="28">
    <w:abstractNumId w:val="25"/>
  </w:num>
  <w:num w:numId="29">
    <w:abstractNumId w:val="111"/>
  </w:num>
  <w:num w:numId="30">
    <w:abstractNumId w:val="78"/>
  </w:num>
  <w:num w:numId="31">
    <w:abstractNumId w:val="62"/>
  </w:num>
  <w:num w:numId="32">
    <w:abstractNumId w:val="103"/>
  </w:num>
  <w:num w:numId="33">
    <w:abstractNumId w:val="86"/>
  </w:num>
  <w:num w:numId="34">
    <w:abstractNumId w:val="60"/>
  </w:num>
  <w:num w:numId="35">
    <w:abstractNumId w:val="106"/>
  </w:num>
  <w:num w:numId="36">
    <w:abstractNumId w:val="16"/>
  </w:num>
  <w:num w:numId="37">
    <w:abstractNumId w:val="83"/>
  </w:num>
  <w:num w:numId="38">
    <w:abstractNumId w:val="48"/>
  </w:num>
  <w:num w:numId="39">
    <w:abstractNumId w:val="3"/>
  </w:num>
  <w:num w:numId="40">
    <w:abstractNumId w:val="57"/>
  </w:num>
  <w:num w:numId="41">
    <w:abstractNumId w:val="79"/>
  </w:num>
  <w:num w:numId="42">
    <w:abstractNumId w:val="74"/>
  </w:num>
  <w:num w:numId="43">
    <w:abstractNumId w:val="30"/>
  </w:num>
  <w:num w:numId="44">
    <w:abstractNumId w:val="51"/>
  </w:num>
  <w:num w:numId="45">
    <w:abstractNumId w:val="65"/>
  </w:num>
  <w:num w:numId="46">
    <w:abstractNumId w:val="14"/>
  </w:num>
  <w:num w:numId="47">
    <w:abstractNumId w:val="114"/>
  </w:num>
  <w:num w:numId="48">
    <w:abstractNumId w:val="33"/>
  </w:num>
  <w:num w:numId="49">
    <w:abstractNumId w:val="82"/>
  </w:num>
  <w:num w:numId="50">
    <w:abstractNumId w:val="81"/>
  </w:num>
  <w:num w:numId="51">
    <w:abstractNumId w:val="17"/>
  </w:num>
  <w:num w:numId="52">
    <w:abstractNumId w:val="95"/>
  </w:num>
  <w:num w:numId="53">
    <w:abstractNumId w:val="70"/>
  </w:num>
  <w:num w:numId="54">
    <w:abstractNumId w:val="49"/>
  </w:num>
  <w:num w:numId="55">
    <w:abstractNumId w:val="31"/>
  </w:num>
  <w:num w:numId="56">
    <w:abstractNumId w:val="58"/>
  </w:num>
  <w:num w:numId="57">
    <w:abstractNumId w:val="13"/>
  </w:num>
  <w:num w:numId="58">
    <w:abstractNumId w:val="2"/>
  </w:num>
  <w:num w:numId="59">
    <w:abstractNumId w:val="100"/>
  </w:num>
  <w:num w:numId="60">
    <w:abstractNumId w:val="18"/>
  </w:num>
  <w:num w:numId="61">
    <w:abstractNumId w:val="26"/>
  </w:num>
  <w:num w:numId="62">
    <w:abstractNumId w:val="94"/>
  </w:num>
  <w:num w:numId="63">
    <w:abstractNumId w:val="27"/>
  </w:num>
  <w:num w:numId="64">
    <w:abstractNumId w:val="19"/>
  </w:num>
  <w:num w:numId="65">
    <w:abstractNumId w:val="35"/>
  </w:num>
  <w:num w:numId="66">
    <w:abstractNumId w:val="77"/>
  </w:num>
  <w:num w:numId="67">
    <w:abstractNumId w:val="109"/>
  </w:num>
  <w:num w:numId="68">
    <w:abstractNumId w:val="105"/>
  </w:num>
  <w:num w:numId="69">
    <w:abstractNumId w:val="63"/>
  </w:num>
  <w:num w:numId="70">
    <w:abstractNumId w:val="61"/>
  </w:num>
  <w:num w:numId="71">
    <w:abstractNumId w:val="32"/>
  </w:num>
  <w:num w:numId="72">
    <w:abstractNumId w:val="40"/>
  </w:num>
  <w:num w:numId="73">
    <w:abstractNumId w:val="52"/>
  </w:num>
  <w:num w:numId="74">
    <w:abstractNumId w:val="1"/>
  </w:num>
  <w:num w:numId="75">
    <w:abstractNumId w:val="73"/>
  </w:num>
  <w:num w:numId="76">
    <w:abstractNumId w:val="110"/>
  </w:num>
  <w:num w:numId="77">
    <w:abstractNumId w:val="41"/>
  </w:num>
  <w:num w:numId="78">
    <w:abstractNumId w:val="93"/>
  </w:num>
  <w:num w:numId="79">
    <w:abstractNumId w:val="91"/>
  </w:num>
  <w:num w:numId="80">
    <w:abstractNumId w:val="67"/>
  </w:num>
  <w:num w:numId="81">
    <w:abstractNumId w:val="66"/>
  </w:num>
  <w:num w:numId="82">
    <w:abstractNumId w:val="84"/>
  </w:num>
  <w:num w:numId="83">
    <w:abstractNumId w:val="5"/>
  </w:num>
  <w:num w:numId="84">
    <w:abstractNumId w:val="104"/>
  </w:num>
  <w:num w:numId="85">
    <w:abstractNumId w:val="6"/>
  </w:num>
  <w:num w:numId="86">
    <w:abstractNumId w:val="99"/>
  </w:num>
  <w:num w:numId="87">
    <w:abstractNumId w:val="90"/>
  </w:num>
  <w:num w:numId="88">
    <w:abstractNumId w:val="39"/>
  </w:num>
  <w:num w:numId="89">
    <w:abstractNumId w:val="23"/>
  </w:num>
  <w:num w:numId="90">
    <w:abstractNumId w:val="85"/>
  </w:num>
  <w:num w:numId="91">
    <w:abstractNumId w:val="75"/>
  </w:num>
  <w:num w:numId="92">
    <w:abstractNumId w:val="108"/>
  </w:num>
  <w:num w:numId="93">
    <w:abstractNumId w:val="4"/>
  </w:num>
  <w:num w:numId="94">
    <w:abstractNumId w:val="21"/>
  </w:num>
  <w:num w:numId="95">
    <w:abstractNumId w:val="11"/>
  </w:num>
  <w:num w:numId="96">
    <w:abstractNumId w:val="59"/>
  </w:num>
  <w:num w:numId="97">
    <w:abstractNumId w:val="44"/>
  </w:num>
  <w:num w:numId="98">
    <w:abstractNumId w:val="9"/>
  </w:num>
  <w:num w:numId="99">
    <w:abstractNumId w:val="22"/>
  </w:num>
  <w:num w:numId="100">
    <w:abstractNumId w:val="38"/>
  </w:num>
  <w:num w:numId="101">
    <w:abstractNumId w:val="107"/>
  </w:num>
  <w:num w:numId="102">
    <w:abstractNumId w:val="20"/>
  </w:num>
  <w:num w:numId="103">
    <w:abstractNumId w:val="7"/>
  </w:num>
  <w:num w:numId="104">
    <w:abstractNumId w:val="29"/>
  </w:num>
  <w:num w:numId="105">
    <w:abstractNumId w:val="101"/>
  </w:num>
  <w:num w:numId="106">
    <w:abstractNumId w:val="50"/>
  </w:num>
  <w:num w:numId="107">
    <w:abstractNumId w:val="54"/>
  </w:num>
  <w:num w:numId="108">
    <w:abstractNumId w:val="47"/>
  </w:num>
  <w:num w:numId="109">
    <w:abstractNumId w:val="53"/>
  </w:num>
  <w:num w:numId="110">
    <w:abstractNumId w:val="69"/>
  </w:num>
  <w:num w:numId="111">
    <w:abstractNumId w:val="34"/>
  </w:num>
  <w:num w:numId="112">
    <w:abstractNumId w:val="97"/>
  </w:num>
  <w:num w:numId="113">
    <w:abstractNumId w:val="64"/>
  </w:num>
  <w:num w:numId="114">
    <w:abstractNumId w:val="80"/>
  </w:num>
  <w:num w:numId="115">
    <w:abstractNumId w:val="8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4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281E31"/>
    <w:rsid w:val="000001DA"/>
    <w:rsid w:val="00000DFE"/>
    <w:rsid w:val="00001231"/>
    <w:rsid w:val="000028DD"/>
    <w:rsid w:val="00003B94"/>
    <w:rsid w:val="00004AF3"/>
    <w:rsid w:val="00004B0D"/>
    <w:rsid w:val="00004ED9"/>
    <w:rsid w:val="0000661D"/>
    <w:rsid w:val="0000693C"/>
    <w:rsid w:val="00006BB2"/>
    <w:rsid w:val="00006BCA"/>
    <w:rsid w:val="00007268"/>
    <w:rsid w:val="000072AC"/>
    <w:rsid w:val="00007371"/>
    <w:rsid w:val="0000764B"/>
    <w:rsid w:val="00007724"/>
    <w:rsid w:val="000077F3"/>
    <w:rsid w:val="00007969"/>
    <w:rsid w:val="00007DA2"/>
    <w:rsid w:val="00010339"/>
    <w:rsid w:val="00010C8A"/>
    <w:rsid w:val="0001146D"/>
    <w:rsid w:val="00011E62"/>
    <w:rsid w:val="00012053"/>
    <w:rsid w:val="0001210A"/>
    <w:rsid w:val="00012657"/>
    <w:rsid w:val="000127EB"/>
    <w:rsid w:val="000132AC"/>
    <w:rsid w:val="0001353E"/>
    <w:rsid w:val="00013C2B"/>
    <w:rsid w:val="0001417D"/>
    <w:rsid w:val="00014228"/>
    <w:rsid w:val="000143A8"/>
    <w:rsid w:val="00014661"/>
    <w:rsid w:val="00014C6C"/>
    <w:rsid w:val="00015136"/>
    <w:rsid w:val="00015461"/>
    <w:rsid w:val="00015562"/>
    <w:rsid w:val="000155EF"/>
    <w:rsid w:val="00015FCC"/>
    <w:rsid w:val="0001621F"/>
    <w:rsid w:val="0001630C"/>
    <w:rsid w:val="00016438"/>
    <w:rsid w:val="00017602"/>
    <w:rsid w:val="0001762D"/>
    <w:rsid w:val="00017BA0"/>
    <w:rsid w:val="00017E5B"/>
    <w:rsid w:val="00020355"/>
    <w:rsid w:val="000204AB"/>
    <w:rsid w:val="00020C2E"/>
    <w:rsid w:val="00020FD0"/>
    <w:rsid w:val="00021137"/>
    <w:rsid w:val="000218B7"/>
    <w:rsid w:val="0002193A"/>
    <w:rsid w:val="00021A85"/>
    <w:rsid w:val="00021AF3"/>
    <w:rsid w:val="00021AFC"/>
    <w:rsid w:val="0002207E"/>
    <w:rsid w:val="000223F8"/>
    <w:rsid w:val="000225A5"/>
    <w:rsid w:val="00022776"/>
    <w:rsid w:val="00022A7D"/>
    <w:rsid w:val="00022D98"/>
    <w:rsid w:val="0002303A"/>
    <w:rsid w:val="00023483"/>
    <w:rsid w:val="00023B1D"/>
    <w:rsid w:val="000246FA"/>
    <w:rsid w:val="000248F1"/>
    <w:rsid w:val="00025865"/>
    <w:rsid w:val="00025978"/>
    <w:rsid w:val="00025A3B"/>
    <w:rsid w:val="00025E50"/>
    <w:rsid w:val="0002643D"/>
    <w:rsid w:val="00026DDB"/>
    <w:rsid w:val="000270DB"/>
    <w:rsid w:val="00027277"/>
    <w:rsid w:val="00027585"/>
    <w:rsid w:val="000301F7"/>
    <w:rsid w:val="000303A2"/>
    <w:rsid w:val="00030567"/>
    <w:rsid w:val="00031179"/>
    <w:rsid w:val="000311EC"/>
    <w:rsid w:val="000313B7"/>
    <w:rsid w:val="000314BB"/>
    <w:rsid w:val="0003153B"/>
    <w:rsid w:val="0003187D"/>
    <w:rsid w:val="00031F48"/>
    <w:rsid w:val="000321C6"/>
    <w:rsid w:val="00032E55"/>
    <w:rsid w:val="00032EE7"/>
    <w:rsid w:val="000335D2"/>
    <w:rsid w:val="00033B15"/>
    <w:rsid w:val="00033DE6"/>
    <w:rsid w:val="000342DA"/>
    <w:rsid w:val="00034393"/>
    <w:rsid w:val="0003460A"/>
    <w:rsid w:val="0003538F"/>
    <w:rsid w:val="00035496"/>
    <w:rsid w:val="0003550A"/>
    <w:rsid w:val="000356E6"/>
    <w:rsid w:val="00036863"/>
    <w:rsid w:val="000376DB"/>
    <w:rsid w:val="000378A3"/>
    <w:rsid w:val="00037989"/>
    <w:rsid w:val="00037BB1"/>
    <w:rsid w:val="00037DCF"/>
    <w:rsid w:val="000401B8"/>
    <w:rsid w:val="000405B4"/>
    <w:rsid w:val="00040A4B"/>
    <w:rsid w:val="00040B89"/>
    <w:rsid w:val="000415D9"/>
    <w:rsid w:val="00041F7F"/>
    <w:rsid w:val="0004213C"/>
    <w:rsid w:val="00042239"/>
    <w:rsid w:val="000424D8"/>
    <w:rsid w:val="00042CA2"/>
    <w:rsid w:val="0004304C"/>
    <w:rsid w:val="000432E4"/>
    <w:rsid w:val="00043917"/>
    <w:rsid w:val="00043C63"/>
    <w:rsid w:val="00044C60"/>
    <w:rsid w:val="00044EEF"/>
    <w:rsid w:val="00044FD2"/>
    <w:rsid w:val="000450DC"/>
    <w:rsid w:val="00045361"/>
    <w:rsid w:val="00045808"/>
    <w:rsid w:val="0004598D"/>
    <w:rsid w:val="00045E9B"/>
    <w:rsid w:val="000460C6"/>
    <w:rsid w:val="00046244"/>
    <w:rsid w:val="000466C8"/>
    <w:rsid w:val="00046765"/>
    <w:rsid w:val="0004728D"/>
    <w:rsid w:val="00047813"/>
    <w:rsid w:val="00047E8B"/>
    <w:rsid w:val="00050198"/>
    <w:rsid w:val="00050698"/>
    <w:rsid w:val="00050C80"/>
    <w:rsid w:val="00050CEC"/>
    <w:rsid w:val="00051219"/>
    <w:rsid w:val="00051361"/>
    <w:rsid w:val="00051A2B"/>
    <w:rsid w:val="00052862"/>
    <w:rsid w:val="00052BDC"/>
    <w:rsid w:val="0005393A"/>
    <w:rsid w:val="00053B0A"/>
    <w:rsid w:val="00053E9D"/>
    <w:rsid w:val="00054394"/>
    <w:rsid w:val="0005501C"/>
    <w:rsid w:val="00055539"/>
    <w:rsid w:val="0005566E"/>
    <w:rsid w:val="000558CF"/>
    <w:rsid w:val="000559CD"/>
    <w:rsid w:val="000563A9"/>
    <w:rsid w:val="000564CC"/>
    <w:rsid w:val="000565DC"/>
    <w:rsid w:val="00056656"/>
    <w:rsid w:val="00057280"/>
    <w:rsid w:val="000574B0"/>
    <w:rsid w:val="00057C5C"/>
    <w:rsid w:val="00057E72"/>
    <w:rsid w:val="00057F69"/>
    <w:rsid w:val="00060185"/>
    <w:rsid w:val="000602EF"/>
    <w:rsid w:val="00060663"/>
    <w:rsid w:val="00060CE7"/>
    <w:rsid w:val="00060DE9"/>
    <w:rsid w:val="00060F58"/>
    <w:rsid w:val="0006107B"/>
    <w:rsid w:val="000610F4"/>
    <w:rsid w:val="000613E6"/>
    <w:rsid w:val="000614A4"/>
    <w:rsid w:val="00061AE0"/>
    <w:rsid w:val="00061B64"/>
    <w:rsid w:val="0006281F"/>
    <w:rsid w:val="00062C89"/>
    <w:rsid w:val="00062FA4"/>
    <w:rsid w:val="000633C5"/>
    <w:rsid w:val="00063455"/>
    <w:rsid w:val="000634A2"/>
    <w:rsid w:val="00063898"/>
    <w:rsid w:val="0006397C"/>
    <w:rsid w:val="000645E0"/>
    <w:rsid w:val="0006541D"/>
    <w:rsid w:val="00065532"/>
    <w:rsid w:val="00065650"/>
    <w:rsid w:val="00065E39"/>
    <w:rsid w:val="00065E3A"/>
    <w:rsid w:val="00065F20"/>
    <w:rsid w:val="00066877"/>
    <w:rsid w:val="00066959"/>
    <w:rsid w:val="00066D9F"/>
    <w:rsid w:val="00066E13"/>
    <w:rsid w:val="00067ADC"/>
    <w:rsid w:val="0007029C"/>
    <w:rsid w:val="000708BE"/>
    <w:rsid w:val="0007095B"/>
    <w:rsid w:val="00070B70"/>
    <w:rsid w:val="000717A3"/>
    <w:rsid w:val="00071853"/>
    <w:rsid w:val="000718DD"/>
    <w:rsid w:val="00071E1B"/>
    <w:rsid w:val="000720ED"/>
    <w:rsid w:val="00072719"/>
    <w:rsid w:val="00072B5B"/>
    <w:rsid w:val="00072FD9"/>
    <w:rsid w:val="00072FFB"/>
    <w:rsid w:val="00073167"/>
    <w:rsid w:val="000732E2"/>
    <w:rsid w:val="000733CA"/>
    <w:rsid w:val="000733FD"/>
    <w:rsid w:val="00073EFB"/>
    <w:rsid w:val="0007471A"/>
    <w:rsid w:val="000748C7"/>
    <w:rsid w:val="0007493F"/>
    <w:rsid w:val="0007499D"/>
    <w:rsid w:val="00074AD9"/>
    <w:rsid w:val="0007509A"/>
    <w:rsid w:val="0007549A"/>
    <w:rsid w:val="00075687"/>
    <w:rsid w:val="00075FA1"/>
    <w:rsid w:val="00076506"/>
    <w:rsid w:val="000766D9"/>
    <w:rsid w:val="00076F60"/>
    <w:rsid w:val="00077152"/>
    <w:rsid w:val="00077428"/>
    <w:rsid w:val="0007778F"/>
    <w:rsid w:val="00077CF7"/>
    <w:rsid w:val="000803C3"/>
    <w:rsid w:val="00080527"/>
    <w:rsid w:val="000805C6"/>
    <w:rsid w:val="00080CBE"/>
    <w:rsid w:val="0008126D"/>
    <w:rsid w:val="0008182C"/>
    <w:rsid w:val="00082184"/>
    <w:rsid w:val="000821F6"/>
    <w:rsid w:val="00082668"/>
    <w:rsid w:val="000827E8"/>
    <w:rsid w:val="00082933"/>
    <w:rsid w:val="000834CF"/>
    <w:rsid w:val="000835A7"/>
    <w:rsid w:val="000846C5"/>
    <w:rsid w:val="00084AC1"/>
    <w:rsid w:val="00084AFF"/>
    <w:rsid w:val="00084B6D"/>
    <w:rsid w:val="00084B93"/>
    <w:rsid w:val="00085AE3"/>
    <w:rsid w:val="00086107"/>
    <w:rsid w:val="00086D42"/>
    <w:rsid w:val="00086F26"/>
    <w:rsid w:val="000871E7"/>
    <w:rsid w:val="0008720A"/>
    <w:rsid w:val="000875F5"/>
    <w:rsid w:val="0008788E"/>
    <w:rsid w:val="00087C99"/>
    <w:rsid w:val="00087D5F"/>
    <w:rsid w:val="00087ECE"/>
    <w:rsid w:val="00090273"/>
    <w:rsid w:val="00090AFE"/>
    <w:rsid w:val="00090E3F"/>
    <w:rsid w:val="00090F77"/>
    <w:rsid w:val="0009116B"/>
    <w:rsid w:val="00091179"/>
    <w:rsid w:val="000912EA"/>
    <w:rsid w:val="0009155A"/>
    <w:rsid w:val="000918D2"/>
    <w:rsid w:val="00092392"/>
    <w:rsid w:val="00092411"/>
    <w:rsid w:val="0009242C"/>
    <w:rsid w:val="00092557"/>
    <w:rsid w:val="00092589"/>
    <w:rsid w:val="00092870"/>
    <w:rsid w:val="000928C0"/>
    <w:rsid w:val="00092925"/>
    <w:rsid w:val="00092F74"/>
    <w:rsid w:val="00093603"/>
    <w:rsid w:val="000938CB"/>
    <w:rsid w:val="000939E2"/>
    <w:rsid w:val="00093B0D"/>
    <w:rsid w:val="00094318"/>
    <w:rsid w:val="000943EB"/>
    <w:rsid w:val="00094B18"/>
    <w:rsid w:val="000955F0"/>
    <w:rsid w:val="000959FF"/>
    <w:rsid w:val="00095D65"/>
    <w:rsid w:val="000963DB"/>
    <w:rsid w:val="00096BEB"/>
    <w:rsid w:val="00096D6F"/>
    <w:rsid w:val="000975F5"/>
    <w:rsid w:val="0009764F"/>
    <w:rsid w:val="0009786D"/>
    <w:rsid w:val="00097A31"/>
    <w:rsid w:val="00097BAB"/>
    <w:rsid w:val="000A080A"/>
    <w:rsid w:val="000A0868"/>
    <w:rsid w:val="000A1BA4"/>
    <w:rsid w:val="000A2077"/>
    <w:rsid w:val="000A224F"/>
    <w:rsid w:val="000A2705"/>
    <w:rsid w:val="000A2D77"/>
    <w:rsid w:val="000A2E6A"/>
    <w:rsid w:val="000A3048"/>
    <w:rsid w:val="000A38C9"/>
    <w:rsid w:val="000A39F8"/>
    <w:rsid w:val="000A44CA"/>
    <w:rsid w:val="000A4E1D"/>
    <w:rsid w:val="000A5754"/>
    <w:rsid w:val="000A58B5"/>
    <w:rsid w:val="000A60DC"/>
    <w:rsid w:val="000A611E"/>
    <w:rsid w:val="000A639D"/>
    <w:rsid w:val="000A6445"/>
    <w:rsid w:val="000A6F42"/>
    <w:rsid w:val="000A6F5B"/>
    <w:rsid w:val="000A70C8"/>
    <w:rsid w:val="000A7373"/>
    <w:rsid w:val="000A772D"/>
    <w:rsid w:val="000A7744"/>
    <w:rsid w:val="000A774F"/>
    <w:rsid w:val="000A777E"/>
    <w:rsid w:val="000B0185"/>
    <w:rsid w:val="000B1513"/>
    <w:rsid w:val="000B159A"/>
    <w:rsid w:val="000B1D29"/>
    <w:rsid w:val="000B1EDB"/>
    <w:rsid w:val="000B1FCD"/>
    <w:rsid w:val="000B2269"/>
    <w:rsid w:val="000B2AC1"/>
    <w:rsid w:val="000B2CC3"/>
    <w:rsid w:val="000B2D50"/>
    <w:rsid w:val="000B387B"/>
    <w:rsid w:val="000B4B10"/>
    <w:rsid w:val="000B4C4A"/>
    <w:rsid w:val="000B4DBC"/>
    <w:rsid w:val="000B5162"/>
    <w:rsid w:val="000B5A05"/>
    <w:rsid w:val="000B5AFD"/>
    <w:rsid w:val="000B5B5C"/>
    <w:rsid w:val="000B5BCE"/>
    <w:rsid w:val="000B65E1"/>
    <w:rsid w:val="000B6A78"/>
    <w:rsid w:val="000B6C2A"/>
    <w:rsid w:val="000B7267"/>
    <w:rsid w:val="000B72D7"/>
    <w:rsid w:val="000C032A"/>
    <w:rsid w:val="000C0819"/>
    <w:rsid w:val="000C0987"/>
    <w:rsid w:val="000C0D62"/>
    <w:rsid w:val="000C0E62"/>
    <w:rsid w:val="000C1A19"/>
    <w:rsid w:val="000C1D54"/>
    <w:rsid w:val="000C208C"/>
    <w:rsid w:val="000C2420"/>
    <w:rsid w:val="000C2863"/>
    <w:rsid w:val="000C28FD"/>
    <w:rsid w:val="000C33A9"/>
    <w:rsid w:val="000C37F3"/>
    <w:rsid w:val="000C3A9C"/>
    <w:rsid w:val="000C3DE0"/>
    <w:rsid w:val="000C42C1"/>
    <w:rsid w:val="000C42E4"/>
    <w:rsid w:val="000C4BC1"/>
    <w:rsid w:val="000C4EAD"/>
    <w:rsid w:val="000C572B"/>
    <w:rsid w:val="000C6232"/>
    <w:rsid w:val="000C653D"/>
    <w:rsid w:val="000C66CD"/>
    <w:rsid w:val="000C66E8"/>
    <w:rsid w:val="000C671A"/>
    <w:rsid w:val="000C6738"/>
    <w:rsid w:val="000C77D5"/>
    <w:rsid w:val="000C7864"/>
    <w:rsid w:val="000C79E0"/>
    <w:rsid w:val="000C7EC5"/>
    <w:rsid w:val="000D03A8"/>
    <w:rsid w:val="000D0615"/>
    <w:rsid w:val="000D065C"/>
    <w:rsid w:val="000D0949"/>
    <w:rsid w:val="000D09CE"/>
    <w:rsid w:val="000D0BE8"/>
    <w:rsid w:val="000D0C83"/>
    <w:rsid w:val="000D12F1"/>
    <w:rsid w:val="000D1AD3"/>
    <w:rsid w:val="000D2224"/>
    <w:rsid w:val="000D2D7E"/>
    <w:rsid w:val="000D311F"/>
    <w:rsid w:val="000D34FF"/>
    <w:rsid w:val="000D39B4"/>
    <w:rsid w:val="000D3C0B"/>
    <w:rsid w:val="000D3E4E"/>
    <w:rsid w:val="000D4181"/>
    <w:rsid w:val="000D47B8"/>
    <w:rsid w:val="000D4BCA"/>
    <w:rsid w:val="000D4CD1"/>
    <w:rsid w:val="000D4D72"/>
    <w:rsid w:val="000D4E81"/>
    <w:rsid w:val="000D501D"/>
    <w:rsid w:val="000D5729"/>
    <w:rsid w:val="000D57A1"/>
    <w:rsid w:val="000D59F8"/>
    <w:rsid w:val="000D5DA1"/>
    <w:rsid w:val="000D64AE"/>
    <w:rsid w:val="000D651D"/>
    <w:rsid w:val="000D65C1"/>
    <w:rsid w:val="000D755D"/>
    <w:rsid w:val="000D790E"/>
    <w:rsid w:val="000D79D7"/>
    <w:rsid w:val="000D7B8B"/>
    <w:rsid w:val="000E07F9"/>
    <w:rsid w:val="000E092B"/>
    <w:rsid w:val="000E0DDF"/>
    <w:rsid w:val="000E167D"/>
    <w:rsid w:val="000E2023"/>
    <w:rsid w:val="000E211A"/>
    <w:rsid w:val="000E23D1"/>
    <w:rsid w:val="000E3545"/>
    <w:rsid w:val="000E36B0"/>
    <w:rsid w:val="000E4281"/>
    <w:rsid w:val="000E4495"/>
    <w:rsid w:val="000E46E5"/>
    <w:rsid w:val="000E498E"/>
    <w:rsid w:val="000E4C00"/>
    <w:rsid w:val="000E4C2B"/>
    <w:rsid w:val="000E530E"/>
    <w:rsid w:val="000E5A5B"/>
    <w:rsid w:val="000E5CC5"/>
    <w:rsid w:val="000E5CE7"/>
    <w:rsid w:val="000E6170"/>
    <w:rsid w:val="000E6BDE"/>
    <w:rsid w:val="000E6F65"/>
    <w:rsid w:val="000E7235"/>
    <w:rsid w:val="000E75EB"/>
    <w:rsid w:val="000E7758"/>
    <w:rsid w:val="000E7AFD"/>
    <w:rsid w:val="000E7F1B"/>
    <w:rsid w:val="000F06C8"/>
    <w:rsid w:val="000F0C6E"/>
    <w:rsid w:val="000F1014"/>
    <w:rsid w:val="000F109D"/>
    <w:rsid w:val="000F116F"/>
    <w:rsid w:val="000F1341"/>
    <w:rsid w:val="000F141E"/>
    <w:rsid w:val="000F1549"/>
    <w:rsid w:val="000F1957"/>
    <w:rsid w:val="000F1F35"/>
    <w:rsid w:val="000F22D4"/>
    <w:rsid w:val="000F257B"/>
    <w:rsid w:val="000F2740"/>
    <w:rsid w:val="000F30F0"/>
    <w:rsid w:val="000F35E4"/>
    <w:rsid w:val="000F3CB4"/>
    <w:rsid w:val="000F4B85"/>
    <w:rsid w:val="000F4F60"/>
    <w:rsid w:val="000F53B7"/>
    <w:rsid w:val="000F5AC7"/>
    <w:rsid w:val="000F61AF"/>
    <w:rsid w:val="000F6525"/>
    <w:rsid w:val="000F706D"/>
    <w:rsid w:val="000F7725"/>
    <w:rsid w:val="000F7785"/>
    <w:rsid w:val="000F7A61"/>
    <w:rsid w:val="00100260"/>
    <w:rsid w:val="00100390"/>
    <w:rsid w:val="001003A7"/>
    <w:rsid w:val="001006A4"/>
    <w:rsid w:val="0010079F"/>
    <w:rsid w:val="00100B34"/>
    <w:rsid w:val="00100DD0"/>
    <w:rsid w:val="00100E52"/>
    <w:rsid w:val="00101036"/>
    <w:rsid w:val="00101512"/>
    <w:rsid w:val="00101650"/>
    <w:rsid w:val="00101755"/>
    <w:rsid w:val="001018D0"/>
    <w:rsid w:val="00101E75"/>
    <w:rsid w:val="001021B9"/>
    <w:rsid w:val="0010234F"/>
    <w:rsid w:val="0010252F"/>
    <w:rsid w:val="00102875"/>
    <w:rsid w:val="00102978"/>
    <w:rsid w:val="00102AD3"/>
    <w:rsid w:val="00103218"/>
    <w:rsid w:val="001036FA"/>
    <w:rsid w:val="00103873"/>
    <w:rsid w:val="00103B08"/>
    <w:rsid w:val="00103C86"/>
    <w:rsid w:val="001041A6"/>
    <w:rsid w:val="001049BC"/>
    <w:rsid w:val="00104B66"/>
    <w:rsid w:val="00105347"/>
    <w:rsid w:val="0010535F"/>
    <w:rsid w:val="00105565"/>
    <w:rsid w:val="001059CA"/>
    <w:rsid w:val="0010607B"/>
    <w:rsid w:val="001065DA"/>
    <w:rsid w:val="00106CE3"/>
    <w:rsid w:val="001074B2"/>
    <w:rsid w:val="00107B8D"/>
    <w:rsid w:val="00107BDA"/>
    <w:rsid w:val="00107D73"/>
    <w:rsid w:val="00107F91"/>
    <w:rsid w:val="001101C3"/>
    <w:rsid w:val="00110DD7"/>
    <w:rsid w:val="001111E3"/>
    <w:rsid w:val="0011211A"/>
    <w:rsid w:val="00112373"/>
    <w:rsid w:val="00112849"/>
    <w:rsid w:val="00112CC0"/>
    <w:rsid w:val="00112F6A"/>
    <w:rsid w:val="00113042"/>
    <w:rsid w:val="0011324B"/>
    <w:rsid w:val="00113659"/>
    <w:rsid w:val="0011388F"/>
    <w:rsid w:val="00113B00"/>
    <w:rsid w:val="00114004"/>
    <w:rsid w:val="00114700"/>
    <w:rsid w:val="00114C4B"/>
    <w:rsid w:val="00114DB9"/>
    <w:rsid w:val="0011564E"/>
    <w:rsid w:val="001158AF"/>
    <w:rsid w:val="00115DA6"/>
    <w:rsid w:val="0011607D"/>
    <w:rsid w:val="00117168"/>
    <w:rsid w:val="00117892"/>
    <w:rsid w:val="001178BE"/>
    <w:rsid w:val="00117CD2"/>
    <w:rsid w:val="0012018C"/>
    <w:rsid w:val="00120283"/>
    <w:rsid w:val="001203BF"/>
    <w:rsid w:val="00120760"/>
    <w:rsid w:val="00120AFB"/>
    <w:rsid w:val="0012133D"/>
    <w:rsid w:val="001213B5"/>
    <w:rsid w:val="0012189A"/>
    <w:rsid w:val="00121BDF"/>
    <w:rsid w:val="0012241B"/>
    <w:rsid w:val="001225B7"/>
    <w:rsid w:val="00122E44"/>
    <w:rsid w:val="00122FA1"/>
    <w:rsid w:val="0012326C"/>
    <w:rsid w:val="001236E9"/>
    <w:rsid w:val="00123DDA"/>
    <w:rsid w:val="00124DA0"/>
    <w:rsid w:val="0012521B"/>
    <w:rsid w:val="001258F8"/>
    <w:rsid w:val="00125ECB"/>
    <w:rsid w:val="0012647C"/>
    <w:rsid w:val="001264A3"/>
    <w:rsid w:val="00126650"/>
    <w:rsid w:val="00126B53"/>
    <w:rsid w:val="00127204"/>
    <w:rsid w:val="001272C6"/>
    <w:rsid w:val="001275D9"/>
    <w:rsid w:val="001277A6"/>
    <w:rsid w:val="00127854"/>
    <w:rsid w:val="001278F2"/>
    <w:rsid w:val="0012794A"/>
    <w:rsid w:val="00127B71"/>
    <w:rsid w:val="00130355"/>
    <w:rsid w:val="001304C2"/>
    <w:rsid w:val="00130727"/>
    <w:rsid w:val="00130880"/>
    <w:rsid w:val="00130F8E"/>
    <w:rsid w:val="001313F5"/>
    <w:rsid w:val="0013148F"/>
    <w:rsid w:val="00131D62"/>
    <w:rsid w:val="00132100"/>
    <w:rsid w:val="001324BA"/>
    <w:rsid w:val="00132694"/>
    <w:rsid w:val="0013274A"/>
    <w:rsid w:val="00132AB8"/>
    <w:rsid w:val="00133163"/>
    <w:rsid w:val="00133195"/>
    <w:rsid w:val="0013372C"/>
    <w:rsid w:val="00133BA0"/>
    <w:rsid w:val="00133D94"/>
    <w:rsid w:val="0013450D"/>
    <w:rsid w:val="001348B8"/>
    <w:rsid w:val="00134C10"/>
    <w:rsid w:val="00135149"/>
    <w:rsid w:val="001355E4"/>
    <w:rsid w:val="001359FD"/>
    <w:rsid w:val="00135DC5"/>
    <w:rsid w:val="00136291"/>
    <w:rsid w:val="00136547"/>
    <w:rsid w:val="00136556"/>
    <w:rsid w:val="00136607"/>
    <w:rsid w:val="0013667D"/>
    <w:rsid w:val="00136E0F"/>
    <w:rsid w:val="0013731D"/>
    <w:rsid w:val="001378A3"/>
    <w:rsid w:val="001403B8"/>
    <w:rsid w:val="001403FD"/>
    <w:rsid w:val="00140915"/>
    <w:rsid w:val="0014133E"/>
    <w:rsid w:val="0014139B"/>
    <w:rsid w:val="00141B2A"/>
    <w:rsid w:val="00141C7B"/>
    <w:rsid w:val="00141DB7"/>
    <w:rsid w:val="001420F7"/>
    <w:rsid w:val="0014232C"/>
    <w:rsid w:val="001424EB"/>
    <w:rsid w:val="001429EF"/>
    <w:rsid w:val="00142BDC"/>
    <w:rsid w:val="00142CCD"/>
    <w:rsid w:val="00143542"/>
    <w:rsid w:val="001438D9"/>
    <w:rsid w:val="001439B3"/>
    <w:rsid w:val="00143B47"/>
    <w:rsid w:val="00143C4E"/>
    <w:rsid w:val="00143CDD"/>
    <w:rsid w:val="00143FF1"/>
    <w:rsid w:val="00143FFB"/>
    <w:rsid w:val="00144052"/>
    <w:rsid w:val="00144382"/>
    <w:rsid w:val="0014462C"/>
    <w:rsid w:val="0014488B"/>
    <w:rsid w:val="00144B91"/>
    <w:rsid w:val="00144DD7"/>
    <w:rsid w:val="00144EE9"/>
    <w:rsid w:val="001454B5"/>
    <w:rsid w:val="001456D2"/>
    <w:rsid w:val="00145811"/>
    <w:rsid w:val="00146193"/>
    <w:rsid w:val="00146D24"/>
    <w:rsid w:val="00146EB1"/>
    <w:rsid w:val="00147037"/>
    <w:rsid w:val="00147859"/>
    <w:rsid w:val="0014799B"/>
    <w:rsid w:val="00147CAF"/>
    <w:rsid w:val="00147CE0"/>
    <w:rsid w:val="00147CFB"/>
    <w:rsid w:val="00147EC0"/>
    <w:rsid w:val="001501FE"/>
    <w:rsid w:val="001511EC"/>
    <w:rsid w:val="0015134E"/>
    <w:rsid w:val="00151C56"/>
    <w:rsid w:val="001522F3"/>
    <w:rsid w:val="00152A16"/>
    <w:rsid w:val="00152A17"/>
    <w:rsid w:val="00152E48"/>
    <w:rsid w:val="00152E77"/>
    <w:rsid w:val="0015303B"/>
    <w:rsid w:val="00153152"/>
    <w:rsid w:val="00153462"/>
    <w:rsid w:val="00153571"/>
    <w:rsid w:val="00153CED"/>
    <w:rsid w:val="00153E90"/>
    <w:rsid w:val="00153ED7"/>
    <w:rsid w:val="00153EEE"/>
    <w:rsid w:val="0015404C"/>
    <w:rsid w:val="001541DC"/>
    <w:rsid w:val="001545AE"/>
    <w:rsid w:val="0015480F"/>
    <w:rsid w:val="00154AE9"/>
    <w:rsid w:val="00154E58"/>
    <w:rsid w:val="0015559F"/>
    <w:rsid w:val="00155D84"/>
    <w:rsid w:val="0015660A"/>
    <w:rsid w:val="00156617"/>
    <w:rsid w:val="00156852"/>
    <w:rsid w:val="001568E0"/>
    <w:rsid w:val="001568E4"/>
    <w:rsid w:val="001574B4"/>
    <w:rsid w:val="00157899"/>
    <w:rsid w:val="00157AC3"/>
    <w:rsid w:val="00157C95"/>
    <w:rsid w:val="00157D59"/>
    <w:rsid w:val="00160183"/>
    <w:rsid w:val="001605C3"/>
    <w:rsid w:val="00160B2D"/>
    <w:rsid w:val="00160C80"/>
    <w:rsid w:val="00160D6A"/>
    <w:rsid w:val="00160E3D"/>
    <w:rsid w:val="00160F83"/>
    <w:rsid w:val="00161B03"/>
    <w:rsid w:val="00161B5E"/>
    <w:rsid w:val="00161F43"/>
    <w:rsid w:val="00162301"/>
    <w:rsid w:val="001625F3"/>
    <w:rsid w:val="001627A9"/>
    <w:rsid w:val="00162C47"/>
    <w:rsid w:val="00162C58"/>
    <w:rsid w:val="00162DB6"/>
    <w:rsid w:val="00163A66"/>
    <w:rsid w:val="001644C8"/>
    <w:rsid w:val="001644E3"/>
    <w:rsid w:val="00164B18"/>
    <w:rsid w:val="00164D8D"/>
    <w:rsid w:val="00165026"/>
    <w:rsid w:val="00165854"/>
    <w:rsid w:val="00165860"/>
    <w:rsid w:val="0016586F"/>
    <w:rsid w:val="00166207"/>
    <w:rsid w:val="0016627A"/>
    <w:rsid w:val="0016660F"/>
    <w:rsid w:val="00166891"/>
    <w:rsid w:val="001670A1"/>
    <w:rsid w:val="00170018"/>
    <w:rsid w:val="001706FE"/>
    <w:rsid w:val="00170C99"/>
    <w:rsid w:val="00170DE3"/>
    <w:rsid w:val="0017143B"/>
    <w:rsid w:val="0017192F"/>
    <w:rsid w:val="001721B2"/>
    <w:rsid w:val="00172283"/>
    <w:rsid w:val="00172B59"/>
    <w:rsid w:val="00173068"/>
    <w:rsid w:val="001732C5"/>
    <w:rsid w:val="00173BA4"/>
    <w:rsid w:val="00174507"/>
    <w:rsid w:val="0017451F"/>
    <w:rsid w:val="00174B9E"/>
    <w:rsid w:val="0017576F"/>
    <w:rsid w:val="00175A68"/>
    <w:rsid w:val="00175D5D"/>
    <w:rsid w:val="00176040"/>
    <w:rsid w:val="00176128"/>
    <w:rsid w:val="001763D5"/>
    <w:rsid w:val="0017740A"/>
    <w:rsid w:val="00177AF9"/>
    <w:rsid w:val="00177B95"/>
    <w:rsid w:val="00177E49"/>
    <w:rsid w:val="001803BF"/>
    <w:rsid w:val="00180786"/>
    <w:rsid w:val="00180885"/>
    <w:rsid w:val="00180D40"/>
    <w:rsid w:val="00180D41"/>
    <w:rsid w:val="00181852"/>
    <w:rsid w:val="00181D06"/>
    <w:rsid w:val="00181D49"/>
    <w:rsid w:val="00181FD0"/>
    <w:rsid w:val="001825C5"/>
    <w:rsid w:val="00182D13"/>
    <w:rsid w:val="00182F18"/>
    <w:rsid w:val="00183267"/>
    <w:rsid w:val="0018366F"/>
    <w:rsid w:val="00184146"/>
    <w:rsid w:val="0018433D"/>
    <w:rsid w:val="00184F40"/>
    <w:rsid w:val="00184F47"/>
    <w:rsid w:val="001859FF"/>
    <w:rsid w:val="00185D4E"/>
    <w:rsid w:val="00185D85"/>
    <w:rsid w:val="0018654F"/>
    <w:rsid w:val="00186C87"/>
    <w:rsid w:val="00186D01"/>
    <w:rsid w:val="00187030"/>
    <w:rsid w:val="00187773"/>
    <w:rsid w:val="00187ED7"/>
    <w:rsid w:val="00190050"/>
    <w:rsid w:val="001902C7"/>
    <w:rsid w:val="0019041B"/>
    <w:rsid w:val="001914BB"/>
    <w:rsid w:val="00191C23"/>
    <w:rsid w:val="001923C7"/>
    <w:rsid w:val="00192491"/>
    <w:rsid w:val="001926A6"/>
    <w:rsid w:val="00192822"/>
    <w:rsid w:val="00192E6C"/>
    <w:rsid w:val="00192FE0"/>
    <w:rsid w:val="001931BC"/>
    <w:rsid w:val="001931F2"/>
    <w:rsid w:val="00193223"/>
    <w:rsid w:val="001934CD"/>
    <w:rsid w:val="00194130"/>
    <w:rsid w:val="0019440F"/>
    <w:rsid w:val="0019476E"/>
    <w:rsid w:val="00194AC4"/>
    <w:rsid w:val="00195060"/>
    <w:rsid w:val="0019530D"/>
    <w:rsid w:val="00195455"/>
    <w:rsid w:val="001954E2"/>
    <w:rsid w:val="001954EA"/>
    <w:rsid w:val="00195632"/>
    <w:rsid w:val="00195A81"/>
    <w:rsid w:val="00195D41"/>
    <w:rsid w:val="00195D6E"/>
    <w:rsid w:val="00196373"/>
    <w:rsid w:val="0019676B"/>
    <w:rsid w:val="00196930"/>
    <w:rsid w:val="00196CA9"/>
    <w:rsid w:val="001976BA"/>
    <w:rsid w:val="00197A07"/>
    <w:rsid w:val="001A0283"/>
    <w:rsid w:val="001A0620"/>
    <w:rsid w:val="001A0734"/>
    <w:rsid w:val="001A0931"/>
    <w:rsid w:val="001A094A"/>
    <w:rsid w:val="001A0ED2"/>
    <w:rsid w:val="001A1368"/>
    <w:rsid w:val="001A1447"/>
    <w:rsid w:val="001A159D"/>
    <w:rsid w:val="001A1ABB"/>
    <w:rsid w:val="001A23E2"/>
    <w:rsid w:val="001A248A"/>
    <w:rsid w:val="001A2C9C"/>
    <w:rsid w:val="001A317F"/>
    <w:rsid w:val="001A3519"/>
    <w:rsid w:val="001A3723"/>
    <w:rsid w:val="001A37F5"/>
    <w:rsid w:val="001A3A72"/>
    <w:rsid w:val="001A3D3C"/>
    <w:rsid w:val="001A43E6"/>
    <w:rsid w:val="001A46B1"/>
    <w:rsid w:val="001A4736"/>
    <w:rsid w:val="001A4A35"/>
    <w:rsid w:val="001A5037"/>
    <w:rsid w:val="001A522E"/>
    <w:rsid w:val="001A5F5B"/>
    <w:rsid w:val="001A612E"/>
    <w:rsid w:val="001A6186"/>
    <w:rsid w:val="001A666E"/>
    <w:rsid w:val="001A68A9"/>
    <w:rsid w:val="001A6B1A"/>
    <w:rsid w:val="001A72D8"/>
    <w:rsid w:val="001A75BD"/>
    <w:rsid w:val="001A7A2B"/>
    <w:rsid w:val="001A7CDE"/>
    <w:rsid w:val="001B0121"/>
    <w:rsid w:val="001B07DF"/>
    <w:rsid w:val="001B1111"/>
    <w:rsid w:val="001B1ABF"/>
    <w:rsid w:val="001B262B"/>
    <w:rsid w:val="001B2851"/>
    <w:rsid w:val="001B29A6"/>
    <w:rsid w:val="001B2C21"/>
    <w:rsid w:val="001B3843"/>
    <w:rsid w:val="001B3E14"/>
    <w:rsid w:val="001B3F5E"/>
    <w:rsid w:val="001B3F62"/>
    <w:rsid w:val="001B3FDD"/>
    <w:rsid w:val="001B404B"/>
    <w:rsid w:val="001B41FC"/>
    <w:rsid w:val="001B44A5"/>
    <w:rsid w:val="001B4CDF"/>
    <w:rsid w:val="001B4D6D"/>
    <w:rsid w:val="001B5413"/>
    <w:rsid w:val="001B56AB"/>
    <w:rsid w:val="001B5A9F"/>
    <w:rsid w:val="001B5F7B"/>
    <w:rsid w:val="001B6642"/>
    <w:rsid w:val="001B79CA"/>
    <w:rsid w:val="001C02AF"/>
    <w:rsid w:val="001C05D7"/>
    <w:rsid w:val="001C08BA"/>
    <w:rsid w:val="001C0A84"/>
    <w:rsid w:val="001C0D9A"/>
    <w:rsid w:val="001C124E"/>
    <w:rsid w:val="001C12AE"/>
    <w:rsid w:val="001C142B"/>
    <w:rsid w:val="001C15A8"/>
    <w:rsid w:val="001C1CAC"/>
    <w:rsid w:val="001C2439"/>
    <w:rsid w:val="001C2867"/>
    <w:rsid w:val="001C2C1A"/>
    <w:rsid w:val="001C30AA"/>
    <w:rsid w:val="001C3738"/>
    <w:rsid w:val="001C3898"/>
    <w:rsid w:val="001C39E2"/>
    <w:rsid w:val="001C3BFB"/>
    <w:rsid w:val="001C4020"/>
    <w:rsid w:val="001C43F2"/>
    <w:rsid w:val="001C45F7"/>
    <w:rsid w:val="001C467E"/>
    <w:rsid w:val="001C47B2"/>
    <w:rsid w:val="001C51AB"/>
    <w:rsid w:val="001C5262"/>
    <w:rsid w:val="001C52E0"/>
    <w:rsid w:val="001C54B3"/>
    <w:rsid w:val="001C57B0"/>
    <w:rsid w:val="001C5952"/>
    <w:rsid w:val="001C5AF6"/>
    <w:rsid w:val="001C5D3E"/>
    <w:rsid w:val="001C635F"/>
    <w:rsid w:val="001C6561"/>
    <w:rsid w:val="001C65A5"/>
    <w:rsid w:val="001C65FE"/>
    <w:rsid w:val="001C687F"/>
    <w:rsid w:val="001C696A"/>
    <w:rsid w:val="001C6D73"/>
    <w:rsid w:val="001C6F68"/>
    <w:rsid w:val="001C7482"/>
    <w:rsid w:val="001C75F5"/>
    <w:rsid w:val="001C7979"/>
    <w:rsid w:val="001C7D7D"/>
    <w:rsid w:val="001C7DE4"/>
    <w:rsid w:val="001D02A3"/>
    <w:rsid w:val="001D0384"/>
    <w:rsid w:val="001D0514"/>
    <w:rsid w:val="001D0BBD"/>
    <w:rsid w:val="001D0D4B"/>
    <w:rsid w:val="001D110A"/>
    <w:rsid w:val="001D120D"/>
    <w:rsid w:val="001D1599"/>
    <w:rsid w:val="001D1608"/>
    <w:rsid w:val="001D1A37"/>
    <w:rsid w:val="001D1C73"/>
    <w:rsid w:val="001D1FB3"/>
    <w:rsid w:val="001D2383"/>
    <w:rsid w:val="001D2767"/>
    <w:rsid w:val="001D3107"/>
    <w:rsid w:val="001D31F6"/>
    <w:rsid w:val="001D34A9"/>
    <w:rsid w:val="001D3D20"/>
    <w:rsid w:val="001D4368"/>
    <w:rsid w:val="001D4B0D"/>
    <w:rsid w:val="001D4FA9"/>
    <w:rsid w:val="001D5596"/>
    <w:rsid w:val="001D55BF"/>
    <w:rsid w:val="001D5DDC"/>
    <w:rsid w:val="001D6265"/>
    <w:rsid w:val="001D672D"/>
    <w:rsid w:val="001D6852"/>
    <w:rsid w:val="001D6B52"/>
    <w:rsid w:val="001D6E47"/>
    <w:rsid w:val="001D7BC9"/>
    <w:rsid w:val="001D7CB2"/>
    <w:rsid w:val="001E031D"/>
    <w:rsid w:val="001E057E"/>
    <w:rsid w:val="001E09F7"/>
    <w:rsid w:val="001E0C05"/>
    <w:rsid w:val="001E0D19"/>
    <w:rsid w:val="001E0DC2"/>
    <w:rsid w:val="001E0E3D"/>
    <w:rsid w:val="001E1089"/>
    <w:rsid w:val="001E119F"/>
    <w:rsid w:val="001E11A3"/>
    <w:rsid w:val="001E14BD"/>
    <w:rsid w:val="001E17C1"/>
    <w:rsid w:val="001E1D14"/>
    <w:rsid w:val="001E1E0B"/>
    <w:rsid w:val="001E2033"/>
    <w:rsid w:val="001E22EA"/>
    <w:rsid w:val="001E2F59"/>
    <w:rsid w:val="001E2F70"/>
    <w:rsid w:val="001E3942"/>
    <w:rsid w:val="001E39AE"/>
    <w:rsid w:val="001E3C46"/>
    <w:rsid w:val="001E3D97"/>
    <w:rsid w:val="001E41A2"/>
    <w:rsid w:val="001E41AF"/>
    <w:rsid w:val="001E46FA"/>
    <w:rsid w:val="001E4967"/>
    <w:rsid w:val="001E4A8D"/>
    <w:rsid w:val="001E4C6D"/>
    <w:rsid w:val="001E51B8"/>
    <w:rsid w:val="001E522D"/>
    <w:rsid w:val="001E5A6E"/>
    <w:rsid w:val="001E5D69"/>
    <w:rsid w:val="001E6F65"/>
    <w:rsid w:val="001E7145"/>
    <w:rsid w:val="001E7B7B"/>
    <w:rsid w:val="001E7C50"/>
    <w:rsid w:val="001F0170"/>
    <w:rsid w:val="001F0174"/>
    <w:rsid w:val="001F0B4D"/>
    <w:rsid w:val="001F0E7A"/>
    <w:rsid w:val="001F1045"/>
    <w:rsid w:val="001F10D8"/>
    <w:rsid w:val="001F1541"/>
    <w:rsid w:val="001F189B"/>
    <w:rsid w:val="001F1BB9"/>
    <w:rsid w:val="001F2505"/>
    <w:rsid w:val="001F33E4"/>
    <w:rsid w:val="001F3609"/>
    <w:rsid w:val="001F3687"/>
    <w:rsid w:val="001F3F4A"/>
    <w:rsid w:val="001F4E93"/>
    <w:rsid w:val="001F5512"/>
    <w:rsid w:val="001F558D"/>
    <w:rsid w:val="001F57DD"/>
    <w:rsid w:val="001F5891"/>
    <w:rsid w:val="001F5ACA"/>
    <w:rsid w:val="001F61FF"/>
    <w:rsid w:val="001F64CD"/>
    <w:rsid w:val="001F6A4B"/>
    <w:rsid w:val="001F6A89"/>
    <w:rsid w:val="001F6E3F"/>
    <w:rsid w:val="001F77EF"/>
    <w:rsid w:val="001F7B61"/>
    <w:rsid w:val="001F7D9E"/>
    <w:rsid w:val="001F7E11"/>
    <w:rsid w:val="00200021"/>
    <w:rsid w:val="002004F7"/>
    <w:rsid w:val="002006AF"/>
    <w:rsid w:val="00200E57"/>
    <w:rsid w:val="00200E66"/>
    <w:rsid w:val="0020119C"/>
    <w:rsid w:val="002013DE"/>
    <w:rsid w:val="002016B4"/>
    <w:rsid w:val="00201CA7"/>
    <w:rsid w:val="00202157"/>
    <w:rsid w:val="00202282"/>
    <w:rsid w:val="002023BD"/>
    <w:rsid w:val="00203826"/>
    <w:rsid w:val="00203F79"/>
    <w:rsid w:val="0020482A"/>
    <w:rsid w:val="00204E81"/>
    <w:rsid w:val="0020504B"/>
    <w:rsid w:val="00205248"/>
    <w:rsid w:val="002060A1"/>
    <w:rsid w:val="002060DE"/>
    <w:rsid w:val="002063D1"/>
    <w:rsid w:val="00206BEB"/>
    <w:rsid w:val="00206E8F"/>
    <w:rsid w:val="00206E92"/>
    <w:rsid w:val="00210001"/>
    <w:rsid w:val="002100A1"/>
    <w:rsid w:val="00210101"/>
    <w:rsid w:val="00210304"/>
    <w:rsid w:val="00210627"/>
    <w:rsid w:val="00210A0A"/>
    <w:rsid w:val="0021112E"/>
    <w:rsid w:val="00212373"/>
    <w:rsid w:val="002129E9"/>
    <w:rsid w:val="00212AC1"/>
    <w:rsid w:val="002131BC"/>
    <w:rsid w:val="00213925"/>
    <w:rsid w:val="002146DE"/>
    <w:rsid w:val="00214850"/>
    <w:rsid w:val="00214D7F"/>
    <w:rsid w:val="002152AA"/>
    <w:rsid w:val="00215444"/>
    <w:rsid w:val="00215450"/>
    <w:rsid w:val="0021550D"/>
    <w:rsid w:val="00215516"/>
    <w:rsid w:val="00215B32"/>
    <w:rsid w:val="00215E8C"/>
    <w:rsid w:val="00215ED2"/>
    <w:rsid w:val="00216799"/>
    <w:rsid w:val="00216B15"/>
    <w:rsid w:val="00216EBB"/>
    <w:rsid w:val="002171A7"/>
    <w:rsid w:val="0021741E"/>
    <w:rsid w:val="002174BB"/>
    <w:rsid w:val="00217703"/>
    <w:rsid w:val="0021785F"/>
    <w:rsid w:val="00217AAF"/>
    <w:rsid w:val="002200FA"/>
    <w:rsid w:val="002201CA"/>
    <w:rsid w:val="002217F6"/>
    <w:rsid w:val="00221837"/>
    <w:rsid w:val="00221EFA"/>
    <w:rsid w:val="00222E30"/>
    <w:rsid w:val="00222F16"/>
    <w:rsid w:val="002230AD"/>
    <w:rsid w:val="00223800"/>
    <w:rsid w:val="00223A59"/>
    <w:rsid w:val="002246D6"/>
    <w:rsid w:val="0022474C"/>
    <w:rsid w:val="00224911"/>
    <w:rsid w:val="00224FC7"/>
    <w:rsid w:val="00225002"/>
    <w:rsid w:val="0022535F"/>
    <w:rsid w:val="0022551D"/>
    <w:rsid w:val="00225570"/>
    <w:rsid w:val="00225EAA"/>
    <w:rsid w:val="002261F4"/>
    <w:rsid w:val="0022620E"/>
    <w:rsid w:val="00226B4C"/>
    <w:rsid w:val="00226C29"/>
    <w:rsid w:val="00226E65"/>
    <w:rsid w:val="00226F0F"/>
    <w:rsid w:val="0022726F"/>
    <w:rsid w:val="002274CC"/>
    <w:rsid w:val="00227548"/>
    <w:rsid w:val="00227804"/>
    <w:rsid w:val="00227888"/>
    <w:rsid w:val="002278E2"/>
    <w:rsid w:val="002302FB"/>
    <w:rsid w:val="002303B1"/>
    <w:rsid w:val="00230674"/>
    <w:rsid w:val="002309E9"/>
    <w:rsid w:val="00230FD3"/>
    <w:rsid w:val="00231082"/>
    <w:rsid w:val="00231114"/>
    <w:rsid w:val="002312DA"/>
    <w:rsid w:val="00231834"/>
    <w:rsid w:val="00231EB2"/>
    <w:rsid w:val="00232450"/>
    <w:rsid w:val="00232509"/>
    <w:rsid w:val="0023263C"/>
    <w:rsid w:val="00232B1B"/>
    <w:rsid w:val="0023373D"/>
    <w:rsid w:val="002355B5"/>
    <w:rsid w:val="002356C1"/>
    <w:rsid w:val="00235791"/>
    <w:rsid w:val="00235AB5"/>
    <w:rsid w:val="00235FF2"/>
    <w:rsid w:val="002364DD"/>
    <w:rsid w:val="00236BCC"/>
    <w:rsid w:val="00236BED"/>
    <w:rsid w:val="0023736F"/>
    <w:rsid w:val="002375D1"/>
    <w:rsid w:val="00240544"/>
    <w:rsid w:val="00240548"/>
    <w:rsid w:val="0024059D"/>
    <w:rsid w:val="00241514"/>
    <w:rsid w:val="00242EF6"/>
    <w:rsid w:val="00243791"/>
    <w:rsid w:val="00243CA0"/>
    <w:rsid w:val="00243DA4"/>
    <w:rsid w:val="00244223"/>
    <w:rsid w:val="00244391"/>
    <w:rsid w:val="002446F6"/>
    <w:rsid w:val="00244775"/>
    <w:rsid w:val="00244AD9"/>
    <w:rsid w:val="00244C12"/>
    <w:rsid w:val="00244D10"/>
    <w:rsid w:val="002451BB"/>
    <w:rsid w:val="002452E1"/>
    <w:rsid w:val="00245358"/>
    <w:rsid w:val="002454DA"/>
    <w:rsid w:val="0024599D"/>
    <w:rsid w:val="00245C66"/>
    <w:rsid w:val="00246485"/>
    <w:rsid w:val="002468F6"/>
    <w:rsid w:val="00246962"/>
    <w:rsid w:val="002471A5"/>
    <w:rsid w:val="002475F2"/>
    <w:rsid w:val="00247FCF"/>
    <w:rsid w:val="00250134"/>
    <w:rsid w:val="00250773"/>
    <w:rsid w:val="002509D8"/>
    <w:rsid w:val="00250A0D"/>
    <w:rsid w:val="00250A9E"/>
    <w:rsid w:val="002512DD"/>
    <w:rsid w:val="0025175B"/>
    <w:rsid w:val="002520DC"/>
    <w:rsid w:val="002522AA"/>
    <w:rsid w:val="00253228"/>
    <w:rsid w:val="002534B9"/>
    <w:rsid w:val="00253D8D"/>
    <w:rsid w:val="00253E36"/>
    <w:rsid w:val="00253FFB"/>
    <w:rsid w:val="002547AC"/>
    <w:rsid w:val="002547C2"/>
    <w:rsid w:val="00254A0F"/>
    <w:rsid w:val="00254B14"/>
    <w:rsid w:val="00254BEF"/>
    <w:rsid w:val="002554B4"/>
    <w:rsid w:val="00255817"/>
    <w:rsid w:val="002560A3"/>
    <w:rsid w:val="0025650F"/>
    <w:rsid w:val="00256FA6"/>
    <w:rsid w:val="002572FC"/>
    <w:rsid w:val="002573B1"/>
    <w:rsid w:val="00257746"/>
    <w:rsid w:val="00257793"/>
    <w:rsid w:val="00257825"/>
    <w:rsid w:val="00257A21"/>
    <w:rsid w:val="00257E18"/>
    <w:rsid w:val="00260216"/>
    <w:rsid w:val="0026055F"/>
    <w:rsid w:val="00260566"/>
    <w:rsid w:val="00260625"/>
    <w:rsid w:val="00260BB4"/>
    <w:rsid w:val="00260C67"/>
    <w:rsid w:val="0026124B"/>
    <w:rsid w:val="00261793"/>
    <w:rsid w:val="0026194C"/>
    <w:rsid w:val="00261A6D"/>
    <w:rsid w:val="002623D2"/>
    <w:rsid w:val="00262727"/>
    <w:rsid w:val="00262A30"/>
    <w:rsid w:val="00262C0E"/>
    <w:rsid w:val="00262E91"/>
    <w:rsid w:val="00262F0B"/>
    <w:rsid w:val="00263185"/>
    <w:rsid w:val="0026324F"/>
    <w:rsid w:val="00263B3E"/>
    <w:rsid w:val="00263EAF"/>
    <w:rsid w:val="00264623"/>
    <w:rsid w:val="00264B96"/>
    <w:rsid w:val="0026537B"/>
    <w:rsid w:val="002656EB"/>
    <w:rsid w:val="00265E63"/>
    <w:rsid w:val="00265FCC"/>
    <w:rsid w:val="0026688B"/>
    <w:rsid w:val="00266A64"/>
    <w:rsid w:val="00267166"/>
    <w:rsid w:val="002676D6"/>
    <w:rsid w:val="002677FF"/>
    <w:rsid w:val="00267B71"/>
    <w:rsid w:val="00267DC4"/>
    <w:rsid w:val="00267DF4"/>
    <w:rsid w:val="00267DF9"/>
    <w:rsid w:val="00267F2C"/>
    <w:rsid w:val="002700A0"/>
    <w:rsid w:val="00270217"/>
    <w:rsid w:val="0027040A"/>
    <w:rsid w:val="002704DE"/>
    <w:rsid w:val="00270C22"/>
    <w:rsid w:val="00270EF8"/>
    <w:rsid w:val="00271063"/>
    <w:rsid w:val="002718BC"/>
    <w:rsid w:val="00271A6B"/>
    <w:rsid w:val="00272075"/>
    <w:rsid w:val="002726B5"/>
    <w:rsid w:val="00272B19"/>
    <w:rsid w:val="002732CA"/>
    <w:rsid w:val="00273C7C"/>
    <w:rsid w:val="00273E5C"/>
    <w:rsid w:val="00273E8E"/>
    <w:rsid w:val="00274221"/>
    <w:rsid w:val="00274CA0"/>
    <w:rsid w:val="00274EA2"/>
    <w:rsid w:val="00275A4D"/>
    <w:rsid w:val="002763C6"/>
    <w:rsid w:val="002764BC"/>
    <w:rsid w:val="00276F80"/>
    <w:rsid w:val="002772F1"/>
    <w:rsid w:val="0027791F"/>
    <w:rsid w:val="00280115"/>
    <w:rsid w:val="00280760"/>
    <w:rsid w:val="00280DA3"/>
    <w:rsid w:val="00280DD3"/>
    <w:rsid w:val="00280E06"/>
    <w:rsid w:val="0028141D"/>
    <w:rsid w:val="00281797"/>
    <w:rsid w:val="00281E31"/>
    <w:rsid w:val="00282502"/>
    <w:rsid w:val="0028277F"/>
    <w:rsid w:val="002831F0"/>
    <w:rsid w:val="00283361"/>
    <w:rsid w:val="0028340F"/>
    <w:rsid w:val="002837AC"/>
    <w:rsid w:val="00283A18"/>
    <w:rsid w:val="0028423B"/>
    <w:rsid w:val="002847B8"/>
    <w:rsid w:val="00285610"/>
    <w:rsid w:val="002856F5"/>
    <w:rsid w:val="00285B91"/>
    <w:rsid w:val="002860D5"/>
    <w:rsid w:val="0028660E"/>
    <w:rsid w:val="002868F5"/>
    <w:rsid w:val="00287235"/>
    <w:rsid w:val="002879AF"/>
    <w:rsid w:val="0029003F"/>
    <w:rsid w:val="0029086D"/>
    <w:rsid w:val="00290955"/>
    <w:rsid w:val="00290DE5"/>
    <w:rsid w:val="00291157"/>
    <w:rsid w:val="00291575"/>
    <w:rsid w:val="00291609"/>
    <w:rsid w:val="0029169C"/>
    <w:rsid w:val="002918E9"/>
    <w:rsid w:val="0029229F"/>
    <w:rsid w:val="00292542"/>
    <w:rsid w:val="00292C2E"/>
    <w:rsid w:val="00292D2F"/>
    <w:rsid w:val="00292F03"/>
    <w:rsid w:val="00293DBA"/>
    <w:rsid w:val="00293ED0"/>
    <w:rsid w:val="0029487A"/>
    <w:rsid w:val="002948B5"/>
    <w:rsid w:val="00295037"/>
    <w:rsid w:val="00295767"/>
    <w:rsid w:val="00295F2F"/>
    <w:rsid w:val="00295FDB"/>
    <w:rsid w:val="0029651A"/>
    <w:rsid w:val="002969C8"/>
    <w:rsid w:val="00296D71"/>
    <w:rsid w:val="002973A8"/>
    <w:rsid w:val="0029750C"/>
    <w:rsid w:val="002975C5"/>
    <w:rsid w:val="0029775C"/>
    <w:rsid w:val="00297B47"/>
    <w:rsid w:val="00297BFD"/>
    <w:rsid w:val="00297D86"/>
    <w:rsid w:val="00297DC6"/>
    <w:rsid w:val="002A03F4"/>
    <w:rsid w:val="002A07DB"/>
    <w:rsid w:val="002A07FD"/>
    <w:rsid w:val="002A14B8"/>
    <w:rsid w:val="002A1680"/>
    <w:rsid w:val="002A1A2C"/>
    <w:rsid w:val="002A1A42"/>
    <w:rsid w:val="002A1B1D"/>
    <w:rsid w:val="002A1F9C"/>
    <w:rsid w:val="002A3065"/>
    <w:rsid w:val="002A356F"/>
    <w:rsid w:val="002A35BE"/>
    <w:rsid w:val="002A3707"/>
    <w:rsid w:val="002A3938"/>
    <w:rsid w:val="002A3BDF"/>
    <w:rsid w:val="002A3C67"/>
    <w:rsid w:val="002A3DB7"/>
    <w:rsid w:val="002A3E14"/>
    <w:rsid w:val="002A3E8E"/>
    <w:rsid w:val="002A3E90"/>
    <w:rsid w:val="002A3EBA"/>
    <w:rsid w:val="002A3EDD"/>
    <w:rsid w:val="002A442A"/>
    <w:rsid w:val="002A4C92"/>
    <w:rsid w:val="002A536C"/>
    <w:rsid w:val="002A5A8D"/>
    <w:rsid w:val="002A6240"/>
    <w:rsid w:val="002A642A"/>
    <w:rsid w:val="002A694E"/>
    <w:rsid w:val="002B01E9"/>
    <w:rsid w:val="002B02FE"/>
    <w:rsid w:val="002B0975"/>
    <w:rsid w:val="002B0FEE"/>
    <w:rsid w:val="002B11AC"/>
    <w:rsid w:val="002B13B3"/>
    <w:rsid w:val="002B1681"/>
    <w:rsid w:val="002B1C79"/>
    <w:rsid w:val="002B1DEB"/>
    <w:rsid w:val="002B24C4"/>
    <w:rsid w:val="002B2EEF"/>
    <w:rsid w:val="002B3200"/>
    <w:rsid w:val="002B3311"/>
    <w:rsid w:val="002B332A"/>
    <w:rsid w:val="002B337F"/>
    <w:rsid w:val="002B3B7B"/>
    <w:rsid w:val="002B4047"/>
    <w:rsid w:val="002B427C"/>
    <w:rsid w:val="002B5770"/>
    <w:rsid w:val="002B6888"/>
    <w:rsid w:val="002B6C17"/>
    <w:rsid w:val="002B730B"/>
    <w:rsid w:val="002B737C"/>
    <w:rsid w:val="002B7816"/>
    <w:rsid w:val="002B7B08"/>
    <w:rsid w:val="002B7EAA"/>
    <w:rsid w:val="002C0560"/>
    <w:rsid w:val="002C08BC"/>
    <w:rsid w:val="002C0D77"/>
    <w:rsid w:val="002C0E2E"/>
    <w:rsid w:val="002C0E34"/>
    <w:rsid w:val="002C136A"/>
    <w:rsid w:val="002C159F"/>
    <w:rsid w:val="002C1748"/>
    <w:rsid w:val="002C1A28"/>
    <w:rsid w:val="002C1D74"/>
    <w:rsid w:val="002C264D"/>
    <w:rsid w:val="002C2AC4"/>
    <w:rsid w:val="002C2BB0"/>
    <w:rsid w:val="002C2CAD"/>
    <w:rsid w:val="002C31A6"/>
    <w:rsid w:val="002C3998"/>
    <w:rsid w:val="002C3AD3"/>
    <w:rsid w:val="002C3CE4"/>
    <w:rsid w:val="002C4240"/>
    <w:rsid w:val="002C45F7"/>
    <w:rsid w:val="002C4827"/>
    <w:rsid w:val="002C5BF1"/>
    <w:rsid w:val="002C6AB9"/>
    <w:rsid w:val="002C77D2"/>
    <w:rsid w:val="002D034A"/>
    <w:rsid w:val="002D093A"/>
    <w:rsid w:val="002D0F6D"/>
    <w:rsid w:val="002D113C"/>
    <w:rsid w:val="002D1157"/>
    <w:rsid w:val="002D168F"/>
    <w:rsid w:val="002D1955"/>
    <w:rsid w:val="002D1E70"/>
    <w:rsid w:val="002D1F6E"/>
    <w:rsid w:val="002D2539"/>
    <w:rsid w:val="002D290E"/>
    <w:rsid w:val="002D35B7"/>
    <w:rsid w:val="002D363C"/>
    <w:rsid w:val="002D3A8E"/>
    <w:rsid w:val="002D3B93"/>
    <w:rsid w:val="002D3BA9"/>
    <w:rsid w:val="002D49E4"/>
    <w:rsid w:val="002D4E06"/>
    <w:rsid w:val="002D54D7"/>
    <w:rsid w:val="002D5D1F"/>
    <w:rsid w:val="002D5F67"/>
    <w:rsid w:val="002D6210"/>
    <w:rsid w:val="002D641D"/>
    <w:rsid w:val="002D6EBF"/>
    <w:rsid w:val="002D791C"/>
    <w:rsid w:val="002E00B9"/>
    <w:rsid w:val="002E0313"/>
    <w:rsid w:val="002E062B"/>
    <w:rsid w:val="002E0995"/>
    <w:rsid w:val="002E0B1F"/>
    <w:rsid w:val="002E0ED2"/>
    <w:rsid w:val="002E0FA4"/>
    <w:rsid w:val="002E1802"/>
    <w:rsid w:val="002E2118"/>
    <w:rsid w:val="002E2273"/>
    <w:rsid w:val="002E2D1C"/>
    <w:rsid w:val="002E2DA0"/>
    <w:rsid w:val="002E328A"/>
    <w:rsid w:val="002E352B"/>
    <w:rsid w:val="002E3A2E"/>
    <w:rsid w:val="002E3DB2"/>
    <w:rsid w:val="002E3E92"/>
    <w:rsid w:val="002E48C1"/>
    <w:rsid w:val="002E48E2"/>
    <w:rsid w:val="002E50AC"/>
    <w:rsid w:val="002E539A"/>
    <w:rsid w:val="002E54BD"/>
    <w:rsid w:val="002E5D1D"/>
    <w:rsid w:val="002E5EA5"/>
    <w:rsid w:val="002E602D"/>
    <w:rsid w:val="002E638C"/>
    <w:rsid w:val="002E675B"/>
    <w:rsid w:val="002E67A0"/>
    <w:rsid w:val="002E6B38"/>
    <w:rsid w:val="002E7500"/>
    <w:rsid w:val="002E772E"/>
    <w:rsid w:val="002E7B5E"/>
    <w:rsid w:val="002F10B7"/>
    <w:rsid w:val="002F11D3"/>
    <w:rsid w:val="002F17DB"/>
    <w:rsid w:val="002F1E9F"/>
    <w:rsid w:val="002F2112"/>
    <w:rsid w:val="002F251A"/>
    <w:rsid w:val="002F2533"/>
    <w:rsid w:val="002F2593"/>
    <w:rsid w:val="002F28D9"/>
    <w:rsid w:val="002F29E9"/>
    <w:rsid w:val="002F2D98"/>
    <w:rsid w:val="002F2DB9"/>
    <w:rsid w:val="002F2ECC"/>
    <w:rsid w:val="002F2F59"/>
    <w:rsid w:val="002F3362"/>
    <w:rsid w:val="002F350D"/>
    <w:rsid w:val="002F367B"/>
    <w:rsid w:val="002F3794"/>
    <w:rsid w:val="002F3BF4"/>
    <w:rsid w:val="002F43C9"/>
    <w:rsid w:val="002F45E3"/>
    <w:rsid w:val="002F4623"/>
    <w:rsid w:val="002F47FB"/>
    <w:rsid w:val="002F4EEF"/>
    <w:rsid w:val="002F5316"/>
    <w:rsid w:val="002F5493"/>
    <w:rsid w:val="002F5641"/>
    <w:rsid w:val="002F5984"/>
    <w:rsid w:val="002F5A7C"/>
    <w:rsid w:val="002F5E91"/>
    <w:rsid w:val="002F6745"/>
    <w:rsid w:val="002F722F"/>
    <w:rsid w:val="002F754C"/>
    <w:rsid w:val="002F7F6D"/>
    <w:rsid w:val="00300282"/>
    <w:rsid w:val="0030075C"/>
    <w:rsid w:val="003009B6"/>
    <w:rsid w:val="00300CB5"/>
    <w:rsid w:val="00300E41"/>
    <w:rsid w:val="00301958"/>
    <w:rsid w:val="00302B5A"/>
    <w:rsid w:val="00303399"/>
    <w:rsid w:val="00303472"/>
    <w:rsid w:val="00303BE0"/>
    <w:rsid w:val="00303E79"/>
    <w:rsid w:val="00303FAE"/>
    <w:rsid w:val="003048A2"/>
    <w:rsid w:val="00304BC2"/>
    <w:rsid w:val="00304D85"/>
    <w:rsid w:val="00304EC4"/>
    <w:rsid w:val="003051E0"/>
    <w:rsid w:val="00305452"/>
    <w:rsid w:val="00305E15"/>
    <w:rsid w:val="00305F8B"/>
    <w:rsid w:val="00306B2F"/>
    <w:rsid w:val="003070EB"/>
    <w:rsid w:val="0031056D"/>
    <w:rsid w:val="0031059C"/>
    <w:rsid w:val="00310C00"/>
    <w:rsid w:val="00310CA9"/>
    <w:rsid w:val="00310D07"/>
    <w:rsid w:val="0031185B"/>
    <w:rsid w:val="00311907"/>
    <w:rsid w:val="00311AEE"/>
    <w:rsid w:val="00311C01"/>
    <w:rsid w:val="00311C7B"/>
    <w:rsid w:val="00311D42"/>
    <w:rsid w:val="00311F43"/>
    <w:rsid w:val="00312D12"/>
    <w:rsid w:val="00313293"/>
    <w:rsid w:val="00313997"/>
    <w:rsid w:val="00313D42"/>
    <w:rsid w:val="00314107"/>
    <w:rsid w:val="003145B2"/>
    <w:rsid w:val="0031499A"/>
    <w:rsid w:val="0031502D"/>
    <w:rsid w:val="003161F6"/>
    <w:rsid w:val="0031629D"/>
    <w:rsid w:val="0031631F"/>
    <w:rsid w:val="0031723B"/>
    <w:rsid w:val="003173AE"/>
    <w:rsid w:val="00317430"/>
    <w:rsid w:val="003174D0"/>
    <w:rsid w:val="003179A2"/>
    <w:rsid w:val="0032010F"/>
    <w:rsid w:val="00320165"/>
    <w:rsid w:val="00320CE8"/>
    <w:rsid w:val="00321673"/>
    <w:rsid w:val="00321C01"/>
    <w:rsid w:val="003222E9"/>
    <w:rsid w:val="003224AB"/>
    <w:rsid w:val="003228E9"/>
    <w:rsid w:val="0032299B"/>
    <w:rsid w:val="00322A4B"/>
    <w:rsid w:val="003231A6"/>
    <w:rsid w:val="00323EE1"/>
    <w:rsid w:val="00324149"/>
    <w:rsid w:val="00324ACF"/>
    <w:rsid w:val="00324BC4"/>
    <w:rsid w:val="00324CD3"/>
    <w:rsid w:val="00325073"/>
    <w:rsid w:val="00325390"/>
    <w:rsid w:val="0032553E"/>
    <w:rsid w:val="00325589"/>
    <w:rsid w:val="0032563E"/>
    <w:rsid w:val="003256FE"/>
    <w:rsid w:val="00325F0B"/>
    <w:rsid w:val="00325F45"/>
    <w:rsid w:val="00326951"/>
    <w:rsid w:val="003269AA"/>
    <w:rsid w:val="003269EC"/>
    <w:rsid w:val="00326F12"/>
    <w:rsid w:val="0032755A"/>
    <w:rsid w:val="0032787E"/>
    <w:rsid w:val="00330CA1"/>
    <w:rsid w:val="00331BE6"/>
    <w:rsid w:val="003322E5"/>
    <w:rsid w:val="00332534"/>
    <w:rsid w:val="0033290F"/>
    <w:rsid w:val="00332B77"/>
    <w:rsid w:val="003332E0"/>
    <w:rsid w:val="00333B79"/>
    <w:rsid w:val="00334421"/>
    <w:rsid w:val="00334721"/>
    <w:rsid w:val="0033485C"/>
    <w:rsid w:val="00334B43"/>
    <w:rsid w:val="003359F1"/>
    <w:rsid w:val="00336061"/>
    <w:rsid w:val="0033650E"/>
    <w:rsid w:val="0033680E"/>
    <w:rsid w:val="00336BB8"/>
    <w:rsid w:val="00336D34"/>
    <w:rsid w:val="0033734E"/>
    <w:rsid w:val="0033759D"/>
    <w:rsid w:val="0033777A"/>
    <w:rsid w:val="003377ED"/>
    <w:rsid w:val="00337A93"/>
    <w:rsid w:val="00340855"/>
    <w:rsid w:val="003409FB"/>
    <w:rsid w:val="00341305"/>
    <w:rsid w:val="00341A19"/>
    <w:rsid w:val="00341DB2"/>
    <w:rsid w:val="003422B4"/>
    <w:rsid w:val="003422F1"/>
    <w:rsid w:val="0034244E"/>
    <w:rsid w:val="00342FE8"/>
    <w:rsid w:val="00343049"/>
    <w:rsid w:val="0034348B"/>
    <w:rsid w:val="003434A0"/>
    <w:rsid w:val="00343BFF"/>
    <w:rsid w:val="00343CEA"/>
    <w:rsid w:val="0034449B"/>
    <w:rsid w:val="00344685"/>
    <w:rsid w:val="00344818"/>
    <w:rsid w:val="00344819"/>
    <w:rsid w:val="00344D22"/>
    <w:rsid w:val="00344F75"/>
    <w:rsid w:val="00345292"/>
    <w:rsid w:val="003453C4"/>
    <w:rsid w:val="003454BF"/>
    <w:rsid w:val="00345A6B"/>
    <w:rsid w:val="00345C29"/>
    <w:rsid w:val="00347246"/>
    <w:rsid w:val="003476A8"/>
    <w:rsid w:val="0034778C"/>
    <w:rsid w:val="00347918"/>
    <w:rsid w:val="00347E0A"/>
    <w:rsid w:val="00347E54"/>
    <w:rsid w:val="00350101"/>
    <w:rsid w:val="00350550"/>
    <w:rsid w:val="00350B84"/>
    <w:rsid w:val="00350CB8"/>
    <w:rsid w:val="00352092"/>
    <w:rsid w:val="003523A5"/>
    <w:rsid w:val="00353B55"/>
    <w:rsid w:val="003546E5"/>
    <w:rsid w:val="00354C71"/>
    <w:rsid w:val="00354CAC"/>
    <w:rsid w:val="00354CCE"/>
    <w:rsid w:val="00355366"/>
    <w:rsid w:val="0035536B"/>
    <w:rsid w:val="003553C2"/>
    <w:rsid w:val="0035599E"/>
    <w:rsid w:val="00355C50"/>
    <w:rsid w:val="00356036"/>
    <w:rsid w:val="00356504"/>
    <w:rsid w:val="00356506"/>
    <w:rsid w:val="0035684E"/>
    <w:rsid w:val="0035701F"/>
    <w:rsid w:val="0035725E"/>
    <w:rsid w:val="00357C26"/>
    <w:rsid w:val="00357E67"/>
    <w:rsid w:val="00357E7F"/>
    <w:rsid w:val="00360593"/>
    <w:rsid w:val="0036087E"/>
    <w:rsid w:val="00360A88"/>
    <w:rsid w:val="00360BBD"/>
    <w:rsid w:val="00360C79"/>
    <w:rsid w:val="0036112E"/>
    <w:rsid w:val="0036154B"/>
    <w:rsid w:val="003617AA"/>
    <w:rsid w:val="003627EA"/>
    <w:rsid w:val="00362ADF"/>
    <w:rsid w:val="0036327A"/>
    <w:rsid w:val="00363F51"/>
    <w:rsid w:val="00364414"/>
    <w:rsid w:val="0036490E"/>
    <w:rsid w:val="00364BB5"/>
    <w:rsid w:val="00364E96"/>
    <w:rsid w:val="00365053"/>
    <w:rsid w:val="00365327"/>
    <w:rsid w:val="003655C9"/>
    <w:rsid w:val="003661EA"/>
    <w:rsid w:val="0036634D"/>
    <w:rsid w:val="0036678F"/>
    <w:rsid w:val="00366933"/>
    <w:rsid w:val="00366B6D"/>
    <w:rsid w:val="0036744D"/>
    <w:rsid w:val="003679F8"/>
    <w:rsid w:val="00367BAD"/>
    <w:rsid w:val="003704C6"/>
    <w:rsid w:val="0037058F"/>
    <w:rsid w:val="00370812"/>
    <w:rsid w:val="003709B0"/>
    <w:rsid w:val="00370A62"/>
    <w:rsid w:val="00370BC0"/>
    <w:rsid w:val="00370F6C"/>
    <w:rsid w:val="00371469"/>
    <w:rsid w:val="0037157C"/>
    <w:rsid w:val="0037158A"/>
    <w:rsid w:val="00371A65"/>
    <w:rsid w:val="00371B36"/>
    <w:rsid w:val="00371DB5"/>
    <w:rsid w:val="00372017"/>
    <w:rsid w:val="003722DC"/>
    <w:rsid w:val="0037241B"/>
    <w:rsid w:val="00372710"/>
    <w:rsid w:val="00372CAE"/>
    <w:rsid w:val="00372DCF"/>
    <w:rsid w:val="00373178"/>
    <w:rsid w:val="00373213"/>
    <w:rsid w:val="00373EEB"/>
    <w:rsid w:val="00374000"/>
    <w:rsid w:val="003745CE"/>
    <w:rsid w:val="00374663"/>
    <w:rsid w:val="003749A7"/>
    <w:rsid w:val="00374BED"/>
    <w:rsid w:val="00374F9E"/>
    <w:rsid w:val="003751DF"/>
    <w:rsid w:val="00375466"/>
    <w:rsid w:val="00375599"/>
    <w:rsid w:val="0037562C"/>
    <w:rsid w:val="003762A4"/>
    <w:rsid w:val="0037699B"/>
    <w:rsid w:val="00376C0B"/>
    <w:rsid w:val="00376ED3"/>
    <w:rsid w:val="00376F58"/>
    <w:rsid w:val="003771AC"/>
    <w:rsid w:val="0037789C"/>
    <w:rsid w:val="0037789D"/>
    <w:rsid w:val="00380AFE"/>
    <w:rsid w:val="00380BDD"/>
    <w:rsid w:val="00380D6E"/>
    <w:rsid w:val="00381332"/>
    <w:rsid w:val="00381725"/>
    <w:rsid w:val="003819D6"/>
    <w:rsid w:val="00381F60"/>
    <w:rsid w:val="0038339F"/>
    <w:rsid w:val="0038377C"/>
    <w:rsid w:val="00384612"/>
    <w:rsid w:val="00384915"/>
    <w:rsid w:val="00384A32"/>
    <w:rsid w:val="00384B9E"/>
    <w:rsid w:val="00385641"/>
    <w:rsid w:val="00385CDB"/>
    <w:rsid w:val="00385D8C"/>
    <w:rsid w:val="00385DB2"/>
    <w:rsid w:val="00385F1F"/>
    <w:rsid w:val="003860BA"/>
    <w:rsid w:val="003864AB"/>
    <w:rsid w:val="003867A7"/>
    <w:rsid w:val="0038697F"/>
    <w:rsid w:val="003869F9"/>
    <w:rsid w:val="00386EC1"/>
    <w:rsid w:val="00387654"/>
    <w:rsid w:val="003877AA"/>
    <w:rsid w:val="00387A6D"/>
    <w:rsid w:val="00390051"/>
    <w:rsid w:val="003904D0"/>
    <w:rsid w:val="003906E9"/>
    <w:rsid w:val="00390756"/>
    <w:rsid w:val="003910A2"/>
    <w:rsid w:val="0039128C"/>
    <w:rsid w:val="0039154A"/>
    <w:rsid w:val="003915FD"/>
    <w:rsid w:val="003917EE"/>
    <w:rsid w:val="00391C1B"/>
    <w:rsid w:val="00391F1C"/>
    <w:rsid w:val="003923C8"/>
    <w:rsid w:val="00392458"/>
    <w:rsid w:val="003928BC"/>
    <w:rsid w:val="00392D85"/>
    <w:rsid w:val="003936D0"/>
    <w:rsid w:val="00393B32"/>
    <w:rsid w:val="0039475D"/>
    <w:rsid w:val="00394896"/>
    <w:rsid w:val="00394D28"/>
    <w:rsid w:val="003955B8"/>
    <w:rsid w:val="0039598F"/>
    <w:rsid w:val="00395D25"/>
    <w:rsid w:val="00396212"/>
    <w:rsid w:val="0039667C"/>
    <w:rsid w:val="00396A7A"/>
    <w:rsid w:val="00396D35"/>
    <w:rsid w:val="00397003"/>
    <w:rsid w:val="003971AB"/>
    <w:rsid w:val="00397472"/>
    <w:rsid w:val="00397627"/>
    <w:rsid w:val="00397A0F"/>
    <w:rsid w:val="00397F38"/>
    <w:rsid w:val="003A073F"/>
    <w:rsid w:val="003A0785"/>
    <w:rsid w:val="003A09D2"/>
    <w:rsid w:val="003A1142"/>
    <w:rsid w:val="003A12D4"/>
    <w:rsid w:val="003A15BD"/>
    <w:rsid w:val="003A1A0F"/>
    <w:rsid w:val="003A1DD7"/>
    <w:rsid w:val="003A2CB2"/>
    <w:rsid w:val="003A3434"/>
    <w:rsid w:val="003A3EFF"/>
    <w:rsid w:val="003A3F52"/>
    <w:rsid w:val="003A4044"/>
    <w:rsid w:val="003A4063"/>
    <w:rsid w:val="003A5AA4"/>
    <w:rsid w:val="003A64BF"/>
    <w:rsid w:val="003A65E7"/>
    <w:rsid w:val="003A737E"/>
    <w:rsid w:val="003A7392"/>
    <w:rsid w:val="003A73D1"/>
    <w:rsid w:val="003A73E1"/>
    <w:rsid w:val="003B04F8"/>
    <w:rsid w:val="003B0918"/>
    <w:rsid w:val="003B0ADB"/>
    <w:rsid w:val="003B0DA5"/>
    <w:rsid w:val="003B1185"/>
    <w:rsid w:val="003B128B"/>
    <w:rsid w:val="003B142D"/>
    <w:rsid w:val="003B1A3E"/>
    <w:rsid w:val="003B1D21"/>
    <w:rsid w:val="003B1FCE"/>
    <w:rsid w:val="003B22DF"/>
    <w:rsid w:val="003B3353"/>
    <w:rsid w:val="003B360B"/>
    <w:rsid w:val="003B3833"/>
    <w:rsid w:val="003B39F2"/>
    <w:rsid w:val="003B3D67"/>
    <w:rsid w:val="003B43A3"/>
    <w:rsid w:val="003B44C1"/>
    <w:rsid w:val="003B4771"/>
    <w:rsid w:val="003B47CD"/>
    <w:rsid w:val="003B5076"/>
    <w:rsid w:val="003B50B3"/>
    <w:rsid w:val="003B5117"/>
    <w:rsid w:val="003B6455"/>
    <w:rsid w:val="003B67FD"/>
    <w:rsid w:val="003B6AC8"/>
    <w:rsid w:val="003B6CA0"/>
    <w:rsid w:val="003B6D83"/>
    <w:rsid w:val="003B6D87"/>
    <w:rsid w:val="003B6FEC"/>
    <w:rsid w:val="003C05AF"/>
    <w:rsid w:val="003C0697"/>
    <w:rsid w:val="003C0734"/>
    <w:rsid w:val="003C0B3E"/>
    <w:rsid w:val="003C0D10"/>
    <w:rsid w:val="003C101C"/>
    <w:rsid w:val="003C17EF"/>
    <w:rsid w:val="003C18DB"/>
    <w:rsid w:val="003C1BF2"/>
    <w:rsid w:val="003C1CA3"/>
    <w:rsid w:val="003C2052"/>
    <w:rsid w:val="003C20E5"/>
    <w:rsid w:val="003C258D"/>
    <w:rsid w:val="003C26B4"/>
    <w:rsid w:val="003C3280"/>
    <w:rsid w:val="003C3435"/>
    <w:rsid w:val="003C3BB3"/>
    <w:rsid w:val="003C4A82"/>
    <w:rsid w:val="003C4C80"/>
    <w:rsid w:val="003C54DA"/>
    <w:rsid w:val="003C5C07"/>
    <w:rsid w:val="003C5E58"/>
    <w:rsid w:val="003C5ECD"/>
    <w:rsid w:val="003C627C"/>
    <w:rsid w:val="003C62F9"/>
    <w:rsid w:val="003C6332"/>
    <w:rsid w:val="003C6791"/>
    <w:rsid w:val="003C6920"/>
    <w:rsid w:val="003C6B2E"/>
    <w:rsid w:val="003C6D96"/>
    <w:rsid w:val="003C73B5"/>
    <w:rsid w:val="003C7587"/>
    <w:rsid w:val="003D06D8"/>
    <w:rsid w:val="003D0810"/>
    <w:rsid w:val="003D0DCA"/>
    <w:rsid w:val="003D10F9"/>
    <w:rsid w:val="003D1239"/>
    <w:rsid w:val="003D129A"/>
    <w:rsid w:val="003D1899"/>
    <w:rsid w:val="003D1A3A"/>
    <w:rsid w:val="003D1FDB"/>
    <w:rsid w:val="003D205E"/>
    <w:rsid w:val="003D21ED"/>
    <w:rsid w:val="003D2669"/>
    <w:rsid w:val="003D2F7C"/>
    <w:rsid w:val="003D352A"/>
    <w:rsid w:val="003D378A"/>
    <w:rsid w:val="003D3955"/>
    <w:rsid w:val="003D3A8F"/>
    <w:rsid w:val="003D3D6C"/>
    <w:rsid w:val="003D4993"/>
    <w:rsid w:val="003D4AEB"/>
    <w:rsid w:val="003D4DBE"/>
    <w:rsid w:val="003D4E0B"/>
    <w:rsid w:val="003D589B"/>
    <w:rsid w:val="003D5926"/>
    <w:rsid w:val="003D5C68"/>
    <w:rsid w:val="003D634A"/>
    <w:rsid w:val="003D6C33"/>
    <w:rsid w:val="003D6FE5"/>
    <w:rsid w:val="003D77D9"/>
    <w:rsid w:val="003E103B"/>
    <w:rsid w:val="003E198B"/>
    <w:rsid w:val="003E1B64"/>
    <w:rsid w:val="003E1C57"/>
    <w:rsid w:val="003E1C5F"/>
    <w:rsid w:val="003E2229"/>
    <w:rsid w:val="003E2511"/>
    <w:rsid w:val="003E2739"/>
    <w:rsid w:val="003E30C0"/>
    <w:rsid w:val="003E322F"/>
    <w:rsid w:val="003E371B"/>
    <w:rsid w:val="003E3CCB"/>
    <w:rsid w:val="003E4249"/>
    <w:rsid w:val="003E45EE"/>
    <w:rsid w:val="003E4C97"/>
    <w:rsid w:val="003E50C8"/>
    <w:rsid w:val="003E54BD"/>
    <w:rsid w:val="003E55BF"/>
    <w:rsid w:val="003E5621"/>
    <w:rsid w:val="003E5695"/>
    <w:rsid w:val="003E5DE5"/>
    <w:rsid w:val="003E63E2"/>
    <w:rsid w:val="003E6576"/>
    <w:rsid w:val="003E65F9"/>
    <w:rsid w:val="003E6C48"/>
    <w:rsid w:val="003E705A"/>
    <w:rsid w:val="003E74C4"/>
    <w:rsid w:val="003E77B2"/>
    <w:rsid w:val="003E7991"/>
    <w:rsid w:val="003E7EA7"/>
    <w:rsid w:val="003E7FBC"/>
    <w:rsid w:val="003F0B6F"/>
    <w:rsid w:val="003F15D2"/>
    <w:rsid w:val="003F15D4"/>
    <w:rsid w:val="003F15DA"/>
    <w:rsid w:val="003F17D8"/>
    <w:rsid w:val="003F2305"/>
    <w:rsid w:val="003F243C"/>
    <w:rsid w:val="003F2759"/>
    <w:rsid w:val="003F2F60"/>
    <w:rsid w:val="003F3544"/>
    <w:rsid w:val="003F3A5E"/>
    <w:rsid w:val="003F3BD4"/>
    <w:rsid w:val="003F3E06"/>
    <w:rsid w:val="003F45DD"/>
    <w:rsid w:val="003F4E88"/>
    <w:rsid w:val="003F5606"/>
    <w:rsid w:val="003F5DD6"/>
    <w:rsid w:val="003F6F75"/>
    <w:rsid w:val="003F72F7"/>
    <w:rsid w:val="003F77F5"/>
    <w:rsid w:val="0040021B"/>
    <w:rsid w:val="004002C5"/>
    <w:rsid w:val="004006B5"/>
    <w:rsid w:val="004008EC"/>
    <w:rsid w:val="00400929"/>
    <w:rsid w:val="00400DFA"/>
    <w:rsid w:val="00401B20"/>
    <w:rsid w:val="00401B88"/>
    <w:rsid w:val="00401D07"/>
    <w:rsid w:val="004022CE"/>
    <w:rsid w:val="0040241B"/>
    <w:rsid w:val="004025BF"/>
    <w:rsid w:val="004029DC"/>
    <w:rsid w:val="00402CA2"/>
    <w:rsid w:val="00403EBB"/>
    <w:rsid w:val="00403F4C"/>
    <w:rsid w:val="00404A9A"/>
    <w:rsid w:val="00405269"/>
    <w:rsid w:val="00405B94"/>
    <w:rsid w:val="00405BF4"/>
    <w:rsid w:val="00406037"/>
    <w:rsid w:val="00406405"/>
    <w:rsid w:val="00406AAC"/>
    <w:rsid w:val="00407128"/>
    <w:rsid w:val="0040723C"/>
    <w:rsid w:val="004072FD"/>
    <w:rsid w:val="004074AE"/>
    <w:rsid w:val="00407751"/>
    <w:rsid w:val="00407D56"/>
    <w:rsid w:val="004102DC"/>
    <w:rsid w:val="00410B55"/>
    <w:rsid w:val="00410F34"/>
    <w:rsid w:val="00411CDF"/>
    <w:rsid w:val="00411F95"/>
    <w:rsid w:val="004125D1"/>
    <w:rsid w:val="00412723"/>
    <w:rsid w:val="00412809"/>
    <w:rsid w:val="00412838"/>
    <w:rsid w:val="00412D5D"/>
    <w:rsid w:val="00412E5E"/>
    <w:rsid w:val="00413DF5"/>
    <w:rsid w:val="00413FB6"/>
    <w:rsid w:val="0041402F"/>
    <w:rsid w:val="00414067"/>
    <w:rsid w:val="004141C7"/>
    <w:rsid w:val="004143F7"/>
    <w:rsid w:val="00415D14"/>
    <w:rsid w:val="00416967"/>
    <w:rsid w:val="00416B8C"/>
    <w:rsid w:val="00416C5A"/>
    <w:rsid w:val="00416DD0"/>
    <w:rsid w:val="00417044"/>
    <w:rsid w:val="00417099"/>
    <w:rsid w:val="00417450"/>
    <w:rsid w:val="00417573"/>
    <w:rsid w:val="00417579"/>
    <w:rsid w:val="0041763F"/>
    <w:rsid w:val="00417789"/>
    <w:rsid w:val="0042000C"/>
    <w:rsid w:val="004203A7"/>
    <w:rsid w:val="00420B98"/>
    <w:rsid w:val="00420C78"/>
    <w:rsid w:val="00420CF5"/>
    <w:rsid w:val="00420D9C"/>
    <w:rsid w:val="00420DD6"/>
    <w:rsid w:val="00420E22"/>
    <w:rsid w:val="004210F4"/>
    <w:rsid w:val="00421172"/>
    <w:rsid w:val="00421F76"/>
    <w:rsid w:val="0042206B"/>
    <w:rsid w:val="00422309"/>
    <w:rsid w:val="004225BA"/>
    <w:rsid w:val="004225D2"/>
    <w:rsid w:val="0042291B"/>
    <w:rsid w:val="00422B5E"/>
    <w:rsid w:val="0042311F"/>
    <w:rsid w:val="004232AD"/>
    <w:rsid w:val="0042331C"/>
    <w:rsid w:val="00423835"/>
    <w:rsid w:val="00423B35"/>
    <w:rsid w:val="00423FEC"/>
    <w:rsid w:val="00424069"/>
    <w:rsid w:val="00424F9E"/>
    <w:rsid w:val="00425147"/>
    <w:rsid w:val="00425741"/>
    <w:rsid w:val="0042662F"/>
    <w:rsid w:val="00426998"/>
    <w:rsid w:val="00426ADB"/>
    <w:rsid w:val="00426BA3"/>
    <w:rsid w:val="00427739"/>
    <w:rsid w:val="004302E3"/>
    <w:rsid w:val="00430553"/>
    <w:rsid w:val="00430AAF"/>
    <w:rsid w:val="00431250"/>
    <w:rsid w:val="004314F4"/>
    <w:rsid w:val="004316C1"/>
    <w:rsid w:val="004318A0"/>
    <w:rsid w:val="004319EF"/>
    <w:rsid w:val="004324A4"/>
    <w:rsid w:val="0043259D"/>
    <w:rsid w:val="004331EF"/>
    <w:rsid w:val="00434247"/>
    <w:rsid w:val="00434472"/>
    <w:rsid w:val="00434536"/>
    <w:rsid w:val="00434547"/>
    <w:rsid w:val="00434878"/>
    <w:rsid w:val="004348F6"/>
    <w:rsid w:val="00435620"/>
    <w:rsid w:val="004360CD"/>
    <w:rsid w:val="004363F2"/>
    <w:rsid w:val="00436493"/>
    <w:rsid w:val="00437346"/>
    <w:rsid w:val="004375ED"/>
    <w:rsid w:val="00437AD7"/>
    <w:rsid w:val="00437C29"/>
    <w:rsid w:val="004402D9"/>
    <w:rsid w:val="00440424"/>
    <w:rsid w:val="00440748"/>
    <w:rsid w:val="004414A0"/>
    <w:rsid w:val="0044163D"/>
    <w:rsid w:val="004416B9"/>
    <w:rsid w:val="004416FC"/>
    <w:rsid w:val="0044179A"/>
    <w:rsid w:val="00441991"/>
    <w:rsid w:val="00441ABF"/>
    <w:rsid w:val="00441B53"/>
    <w:rsid w:val="00442201"/>
    <w:rsid w:val="0044231F"/>
    <w:rsid w:val="00442AE6"/>
    <w:rsid w:val="00442B93"/>
    <w:rsid w:val="00442EC4"/>
    <w:rsid w:val="00443A25"/>
    <w:rsid w:val="00444366"/>
    <w:rsid w:val="0044486F"/>
    <w:rsid w:val="00444F2A"/>
    <w:rsid w:val="00445122"/>
    <w:rsid w:val="004459DA"/>
    <w:rsid w:val="00445AC2"/>
    <w:rsid w:val="00445E7A"/>
    <w:rsid w:val="00445EB6"/>
    <w:rsid w:val="004467FC"/>
    <w:rsid w:val="00446A5F"/>
    <w:rsid w:val="00446CCC"/>
    <w:rsid w:val="00446E91"/>
    <w:rsid w:val="004475E5"/>
    <w:rsid w:val="004479EC"/>
    <w:rsid w:val="00447D81"/>
    <w:rsid w:val="004504A7"/>
    <w:rsid w:val="004504F1"/>
    <w:rsid w:val="004507BD"/>
    <w:rsid w:val="004507D2"/>
    <w:rsid w:val="0045088E"/>
    <w:rsid w:val="00450AEE"/>
    <w:rsid w:val="00450B73"/>
    <w:rsid w:val="00450CF1"/>
    <w:rsid w:val="00450D8D"/>
    <w:rsid w:val="00450DB8"/>
    <w:rsid w:val="00451125"/>
    <w:rsid w:val="00451385"/>
    <w:rsid w:val="00451DF3"/>
    <w:rsid w:val="0045214F"/>
    <w:rsid w:val="004522AA"/>
    <w:rsid w:val="004523D8"/>
    <w:rsid w:val="00452711"/>
    <w:rsid w:val="00452722"/>
    <w:rsid w:val="00452B63"/>
    <w:rsid w:val="00452F57"/>
    <w:rsid w:val="00453350"/>
    <w:rsid w:val="004539E4"/>
    <w:rsid w:val="00453A9D"/>
    <w:rsid w:val="004540B2"/>
    <w:rsid w:val="00454360"/>
    <w:rsid w:val="00454376"/>
    <w:rsid w:val="00455154"/>
    <w:rsid w:val="004551D8"/>
    <w:rsid w:val="004553D4"/>
    <w:rsid w:val="00455554"/>
    <w:rsid w:val="0045566F"/>
    <w:rsid w:val="00455B43"/>
    <w:rsid w:val="00455E97"/>
    <w:rsid w:val="00455F2D"/>
    <w:rsid w:val="00456053"/>
    <w:rsid w:val="00456A9B"/>
    <w:rsid w:val="00456B67"/>
    <w:rsid w:val="00456BF4"/>
    <w:rsid w:val="00457472"/>
    <w:rsid w:val="0045763E"/>
    <w:rsid w:val="004578CB"/>
    <w:rsid w:val="00457BB1"/>
    <w:rsid w:val="00457EB6"/>
    <w:rsid w:val="00457FC2"/>
    <w:rsid w:val="00460073"/>
    <w:rsid w:val="004600BC"/>
    <w:rsid w:val="00460C20"/>
    <w:rsid w:val="00460D0C"/>
    <w:rsid w:val="004614E3"/>
    <w:rsid w:val="00461956"/>
    <w:rsid w:val="00461963"/>
    <w:rsid w:val="00462154"/>
    <w:rsid w:val="0046224A"/>
    <w:rsid w:val="00462261"/>
    <w:rsid w:val="004624A1"/>
    <w:rsid w:val="0046252A"/>
    <w:rsid w:val="004635AD"/>
    <w:rsid w:val="00463EB0"/>
    <w:rsid w:val="0046427B"/>
    <w:rsid w:val="004642BE"/>
    <w:rsid w:val="004643B1"/>
    <w:rsid w:val="00464592"/>
    <w:rsid w:val="00464657"/>
    <w:rsid w:val="004646BC"/>
    <w:rsid w:val="00464793"/>
    <w:rsid w:val="00464E64"/>
    <w:rsid w:val="0046525A"/>
    <w:rsid w:val="004659BC"/>
    <w:rsid w:val="00465C61"/>
    <w:rsid w:val="00465D4D"/>
    <w:rsid w:val="004661C8"/>
    <w:rsid w:val="0046631F"/>
    <w:rsid w:val="0046718F"/>
    <w:rsid w:val="0046739C"/>
    <w:rsid w:val="00467628"/>
    <w:rsid w:val="00467CB3"/>
    <w:rsid w:val="00467FB4"/>
    <w:rsid w:val="00470005"/>
    <w:rsid w:val="00470300"/>
    <w:rsid w:val="00470453"/>
    <w:rsid w:val="00470768"/>
    <w:rsid w:val="00470796"/>
    <w:rsid w:val="00470E40"/>
    <w:rsid w:val="00470E8F"/>
    <w:rsid w:val="004712C9"/>
    <w:rsid w:val="004714DF"/>
    <w:rsid w:val="004717DE"/>
    <w:rsid w:val="00472555"/>
    <w:rsid w:val="00472907"/>
    <w:rsid w:val="0047383F"/>
    <w:rsid w:val="0047390D"/>
    <w:rsid w:val="0047391F"/>
    <w:rsid w:val="004741DF"/>
    <w:rsid w:val="0047425B"/>
    <w:rsid w:val="004743A5"/>
    <w:rsid w:val="004743C8"/>
    <w:rsid w:val="00474928"/>
    <w:rsid w:val="00474CBA"/>
    <w:rsid w:val="00475226"/>
    <w:rsid w:val="004752B7"/>
    <w:rsid w:val="00475641"/>
    <w:rsid w:val="0047570F"/>
    <w:rsid w:val="00475F0A"/>
    <w:rsid w:val="004767EF"/>
    <w:rsid w:val="00476A0D"/>
    <w:rsid w:val="00476F92"/>
    <w:rsid w:val="0047714C"/>
    <w:rsid w:val="004774E9"/>
    <w:rsid w:val="00477504"/>
    <w:rsid w:val="0047762A"/>
    <w:rsid w:val="00477B33"/>
    <w:rsid w:val="00477CF6"/>
    <w:rsid w:val="00477E49"/>
    <w:rsid w:val="004803EE"/>
    <w:rsid w:val="00480514"/>
    <w:rsid w:val="00480F63"/>
    <w:rsid w:val="00480F68"/>
    <w:rsid w:val="00481240"/>
    <w:rsid w:val="00481A70"/>
    <w:rsid w:val="00482597"/>
    <w:rsid w:val="00482B64"/>
    <w:rsid w:val="00482B8F"/>
    <w:rsid w:val="00482D7C"/>
    <w:rsid w:val="00483239"/>
    <w:rsid w:val="00483BAC"/>
    <w:rsid w:val="00483DAA"/>
    <w:rsid w:val="00483FE2"/>
    <w:rsid w:val="0048419B"/>
    <w:rsid w:val="0048465E"/>
    <w:rsid w:val="00484AEB"/>
    <w:rsid w:val="00484E54"/>
    <w:rsid w:val="0048517B"/>
    <w:rsid w:val="00485D51"/>
    <w:rsid w:val="00486973"/>
    <w:rsid w:val="00486ED3"/>
    <w:rsid w:val="004878DA"/>
    <w:rsid w:val="004879AD"/>
    <w:rsid w:val="00490811"/>
    <w:rsid w:val="00490C20"/>
    <w:rsid w:val="004914AE"/>
    <w:rsid w:val="00491DE7"/>
    <w:rsid w:val="004923B9"/>
    <w:rsid w:val="004923C4"/>
    <w:rsid w:val="00492790"/>
    <w:rsid w:val="00492C56"/>
    <w:rsid w:val="00492F21"/>
    <w:rsid w:val="00493433"/>
    <w:rsid w:val="00493539"/>
    <w:rsid w:val="004941A9"/>
    <w:rsid w:val="00494FD0"/>
    <w:rsid w:val="00495193"/>
    <w:rsid w:val="004956D6"/>
    <w:rsid w:val="00495716"/>
    <w:rsid w:val="00495760"/>
    <w:rsid w:val="00495A6D"/>
    <w:rsid w:val="00495BD3"/>
    <w:rsid w:val="00495F18"/>
    <w:rsid w:val="00495FC1"/>
    <w:rsid w:val="0049627C"/>
    <w:rsid w:val="00497368"/>
    <w:rsid w:val="0049741E"/>
    <w:rsid w:val="00497837"/>
    <w:rsid w:val="00497AF0"/>
    <w:rsid w:val="00497B1C"/>
    <w:rsid w:val="004A00D5"/>
    <w:rsid w:val="004A05F8"/>
    <w:rsid w:val="004A0964"/>
    <w:rsid w:val="004A11F6"/>
    <w:rsid w:val="004A16EF"/>
    <w:rsid w:val="004A20D8"/>
    <w:rsid w:val="004A2625"/>
    <w:rsid w:val="004A2788"/>
    <w:rsid w:val="004A2843"/>
    <w:rsid w:val="004A295C"/>
    <w:rsid w:val="004A2E14"/>
    <w:rsid w:val="004A2E8E"/>
    <w:rsid w:val="004A32E2"/>
    <w:rsid w:val="004A3A3F"/>
    <w:rsid w:val="004A3D34"/>
    <w:rsid w:val="004A40CF"/>
    <w:rsid w:val="004A4572"/>
    <w:rsid w:val="004A4664"/>
    <w:rsid w:val="004A49B9"/>
    <w:rsid w:val="004A49BB"/>
    <w:rsid w:val="004A4B62"/>
    <w:rsid w:val="004A5435"/>
    <w:rsid w:val="004A5491"/>
    <w:rsid w:val="004A580F"/>
    <w:rsid w:val="004A63C7"/>
    <w:rsid w:val="004A63EA"/>
    <w:rsid w:val="004A67AB"/>
    <w:rsid w:val="004A6828"/>
    <w:rsid w:val="004A6DEE"/>
    <w:rsid w:val="004A6E02"/>
    <w:rsid w:val="004A70FF"/>
    <w:rsid w:val="004A72AE"/>
    <w:rsid w:val="004A75D8"/>
    <w:rsid w:val="004A7F74"/>
    <w:rsid w:val="004B00A7"/>
    <w:rsid w:val="004B029C"/>
    <w:rsid w:val="004B084D"/>
    <w:rsid w:val="004B086C"/>
    <w:rsid w:val="004B08EF"/>
    <w:rsid w:val="004B137C"/>
    <w:rsid w:val="004B1B64"/>
    <w:rsid w:val="004B2508"/>
    <w:rsid w:val="004B315D"/>
    <w:rsid w:val="004B31AF"/>
    <w:rsid w:val="004B338E"/>
    <w:rsid w:val="004B3836"/>
    <w:rsid w:val="004B391F"/>
    <w:rsid w:val="004B39CC"/>
    <w:rsid w:val="004B3D3C"/>
    <w:rsid w:val="004B3E7E"/>
    <w:rsid w:val="004B465D"/>
    <w:rsid w:val="004B4698"/>
    <w:rsid w:val="004B4727"/>
    <w:rsid w:val="004B4C86"/>
    <w:rsid w:val="004B5247"/>
    <w:rsid w:val="004B56F1"/>
    <w:rsid w:val="004B577C"/>
    <w:rsid w:val="004B5985"/>
    <w:rsid w:val="004B5A16"/>
    <w:rsid w:val="004B5D82"/>
    <w:rsid w:val="004B62EB"/>
    <w:rsid w:val="004B648F"/>
    <w:rsid w:val="004B6791"/>
    <w:rsid w:val="004B6C19"/>
    <w:rsid w:val="004B71E1"/>
    <w:rsid w:val="004B7707"/>
    <w:rsid w:val="004B7722"/>
    <w:rsid w:val="004B7738"/>
    <w:rsid w:val="004B793C"/>
    <w:rsid w:val="004B7DE8"/>
    <w:rsid w:val="004C0778"/>
    <w:rsid w:val="004C0827"/>
    <w:rsid w:val="004C0C52"/>
    <w:rsid w:val="004C0E10"/>
    <w:rsid w:val="004C1129"/>
    <w:rsid w:val="004C1A99"/>
    <w:rsid w:val="004C1BBD"/>
    <w:rsid w:val="004C2579"/>
    <w:rsid w:val="004C259A"/>
    <w:rsid w:val="004C2989"/>
    <w:rsid w:val="004C356C"/>
    <w:rsid w:val="004C3F3E"/>
    <w:rsid w:val="004C3F80"/>
    <w:rsid w:val="004C4A58"/>
    <w:rsid w:val="004C4F86"/>
    <w:rsid w:val="004C52B4"/>
    <w:rsid w:val="004C64E3"/>
    <w:rsid w:val="004C6E08"/>
    <w:rsid w:val="004C6ED3"/>
    <w:rsid w:val="004C6F13"/>
    <w:rsid w:val="004C70EB"/>
    <w:rsid w:val="004C75A9"/>
    <w:rsid w:val="004C7BE0"/>
    <w:rsid w:val="004D00F9"/>
    <w:rsid w:val="004D01F7"/>
    <w:rsid w:val="004D038D"/>
    <w:rsid w:val="004D0957"/>
    <w:rsid w:val="004D0D01"/>
    <w:rsid w:val="004D19E5"/>
    <w:rsid w:val="004D204B"/>
    <w:rsid w:val="004D232E"/>
    <w:rsid w:val="004D26EB"/>
    <w:rsid w:val="004D28AD"/>
    <w:rsid w:val="004D2B99"/>
    <w:rsid w:val="004D2DF4"/>
    <w:rsid w:val="004D2F18"/>
    <w:rsid w:val="004D3182"/>
    <w:rsid w:val="004D3206"/>
    <w:rsid w:val="004D350D"/>
    <w:rsid w:val="004D41D0"/>
    <w:rsid w:val="004D433C"/>
    <w:rsid w:val="004D492A"/>
    <w:rsid w:val="004D4A79"/>
    <w:rsid w:val="004D501D"/>
    <w:rsid w:val="004D504E"/>
    <w:rsid w:val="004D574E"/>
    <w:rsid w:val="004D5D20"/>
    <w:rsid w:val="004D645C"/>
    <w:rsid w:val="004D649D"/>
    <w:rsid w:val="004D6588"/>
    <w:rsid w:val="004D6B16"/>
    <w:rsid w:val="004D6BDA"/>
    <w:rsid w:val="004D6C8D"/>
    <w:rsid w:val="004D6DAE"/>
    <w:rsid w:val="004D7623"/>
    <w:rsid w:val="004D77D7"/>
    <w:rsid w:val="004D7B8E"/>
    <w:rsid w:val="004E0433"/>
    <w:rsid w:val="004E147B"/>
    <w:rsid w:val="004E16F6"/>
    <w:rsid w:val="004E22EB"/>
    <w:rsid w:val="004E231E"/>
    <w:rsid w:val="004E23C2"/>
    <w:rsid w:val="004E24F0"/>
    <w:rsid w:val="004E2773"/>
    <w:rsid w:val="004E317D"/>
    <w:rsid w:val="004E3258"/>
    <w:rsid w:val="004E349A"/>
    <w:rsid w:val="004E35A6"/>
    <w:rsid w:val="004E3B1E"/>
    <w:rsid w:val="004E3F2B"/>
    <w:rsid w:val="004E42EC"/>
    <w:rsid w:val="004E4625"/>
    <w:rsid w:val="004E480E"/>
    <w:rsid w:val="004E4BD3"/>
    <w:rsid w:val="004E4BE4"/>
    <w:rsid w:val="004E5657"/>
    <w:rsid w:val="004E6016"/>
    <w:rsid w:val="004E6284"/>
    <w:rsid w:val="004E66F4"/>
    <w:rsid w:val="004E7555"/>
    <w:rsid w:val="004E7E18"/>
    <w:rsid w:val="004F0093"/>
    <w:rsid w:val="004F069F"/>
    <w:rsid w:val="004F0881"/>
    <w:rsid w:val="004F0F7B"/>
    <w:rsid w:val="004F12B6"/>
    <w:rsid w:val="004F14BC"/>
    <w:rsid w:val="004F1528"/>
    <w:rsid w:val="004F154B"/>
    <w:rsid w:val="004F1595"/>
    <w:rsid w:val="004F190F"/>
    <w:rsid w:val="004F1B24"/>
    <w:rsid w:val="004F1DE6"/>
    <w:rsid w:val="004F2C6D"/>
    <w:rsid w:val="004F3836"/>
    <w:rsid w:val="004F399D"/>
    <w:rsid w:val="004F4153"/>
    <w:rsid w:val="004F46A9"/>
    <w:rsid w:val="004F46E2"/>
    <w:rsid w:val="004F48FA"/>
    <w:rsid w:val="004F4938"/>
    <w:rsid w:val="004F4EBB"/>
    <w:rsid w:val="004F5003"/>
    <w:rsid w:val="004F5FA0"/>
    <w:rsid w:val="004F6106"/>
    <w:rsid w:val="004F698E"/>
    <w:rsid w:val="004F6DA6"/>
    <w:rsid w:val="004F6EC6"/>
    <w:rsid w:val="004F7096"/>
    <w:rsid w:val="004F76DB"/>
    <w:rsid w:val="004F76EB"/>
    <w:rsid w:val="004F7C31"/>
    <w:rsid w:val="004F7D43"/>
    <w:rsid w:val="005005BD"/>
    <w:rsid w:val="005007F6"/>
    <w:rsid w:val="005009D4"/>
    <w:rsid w:val="00500C3A"/>
    <w:rsid w:val="00500CEB"/>
    <w:rsid w:val="00500EBE"/>
    <w:rsid w:val="00500F2C"/>
    <w:rsid w:val="00500FE5"/>
    <w:rsid w:val="00501020"/>
    <w:rsid w:val="005013E6"/>
    <w:rsid w:val="005018A9"/>
    <w:rsid w:val="00502056"/>
    <w:rsid w:val="00502D10"/>
    <w:rsid w:val="00502DE1"/>
    <w:rsid w:val="00503155"/>
    <w:rsid w:val="00503676"/>
    <w:rsid w:val="00504322"/>
    <w:rsid w:val="0050496B"/>
    <w:rsid w:val="0050552E"/>
    <w:rsid w:val="005058CD"/>
    <w:rsid w:val="00505AEC"/>
    <w:rsid w:val="005064DE"/>
    <w:rsid w:val="005067ED"/>
    <w:rsid w:val="00506E35"/>
    <w:rsid w:val="00507109"/>
    <w:rsid w:val="00507977"/>
    <w:rsid w:val="005079A8"/>
    <w:rsid w:val="00510195"/>
    <w:rsid w:val="00510884"/>
    <w:rsid w:val="005108D1"/>
    <w:rsid w:val="00510938"/>
    <w:rsid w:val="00510D1A"/>
    <w:rsid w:val="005119CF"/>
    <w:rsid w:val="005125C7"/>
    <w:rsid w:val="0051293B"/>
    <w:rsid w:val="00512B0C"/>
    <w:rsid w:val="0051307A"/>
    <w:rsid w:val="00513CC8"/>
    <w:rsid w:val="00513E1C"/>
    <w:rsid w:val="00513E81"/>
    <w:rsid w:val="00513EB5"/>
    <w:rsid w:val="00514C8A"/>
    <w:rsid w:val="00514D81"/>
    <w:rsid w:val="00514F19"/>
    <w:rsid w:val="005151EA"/>
    <w:rsid w:val="00515514"/>
    <w:rsid w:val="005159A6"/>
    <w:rsid w:val="00515E98"/>
    <w:rsid w:val="005164F4"/>
    <w:rsid w:val="00516BAF"/>
    <w:rsid w:val="00516ECC"/>
    <w:rsid w:val="00517CBC"/>
    <w:rsid w:val="00520C6A"/>
    <w:rsid w:val="0052186F"/>
    <w:rsid w:val="005220B2"/>
    <w:rsid w:val="005228F4"/>
    <w:rsid w:val="00522AA7"/>
    <w:rsid w:val="00522B0C"/>
    <w:rsid w:val="00522CD5"/>
    <w:rsid w:val="00523450"/>
    <w:rsid w:val="005235C4"/>
    <w:rsid w:val="0052490E"/>
    <w:rsid w:val="00524BE6"/>
    <w:rsid w:val="00524E65"/>
    <w:rsid w:val="0052507E"/>
    <w:rsid w:val="00525BDB"/>
    <w:rsid w:val="00526CDB"/>
    <w:rsid w:val="00526EF5"/>
    <w:rsid w:val="00526FE4"/>
    <w:rsid w:val="005272E7"/>
    <w:rsid w:val="00527367"/>
    <w:rsid w:val="0052774C"/>
    <w:rsid w:val="0052788B"/>
    <w:rsid w:val="00530014"/>
    <w:rsid w:val="00530FAE"/>
    <w:rsid w:val="00531DA4"/>
    <w:rsid w:val="00532AD9"/>
    <w:rsid w:val="00533095"/>
    <w:rsid w:val="0053376D"/>
    <w:rsid w:val="00533A39"/>
    <w:rsid w:val="00533CE0"/>
    <w:rsid w:val="00533D1F"/>
    <w:rsid w:val="00533E14"/>
    <w:rsid w:val="00533E44"/>
    <w:rsid w:val="00534BBB"/>
    <w:rsid w:val="00534BFA"/>
    <w:rsid w:val="005354B4"/>
    <w:rsid w:val="00535D9A"/>
    <w:rsid w:val="00536321"/>
    <w:rsid w:val="00536344"/>
    <w:rsid w:val="00536378"/>
    <w:rsid w:val="0053643B"/>
    <w:rsid w:val="005364B2"/>
    <w:rsid w:val="00536E51"/>
    <w:rsid w:val="00536F04"/>
    <w:rsid w:val="00537019"/>
    <w:rsid w:val="0053717C"/>
    <w:rsid w:val="005373B7"/>
    <w:rsid w:val="00537866"/>
    <w:rsid w:val="00537A43"/>
    <w:rsid w:val="00537C41"/>
    <w:rsid w:val="0054051E"/>
    <w:rsid w:val="00540D5B"/>
    <w:rsid w:val="00541075"/>
    <w:rsid w:val="005417E8"/>
    <w:rsid w:val="00541BC1"/>
    <w:rsid w:val="00542042"/>
    <w:rsid w:val="00542297"/>
    <w:rsid w:val="00542324"/>
    <w:rsid w:val="00542452"/>
    <w:rsid w:val="005425CC"/>
    <w:rsid w:val="005427F3"/>
    <w:rsid w:val="00542D23"/>
    <w:rsid w:val="00542F94"/>
    <w:rsid w:val="005433C5"/>
    <w:rsid w:val="005436B6"/>
    <w:rsid w:val="00543E5E"/>
    <w:rsid w:val="00544BD8"/>
    <w:rsid w:val="00545448"/>
    <w:rsid w:val="00545AB3"/>
    <w:rsid w:val="00545C83"/>
    <w:rsid w:val="00545F95"/>
    <w:rsid w:val="00546C41"/>
    <w:rsid w:val="005470AB"/>
    <w:rsid w:val="0054722F"/>
    <w:rsid w:val="005472D1"/>
    <w:rsid w:val="00547318"/>
    <w:rsid w:val="005475E9"/>
    <w:rsid w:val="005477A4"/>
    <w:rsid w:val="005477B5"/>
    <w:rsid w:val="00547ACF"/>
    <w:rsid w:val="00550230"/>
    <w:rsid w:val="0055024E"/>
    <w:rsid w:val="00550517"/>
    <w:rsid w:val="005507F4"/>
    <w:rsid w:val="00550928"/>
    <w:rsid w:val="00550F8C"/>
    <w:rsid w:val="00551129"/>
    <w:rsid w:val="00551554"/>
    <w:rsid w:val="00551A97"/>
    <w:rsid w:val="00551B11"/>
    <w:rsid w:val="00551F0A"/>
    <w:rsid w:val="005521B1"/>
    <w:rsid w:val="005522FA"/>
    <w:rsid w:val="00552473"/>
    <w:rsid w:val="00552E01"/>
    <w:rsid w:val="00552FDB"/>
    <w:rsid w:val="00553589"/>
    <w:rsid w:val="0055403F"/>
    <w:rsid w:val="00554250"/>
    <w:rsid w:val="00554492"/>
    <w:rsid w:val="005550AB"/>
    <w:rsid w:val="00555763"/>
    <w:rsid w:val="00555BA8"/>
    <w:rsid w:val="00555BFB"/>
    <w:rsid w:val="00555F9F"/>
    <w:rsid w:val="005565DA"/>
    <w:rsid w:val="0055690F"/>
    <w:rsid w:val="00556A02"/>
    <w:rsid w:val="00556E16"/>
    <w:rsid w:val="00556E7F"/>
    <w:rsid w:val="005571BC"/>
    <w:rsid w:val="00557ACC"/>
    <w:rsid w:val="00557E47"/>
    <w:rsid w:val="005600CB"/>
    <w:rsid w:val="00560103"/>
    <w:rsid w:val="00560A76"/>
    <w:rsid w:val="00560C83"/>
    <w:rsid w:val="00560FFE"/>
    <w:rsid w:val="00561C78"/>
    <w:rsid w:val="005625D2"/>
    <w:rsid w:val="0056265F"/>
    <w:rsid w:val="00562699"/>
    <w:rsid w:val="005626D9"/>
    <w:rsid w:val="005627B6"/>
    <w:rsid w:val="00562CA9"/>
    <w:rsid w:val="00562D58"/>
    <w:rsid w:val="00562E8C"/>
    <w:rsid w:val="00562FAB"/>
    <w:rsid w:val="0056303E"/>
    <w:rsid w:val="00563153"/>
    <w:rsid w:val="00563228"/>
    <w:rsid w:val="0056371C"/>
    <w:rsid w:val="00563CB2"/>
    <w:rsid w:val="00563E80"/>
    <w:rsid w:val="00564031"/>
    <w:rsid w:val="00564402"/>
    <w:rsid w:val="00564732"/>
    <w:rsid w:val="00565303"/>
    <w:rsid w:val="005655E3"/>
    <w:rsid w:val="00565DC2"/>
    <w:rsid w:val="0056643F"/>
    <w:rsid w:val="005669A7"/>
    <w:rsid w:val="00566B7E"/>
    <w:rsid w:val="00566D87"/>
    <w:rsid w:val="00567AFB"/>
    <w:rsid w:val="00567C50"/>
    <w:rsid w:val="00570270"/>
    <w:rsid w:val="0057073A"/>
    <w:rsid w:val="00570BB5"/>
    <w:rsid w:val="00570F63"/>
    <w:rsid w:val="0057114B"/>
    <w:rsid w:val="0057133C"/>
    <w:rsid w:val="0057145A"/>
    <w:rsid w:val="0057172D"/>
    <w:rsid w:val="00571848"/>
    <w:rsid w:val="00571ACF"/>
    <w:rsid w:val="00571ADC"/>
    <w:rsid w:val="00571D11"/>
    <w:rsid w:val="00571F4E"/>
    <w:rsid w:val="00572002"/>
    <w:rsid w:val="00572159"/>
    <w:rsid w:val="00572484"/>
    <w:rsid w:val="005727DB"/>
    <w:rsid w:val="00572A22"/>
    <w:rsid w:val="00572FA8"/>
    <w:rsid w:val="0057385D"/>
    <w:rsid w:val="00573C40"/>
    <w:rsid w:val="00573ED5"/>
    <w:rsid w:val="0057408E"/>
    <w:rsid w:val="0057487F"/>
    <w:rsid w:val="00574DA1"/>
    <w:rsid w:val="0057502D"/>
    <w:rsid w:val="00575824"/>
    <w:rsid w:val="005759BE"/>
    <w:rsid w:val="00575DC5"/>
    <w:rsid w:val="00576352"/>
    <w:rsid w:val="005764C9"/>
    <w:rsid w:val="005767D7"/>
    <w:rsid w:val="00576C23"/>
    <w:rsid w:val="00577643"/>
    <w:rsid w:val="00577957"/>
    <w:rsid w:val="00577BF9"/>
    <w:rsid w:val="00577E60"/>
    <w:rsid w:val="00577FAD"/>
    <w:rsid w:val="005806AA"/>
    <w:rsid w:val="005808AE"/>
    <w:rsid w:val="00580FA1"/>
    <w:rsid w:val="005814A2"/>
    <w:rsid w:val="005815C0"/>
    <w:rsid w:val="0058179E"/>
    <w:rsid w:val="0058184D"/>
    <w:rsid w:val="00581C23"/>
    <w:rsid w:val="0058255B"/>
    <w:rsid w:val="005827FC"/>
    <w:rsid w:val="0058292F"/>
    <w:rsid w:val="00582D3B"/>
    <w:rsid w:val="0058323D"/>
    <w:rsid w:val="00583FB1"/>
    <w:rsid w:val="00583FC1"/>
    <w:rsid w:val="00584ADB"/>
    <w:rsid w:val="00584BF8"/>
    <w:rsid w:val="00584D3C"/>
    <w:rsid w:val="00584ED8"/>
    <w:rsid w:val="005853F7"/>
    <w:rsid w:val="005857F2"/>
    <w:rsid w:val="00585B2F"/>
    <w:rsid w:val="00586324"/>
    <w:rsid w:val="00586444"/>
    <w:rsid w:val="00587538"/>
    <w:rsid w:val="0058767E"/>
    <w:rsid w:val="005876B2"/>
    <w:rsid w:val="005876BE"/>
    <w:rsid w:val="00587DCC"/>
    <w:rsid w:val="0059063E"/>
    <w:rsid w:val="00590A9E"/>
    <w:rsid w:val="00590E4C"/>
    <w:rsid w:val="005910DE"/>
    <w:rsid w:val="00591625"/>
    <w:rsid w:val="00591818"/>
    <w:rsid w:val="0059249C"/>
    <w:rsid w:val="00593AC0"/>
    <w:rsid w:val="00593DB7"/>
    <w:rsid w:val="00593EA1"/>
    <w:rsid w:val="0059404A"/>
    <w:rsid w:val="005942B2"/>
    <w:rsid w:val="00594408"/>
    <w:rsid w:val="005946ED"/>
    <w:rsid w:val="00594C4D"/>
    <w:rsid w:val="00594F0D"/>
    <w:rsid w:val="005953B5"/>
    <w:rsid w:val="0059552D"/>
    <w:rsid w:val="00595DD1"/>
    <w:rsid w:val="00595EDE"/>
    <w:rsid w:val="005967A9"/>
    <w:rsid w:val="00596DF3"/>
    <w:rsid w:val="005972C0"/>
    <w:rsid w:val="00597584"/>
    <w:rsid w:val="00597CEA"/>
    <w:rsid w:val="00597D76"/>
    <w:rsid w:val="00597EC0"/>
    <w:rsid w:val="005A010C"/>
    <w:rsid w:val="005A04E1"/>
    <w:rsid w:val="005A0532"/>
    <w:rsid w:val="005A07B8"/>
    <w:rsid w:val="005A07F1"/>
    <w:rsid w:val="005A0C57"/>
    <w:rsid w:val="005A0C6D"/>
    <w:rsid w:val="005A0EAC"/>
    <w:rsid w:val="005A118E"/>
    <w:rsid w:val="005A130B"/>
    <w:rsid w:val="005A13CA"/>
    <w:rsid w:val="005A1431"/>
    <w:rsid w:val="005A1959"/>
    <w:rsid w:val="005A1B12"/>
    <w:rsid w:val="005A28B3"/>
    <w:rsid w:val="005A28BE"/>
    <w:rsid w:val="005A2B9F"/>
    <w:rsid w:val="005A2DDD"/>
    <w:rsid w:val="005A2FDB"/>
    <w:rsid w:val="005A3042"/>
    <w:rsid w:val="005A31E3"/>
    <w:rsid w:val="005A3893"/>
    <w:rsid w:val="005A4102"/>
    <w:rsid w:val="005A47D5"/>
    <w:rsid w:val="005A4AB7"/>
    <w:rsid w:val="005A514F"/>
    <w:rsid w:val="005A5342"/>
    <w:rsid w:val="005A5987"/>
    <w:rsid w:val="005A5E77"/>
    <w:rsid w:val="005A6303"/>
    <w:rsid w:val="005A64BD"/>
    <w:rsid w:val="005A6F50"/>
    <w:rsid w:val="005A70F1"/>
    <w:rsid w:val="005A7166"/>
    <w:rsid w:val="005A744A"/>
    <w:rsid w:val="005A74A9"/>
    <w:rsid w:val="005A7B16"/>
    <w:rsid w:val="005A7D2D"/>
    <w:rsid w:val="005A7F94"/>
    <w:rsid w:val="005A7FC6"/>
    <w:rsid w:val="005B1781"/>
    <w:rsid w:val="005B19C6"/>
    <w:rsid w:val="005B1A17"/>
    <w:rsid w:val="005B1E84"/>
    <w:rsid w:val="005B223A"/>
    <w:rsid w:val="005B24D8"/>
    <w:rsid w:val="005B2673"/>
    <w:rsid w:val="005B26A2"/>
    <w:rsid w:val="005B28C9"/>
    <w:rsid w:val="005B2EC8"/>
    <w:rsid w:val="005B3898"/>
    <w:rsid w:val="005B3EEC"/>
    <w:rsid w:val="005B406E"/>
    <w:rsid w:val="005B438B"/>
    <w:rsid w:val="005B46D3"/>
    <w:rsid w:val="005B4801"/>
    <w:rsid w:val="005B4F25"/>
    <w:rsid w:val="005B5046"/>
    <w:rsid w:val="005B521E"/>
    <w:rsid w:val="005B531B"/>
    <w:rsid w:val="005B55A0"/>
    <w:rsid w:val="005B5C3B"/>
    <w:rsid w:val="005B6E3F"/>
    <w:rsid w:val="005B6F13"/>
    <w:rsid w:val="005B6F8E"/>
    <w:rsid w:val="005B7588"/>
    <w:rsid w:val="005B7E4E"/>
    <w:rsid w:val="005C062F"/>
    <w:rsid w:val="005C0A36"/>
    <w:rsid w:val="005C16F2"/>
    <w:rsid w:val="005C176A"/>
    <w:rsid w:val="005C1777"/>
    <w:rsid w:val="005C18F0"/>
    <w:rsid w:val="005C1908"/>
    <w:rsid w:val="005C1E05"/>
    <w:rsid w:val="005C1F6C"/>
    <w:rsid w:val="005C2055"/>
    <w:rsid w:val="005C23BB"/>
    <w:rsid w:val="005C27CA"/>
    <w:rsid w:val="005C2801"/>
    <w:rsid w:val="005C2B34"/>
    <w:rsid w:val="005C2D49"/>
    <w:rsid w:val="005C3C5A"/>
    <w:rsid w:val="005C4224"/>
    <w:rsid w:val="005C445D"/>
    <w:rsid w:val="005C55E6"/>
    <w:rsid w:val="005C58BE"/>
    <w:rsid w:val="005C59AA"/>
    <w:rsid w:val="005C59E1"/>
    <w:rsid w:val="005C66FA"/>
    <w:rsid w:val="005C6C75"/>
    <w:rsid w:val="005C72FC"/>
    <w:rsid w:val="005C736B"/>
    <w:rsid w:val="005C7588"/>
    <w:rsid w:val="005C7AB9"/>
    <w:rsid w:val="005D0B43"/>
    <w:rsid w:val="005D0C3A"/>
    <w:rsid w:val="005D0C56"/>
    <w:rsid w:val="005D0E11"/>
    <w:rsid w:val="005D0E28"/>
    <w:rsid w:val="005D1290"/>
    <w:rsid w:val="005D146B"/>
    <w:rsid w:val="005D18A6"/>
    <w:rsid w:val="005D18E9"/>
    <w:rsid w:val="005D1B73"/>
    <w:rsid w:val="005D1D04"/>
    <w:rsid w:val="005D20FF"/>
    <w:rsid w:val="005D2119"/>
    <w:rsid w:val="005D219A"/>
    <w:rsid w:val="005D257C"/>
    <w:rsid w:val="005D29C1"/>
    <w:rsid w:val="005D2B3A"/>
    <w:rsid w:val="005D3136"/>
    <w:rsid w:val="005D39DC"/>
    <w:rsid w:val="005D3CBC"/>
    <w:rsid w:val="005D3EF9"/>
    <w:rsid w:val="005D4037"/>
    <w:rsid w:val="005D42F1"/>
    <w:rsid w:val="005D439D"/>
    <w:rsid w:val="005D4E32"/>
    <w:rsid w:val="005D4F05"/>
    <w:rsid w:val="005D50B9"/>
    <w:rsid w:val="005D514F"/>
    <w:rsid w:val="005D5200"/>
    <w:rsid w:val="005D5691"/>
    <w:rsid w:val="005D56B9"/>
    <w:rsid w:val="005D58BA"/>
    <w:rsid w:val="005D5AB9"/>
    <w:rsid w:val="005D6557"/>
    <w:rsid w:val="005D6E3A"/>
    <w:rsid w:val="005D705A"/>
    <w:rsid w:val="005D74DF"/>
    <w:rsid w:val="005D750E"/>
    <w:rsid w:val="005D7959"/>
    <w:rsid w:val="005D7C54"/>
    <w:rsid w:val="005E0187"/>
    <w:rsid w:val="005E0CB8"/>
    <w:rsid w:val="005E0DD6"/>
    <w:rsid w:val="005E12BA"/>
    <w:rsid w:val="005E1686"/>
    <w:rsid w:val="005E19F2"/>
    <w:rsid w:val="005E1E1F"/>
    <w:rsid w:val="005E1F1B"/>
    <w:rsid w:val="005E207C"/>
    <w:rsid w:val="005E21AB"/>
    <w:rsid w:val="005E2204"/>
    <w:rsid w:val="005E29AE"/>
    <w:rsid w:val="005E2BB3"/>
    <w:rsid w:val="005E2C13"/>
    <w:rsid w:val="005E2CBA"/>
    <w:rsid w:val="005E3447"/>
    <w:rsid w:val="005E392A"/>
    <w:rsid w:val="005E3B06"/>
    <w:rsid w:val="005E3D40"/>
    <w:rsid w:val="005E3D5D"/>
    <w:rsid w:val="005E3EC7"/>
    <w:rsid w:val="005E472E"/>
    <w:rsid w:val="005E47BF"/>
    <w:rsid w:val="005E49C8"/>
    <w:rsid w:val="005E4F60"/>
    <w:rsid w:val="005E5098"/>
    <w:rsid w:val="005E5447"/>
    <w:rsid w:val="005E54C8"/>
    <w:rsid w:val="005E559E"/>
    <w:rsid w:val="005E55BE"/>
    <w:rsid w:val="005E5B38"/>
    <w:rsid w:val="005E5E10"/>
    <w:rsid w:val="005E6199"/>
    <w:rsid w:val="005E666F"/>
    <w:rsid w:val="005E6716"/>
    <w:rsid w:val="005E6944"/>
    <w:rsid w:val="005E6FC0"/>
    <w:rsid w:val="005E7449"/>
    <w:rsid w:val="005F03C2"/>
    <w:rsid w:val="005F0504"/>
    <w:rsid w:val="005F0C81"/>
    <w:rsid w:val="005F119E"/>
    <w:rsid w:val="005F1CAD"/>
    <w:rsid w:val="005F2677"/>
    <w:rsid w:val="005F2A2F"/>
    <w:rsid w:val="005F2B6E"/>
    <w:rsid w:val="005F2E04"/>
    <w:rsid w:val="005F3430"/>
    <w:rsid w:val="005F3A19"/>
    <w:rsid w:val="005F3EFB"/>
    <w:rsid w:val="005F4160"/>
    <w:rsid w:val="005F433E"/>
    <w:rsid w:val="005F44D1"/>
    <w:rsid w:val="005F48C4"/>
    <w:rsid w:val="005F4AD8"/>
    <w:rsid w:val="005F4F01"/>
    <w:rsid w:val="005F635A"/>
    <w:rsid w:val="005F640C"/>
    <w:rsid w:val="005F6521"/>
    <w:rsid w:val="005F666F"/>
    <w:rsid w:val="005F670E"/>
    <w:rsid w:val="005F6CE2"/>
    <w:rsid w:val="005F6DC6"/>
    <w:rsid w:val="005F6F14"/>
    <w:rsid w:val="005F7405"/>
    <w:rsid w:val="005F7775"/>
    <w:rsid w:val="006007EB"/>
    <w:rsid w:val="006013F6"/>
    <w:rsid w:val="00601A55"/>
    <w:rsid w:val="00601B79"/>
    <w:rsid w:val="0060232B"/>
    <w:rsid w:val="006029A6"/>
    <w:rsid w:val="00602CB4"/>
    <w:rsid w:val="00602D68"/>
    <w:rsid w:val="006031CD"/>
    <w:rsid w:val="0060325B"/>
    <w:rsid w:val="00603E01"/>
    <w:rsid w:val="00604305"/>
    <w:rsid w:val="00604543"/>
    <w:rsid w:val="0060457C"/>
    <w:rsid w:val="006048F8"/>
    <w:rsid w:val="006049A9"/>
    <w:rsid w:val="006054A4"/>
    <w:rsid w:val="00605FD0"/>
    <w:rsid w:val="00606DC6"/>
    <w:rsid w:val="0060723A"/>
    <w:rsid w:val="0060729D"/>
    <w:rsid w:val="006101C2"/>
    <w:rsid w:val="006102A4"/>
    <w:rsid w:val="006103BA"/>
    <w:rsid w:val="00610932"/>
    <w:rsid w:val="00610C69"/>
    <w:rsid w:val="00610C77"/>
    <w:rsid w:val="00610E31"/>
    <w:rsid w:val="00611026"/>
    <w:rsid w:val="006115C6"/>
    <w:rsid w:val="006118C4"/>
    <w:rsid w:val="00611BD2"/>
    <w:rsid w:val="0061204C"/>
    <w:rsid w:val="00612124"/>
    <w:rsid w:val="006123B9"/>
    <w:rsid w:val="00612C80"/>
    <w:rsid w:val="00613088"/>
    <w:rsid w:val="0061311B"/>
    <w:rsid w:val="00613332"/>
    <w:rsid w:val="00613880"/>
    <w:rsid w:val="00613F42"/>
    <w:rsid w:val="00614073"/>
    <w:rsid w:val="006140E4"/>
    <w:rsid w:val="00614403"/>
    <w:rsid w:val="00614B4E"/>
    <w:rsid w:val="00614CB4"/>
    <w:rsid w:val="00614CFB"/>
    <w:rsid w:val="00614F92"/>
    <w:rsid w:val="00615229"/>
    <w:rsid w:val="006160E9"/>
    <w:rsid w:val="00616237"/>
    <w:rsid w:val="00616ACD"/>
    <w:rsid w:val="006172C4"/>
    <w:rsid w:val="00617933"/>
    <w:rsid w:val="006200E9"/>
    <w:rsid w:val="00621377"/>
    <w:rsid w:val="0062156D"/>
    <w:rsid w:val="0062163A"/>
    <w:rsid w:val="006216EE"/>
    <w:rsid w:val="006217AD"/>
    <w:rsid w:val="006218EB"/>
    <w:rsid w:val="00621979"/>
    <w:rsid w:val="006219C4"/>
    <w:rsid w:val="00621DCE"/>
    <w:rsid w:val="006225B0"/>
    <w:rsid w:val="00622BA6"/>
    <w:rsid w:val="00622C3B"/>
    <w:rsid w:val="006230BD"/>
    <w:rsid w:val="0062312B"/>
    <w:rsid w:val="006235C4"/>
    <w:rsid w:val="00623761"/>
    <w:rsid w:val="00623BDC"/>
    <w:rsid w:val="00623C7B"/>
    <w:rsid w:val="00623DE0"/>
    <w:rsid w:val="00624830"/>
    <w:rsid w:val="0062496B"/>
    <w:rsid w:val="00625752"/>
    <w:rsid w:val="00625C03"/>
    <w:rsid w:val="00625C90"/>
    <w:rsid w:val="0062626D"/>
    <w:rsid w:val="00626811"/>
    <w:rsid w:val="00626F56"/>
    <w:rsid w:val="0062756D"/>
    <w:rsid w:val="006279B3"/>
    <w:rsid w:val="00630662"/>
    <w:rsid w:val="00630B1F"/>
    <w:rsid w:val="00630CE0"/>
    <w:rsid w:val="00631C96"/>
    <w:rsid w:val="00631ED7"/>
    <w:rsid w:val="0063225C"/>
    <w:rsid w:val="006322C7"/>
    <w:rsid w:val="00632409"/>
    <w:rsid w:val="0063260B"/>
    <w:rsid w:val="00632E37"/>
    <w:rsid w:val="006330EC"/>
    <w:rsid w:val="00633704"/>
    <w:rsid w:val="00633F21"/>
    <w:rsid w:val="006343DF"/>
    <w:rsid w:val="00634465"/>
    <w:rsid w:val="00634704"/>
    <w:rsid w:val="006347EE"/>
    <w:rsid w:val="00634ABA"/>
    <w:rsid w:val="00634BDC"/>
    <w:rsid w:val="00634F4E"/>
    <w:rsid w:val="006353E0"/>
    <w:rsid w:val="00635931"/>
    <w:rsid w:val="00635B01"/>
    <w:rsid w:val="00636033"/>
    <w:rsid w:val="006360C5"/>
    <w:rsid w:val="00636234"/>
    <w:rsid w:val="0063643C"/>
    <w:rsid w:val="0063651C"/>
    <w:rsid w:val="00637BBB"/>
    <w:rsid w:val="00640480"/>
    <w:rsid w:val="00640EAE"/>
    <w:rsid w:val="00641254"/>
    <w:rsid w:val="00641682"/>
    <w:rsid w:val="00641B02"/>
    <w:rsid w:val="00641EA6"/>
    <w:rsid w:val="006422F1"/>
    <w:rsid w:val="00642A68"/>
    <w:rsid w:val="00642B73"/>
    <w:rsid w:val="00642E77"/>
    <w:rsid w:val="006436E9"/>
    <w:rsid w:val="006437AB"/>
    <w:rsid w:val="006439B4"/>
    <w:rsid w:val="00643A31"/>
    <w:rsid w:val="00644154"/>
    <w:rsid w:val="00644ACD"/>
    <w:rsid w:val="00644F80"/>
    <w:rsid w:val="0064532A"/>
    <w:rsid w:val="00645B8B"/>
    <w:rsid w:val="00645DED"/>
    <w:rsid w:val="006460F0"/>
    <w:rsid w:val="0064649D"/>
    <w:rsid w:val="00646891"/>
    <w:rsid w:val="006470B5"/>
    <w:rsid w:val="00647376"/>
    <w:rsid w:val="006473D2"/>
    <w:rsid w:val="00647672"/>
    <w:rsid w:val="00647D1B"/>
    <w:rsid w:val="00647E57"/>
    <w:rsid w:val="00647F98"/>
    <w:rsid w:val="006502A5"/>
    <w:rsid w:val="006506FE"/>
    <w:rsid w:val="00650C01"/>
    <w:rsid w:val="006511CE"/>
    <w:rsid w:val="006512E7"/>
    <w:rsid w:val="00651414"/>
    <w:rsid w:val="00651492"/>
    <w:rsid w:val="00651619"/>
    <w:rsid w:val="00651661"/>
    <w:rsid w:val="00651871"/>
    <w:rsid w:val="006522EF"/>
    <w:rsid w:val="0065253E"/>
    <w:rsid w:val="00652AC0"/>
    <w:rsid w:val="00652B83"/>
    <w:rsid w:val="00652FB0"/>
    <w:rsid w:val="00653361"/>
    <w:rsid w:val="006533A4"/>
    <w:rsid w:val="0065349E"/>
    <w:rsid w:val="00653800"/>
    <w:rsid w:val="0065383C"/>
    <w:rsid w:val="00653C84"/>
    <w:rsid w:val="00653CD4"/>
    <w:rsid w:val="006540C7"/>
    <w:rsid w:val="00654A1C"/>
    <w:rsid w:val="006551F2"/>
    <w:rsid w:val="006552AF"/>
    <w:rsid w:val="006554D3"/>
    <w:rsid w:val="0065563E"/>
    <w:rsid w:val="00655997"/>
    <w:rsid w:val="00656124"/>
    <w:rsid w:val="006565C5"/>
    <w:rsid w:val="00656CFE"/>
    <w:rsid w:val="00656E61"/>
    <w:rsid w:val="00656E79"/>
    <w:rsid w:val="0065771C"/>
    <w:rsid w:val="0066026E"/>
    <w:rsid w:val="00660866"/>
    <w:rsid w:val="00660F45"/>
    <w:rsid w:val="00660FA4"/>
    <w:rsid w:val="00661DF4"/>
    <w:rsid w:val="0066209C"/>
    <w:rsid w:val="006627A5"/>
    <w:rsid w:val="006627BD"/>
    <w:rsid w:val="00662EBB"/>
    <w:rsid w:val="00662FD9"/>
    <w:rsid w:val="00662FFA"/>
    <w:rsid w:val="006634B8"/>
    <w:rsid w:val="00663606"/>
    <w:rsid w:val="00663672"/>
    <w:rsid w:val="006638F8"/>
    <w:rsid w:val="00663B1B"/>
    <w:rsid w:val="00663F96"/>
    <w:rsid w:val="0066444C"/>
    <w:rsid w:val="00664CBE"/>
    <w:rsid w:val="00664CD8"/>
    <w:rsid w:val="00664E52"/>
    <w:rsid w:val="00665057"/>
    <w:rsid w:val="006652F2"/>
    <w:rsid w:val="006654E2"/>
    <w:rsid w:val="0066564A"/>
    <w:rsid w:val="0066572A"/>
    <w:rsid w:val="00665852"/>
    <w:rsid w:val="0066645D"/>
    <w:rsid w:val="00666614"/>
    <w:rsid w:val="00666627"/>
    <w:rsid w:val="0066666D"/>
    <w:rsid w:val="0066689A"/>
    <w:rsid w:val="0066689D"/>
    <w:rsid w:val="00666FBA"/>
    <w:rsid w:val="006676EA"/>
    <w:rsid w:val="006679B6"/>
    <w:rsid w:val="00670900"/>
    <w:rsid w:val="006709A4"/>
    <w:rsid w:val="00670AFE"/>
    <w:rsid w:val="00670CE2"/>
    <w:rsid w:val="00670FEE"/>
    <w:rsid w:val="006721A4"/>
    <w:rsid w:val="00672302"/>
    <w:rsid w:val="0067269F"/>
    <w:rsid w:val="00672A1A"/>
    <w:rsid w:val="00672AA9"/>
    <w:rsid w:val="00672ADA"/>
    <w:rsid w:val="00672DEB"/>
    <w:rsid w:val="006737C2"/>
    <w:rsid w:val="00673AE1"/>
    <w:rsid w:val="00673CBE"/>
    <w:rsid w:val="00673F75"/>
    <w:rsid w:val="006748C6"/>
    <w:rsid w:val="00674BC9"/>
    <w:rsid w:val="0067539B"/>
    <w:rsid w:val="00675B61"/>
    <w:rsid w:val="00675BFB"/>
    <w:rsid w:val="00675D31"/>
    <w:rsid w:val="00675E0F"/>
    <w:rsid w:val="006763D7"/>
    <w:rsid w:val="00676574"/>
    <w:rsid w:val="00676ADF"/>
    <w:rsid w:val="00676DBF"/>
    <w:rsid w:val="006771B0"/>
    <w:rsid w:val="006774D0"/>
    <w:rsid w:val="00677A36"/>
    <w:rsid w:val="006802A5"/>
    <w:rsid w:val="00680420"/>
    <w:rsid w:val="00680E62"/>
    <w:rsid w:val="00681D9E"/>
    <w:rsid w:val="006820DB"/>
    <w:rsid w:val="0068263C"/>
    <w:rsid w:val="00682BFE"/>
    <w:rsid w:val="00682D4B"/>
    <w:rsid w:val="00682E32"/>
    <w:rsid w:val="006832CF"/>
    <w:rsid w:val="006838E2"/>
    <w:rsid w:val="00683C96"/>
    <w:rsid w:val="00683E7C"/>
    <w:rsid w:val="00683EC0"/>
    <w:rsid w:val="00683FB7"/>
    <w:rsid w:val="00684595"/>
    <w:rsid w:val="00684AE1"/>
    <w:rsid w:val="0068509C"/>
    <w:rsid w:val="006850F5"/>
    <w:rsid w:val="006852F2"/>
    <w:rsid w:val="0068538D"/>
    <w:rsid w:val="00685491"/>
    <w:rsid w:val="00685591"/>
    <w:rsid w:val="00685842"/>
    <w:rsid w:val="00685CD9"/>
    <w:rsid w:val="00685D9F"/>
    <w:rsid w:val="00686076"/>
    <w:rsid w:val="0068615E"/>
    <w:rsid w:val="006861A9"/>
    <w:rsid w:val="00686205"/>
    <w:rsid w:val="00686345"/>
    <w:rsid w:val="0068659E"/>
    <w:rsid w:val="00686715"/>
    <w:rsid w:val="00686896"/>
    <w:rsid w:val="0068713B"/>
    <w:rsid w:val="0068758D"/>
    <w:rsid w:val="00687DE2"/>
    <w:rsid w:val="00687FC7"/>
    <w:rsid w:val="006901EF"/>
    <w:rsid w:val="006906E9"/>
    <w:rsid w:val="00690754"/>
    <w:rsid w:val="006907B0"/>
    <w:rsid w:val="0069092F"/>
    <w:rsid w:val="00690B47"/>
    <w:rsid w:val="00690F7C"/>
    <w:rsid w:val="0069168C"/>
    <w:rsid w:val="00691C75"/>
    <w:rsid w:val="006926E6"/>
    <w:rsid w:val="00692EEB"/>
    <w:rsid w:val="006937C2"/>
    <w:rsid w:val="00693932"/>
    <w:rsid w:val="00693E09"/>
    <w:rsid w:val="00693E53"/>
    <w:rsid w:val="0069427A"/>
    <w:rsid w:val="00694327"/>
    <w:rsid w:val="006949A8"/>
    <w:rsid w:val="00694A67"/>
    <w:rsid w:val="00694CCD"/>
    <w:rsid w:val="00694F63"/>
    <w:rsid w:val="00694F72"/>
    <w:rsid w:val="006955A5"/>
    <w:rsid w:val="00695E97"/>
    <w:rsid w:val="00696012"/>
    <w:rsid w:val="00696283"/>
    <w:rsid w:val="006962E7"/>
    <w:rsid w:val="006963C5"/>
    <w:rsid w:val="0069648C"/>
    <w:rsid w:val="006966B3"/>
    <w:rsid w:val="00696754"/>
    <w:rsid w:val="0069683A"/>
    <w:rsid w:val="00696C0A"/>
    <w:rsid w:val="00696D0A"/>
    <w:rsid w:val="00696FC2"/>
    <w:rsid w:val="006972DC"/>
    <w:rsid w:val="0069754F"/>
    <w:rsid w:val="006975E4"/>
    <w:rsid w:val="006976F6"/>
    <w:rsid w:val="00697D18"/>
    <w:rsid w:val="006A0678"/>
    <w:rsid w:val="006A1183"/>
    <w:rsid w:val="006A1538"/>
    <w:rsid w:val="006A183E"/>
    <w:rsid w:val="006A2565"/>
    <w:rsid w:val="006A28B8"/>
    <w:rsid w:val="006A2A4D"/>
    <w:rsid w:val="006A3C46"/>
    <w:rsid w:val="006A446A"/>
    <w:rsid w:val="006A4539"/>
    <w:rsid w:val="006A4682"/>
    <w:rsid w:val="006A46D0"/>
    <w:rsid w:val="006A49D8"/>
    <w:rsid w:val="006A4A5C"/>
    <w:rsid w:val="006A4D9E"/>
    <w:rsid w:val="006A4F55"/>
    <w:rsid w:val="006A4FF4"/>
    <w:rsid w:val="006A5215"/>
    <w:rsid w:val="006A55C3"/>
    <w:rsid w:val="006A5A0B"/>
    <w:rsid w:val="006A5CD2"/>
    <w:rsid w:val="006A5EA7"/>
    <w:rsid w:val="006A680B"/>
    <w:rsid w:val="006A6A16"/>
    <w:rsid w:val="006A6C59"/>
    <w:rsid w:val="006A6D51"/>
    <w:rsid w:val="006A7381"/>
    <w:rsid w:val="006A786A"/>
    <w:rsid w:val="006A7EFE"/>
    <w:rsid w:val="006B0084"/>
    <w:rsid w:val="006B02E4"/>
    <w:rsid w:val="006B06D7"/>
    <w:rsid w:val="006B0D7A"/>
    <w:rsid w:val="006B0DD3"/>
    <w:rsid w:val="006B17EF"/>
    <w:rsid w:val="006B1A57"/>
    <w:rsid w:val="006B1C77"/>
    <w:rsid w:val="006B1D2C"/>
    <w:rsid w:val="006B23CA"/>
    <w:rsid w:val="006B2757"/>
    <w:rsid w:val="006B2E81"/>
    <w:rsid w:val="006B35A1"/>
    <w:rsid w:val="006B3AC2"/>
    <w:rsid w:val="006B428D"/>
    <w:rsid w:val="006B4337"/>
    <w:rsid w:val="006B4A43"/>
    <w:rsid w:val="006B5476"/>
    <w:rsid w:val="006B56DE"/>
    <w:rsid w:val="006B580A"/>
    <w:rsid w:val="006B5B00"/>
    <w:rsid w:val="006B6ACD"/>
    <w:rsid w:val="006B6D94"/>
    <w:rsid w:val="006B7069"/>
    <w:rsid w:val="006B726D"/>
    <w:rsid w:val="006B728B"/>
    <w:rsid w:val="006B72AE"/>
    <w:rsid w:val="006B745D"/>
    <w:rsid w:val="006B761C"/>
    <w:rsid w:val="006B7A57"/>
    <w:rsid w:val="006C07CD"/>
    <w:rsid w:val="006C0D71"/>
    <w:rsid w:val="006C2185"/>
    <w:rsid w:val="006C2498"/>
    <w:rsid w:val="006C2CFD"/>
    <w:rsid w:val="006C323F"/>
    <w:rsid w:val="006C337F"/>
    <w:rsid w:val="006C3C2D"/>
    <w:rsid w:val="006C3D2A"/>
    <w:rsid w:val="006C466E"/>
    <w:rsid w:val="006C49B1"/>
    <w:rsid w:val="006C4DBA"/>
    <w:rsid w:val="006C52F2"/>
    <w:rsid w:val="006C5518"/>
    <w:rsid w:val="006C5612"/>
    <w:rsid w:val="006C6414"/>
    <w:rsid w:val="006C6512"/>
    <w:rsid w:val="006C658E"/>
    <w:rsid w:val="006C66FE"/>
    <w:rsid w:val="006C6983"/>
    <w:rsid w:val="006C6C58"/>
    <w:rsid w:val="006C6E01"/>
    <w:rsid w:val="006C6FF0"/>
    <w:rsid w:val="006C7722"/>
    <w:rsid w:val="006C7DB3"/>
    <w:rsid w:val="006D0158"/>
    <w:rsid w:val="006D025F"/>
    <w:rsid w:val="006D0F5B"/>
    <w:rsid w:val="006D1029"/>
    <w:rsid w:val="006D171C"/>
    <w:rsid w:val="006D19BA"/>
    <w:rsid w:val="006D206D"/>
    <w:rsid w:val="006D271F"/>
    <w:rsid w:val="006D28D5"/>
    <w:rsid w:val="006D2970"/>
    <w:rsid w:val="006D3284"/>
    <w:rsid w:val="006D36AE"/>
    <w:rsid w:val="006D411F"/>
    <w:rsid w:val="006D55D9"/>
    <w:rsid w:val="006D56EC"/>
    <w:rsid w:val="006D671C"/>
    <w:rsid w:val="006D6B75"/>
    <w:rsid w:val="006D6D6E"/>
    <w:rsid w:val="006D6EB3"/>
    <w:rsid w:val="006D70CB"/>
    <w:rsid w:val="006D77F5"/>
    <w:rsid w:val="006D7B60"/>
    <w:rsid w:val="006D7EB1"/>
    <w:rsid w:val="006E076A"/>
    <w:rsid w:val="006E0D6D"/>
    <w:rsid w:val="006E19C5"/>
    <w:rsid w:val="006E1A51"/>
    <w:rsid w:val="006E1A58"/>
    <w:rsid w:val="006E227F"/>
    <w:rsid w:val="006E22E6"/>
    <w:rsid w:val="006E2428"/>
    <w:rsid w:val="006E2C38"/>
    <w:rsid w:val="006E31B5"/>
    <w:rsid w:val="006E37A0"/>
    <w:rsid w:val="006E385F"/>
    <w:rsid w:val="006E38B1"/>
    <w:rsid w:val="006E3C1C"/>
    <w:rsid w:val="006E433F"/>
    <w:rsid w:val="006E4801"/>
    <w:rsid w:val="006E59AA"/>
    <w:rsid w:val="006E5BD6"/>
    <w:rsid w:val="006E615A"/>
    <w:rsid w:val="006E6427"/>
    <w:rsid w:val="006E6477"/>
    <w:rsid w:val="006E67A0"/>
    <w:rsid w:val="006E6AE8"/>
    <w:rsid w:val="006E6D08"/>
    <w:rsid w:val="006E71CF"/>
    <w:rsid w:val="006E7332"/>
    <w:rsid w:val="006F0CD3"/>
    <w:rsid w:val="006F1773"/>
    <w:rsid w:val="006F180D"/>
    <w:rsid w:val="006F2476"/>
    <w:rsid w:val="006F2A99"/>
    <w:rsid w:val="006F2AF0"/>
    <w:rsid w:val="006F2FA8"/>
    <w:rsid w:val="006F37C4"/>
    <w:rsid w:val="006F3DD0"/>
    <w:rsid w:val="006F46DD"/>
    <w:rsid w:val="006F4871"/>
    <w:rsid w:val="006F4AAD"/>
    <w:rsid w:val="006F51CF"/>
    <w:rsid w:val="006F5437"/>
    <w:rsid w:val="006F55FE"/>
    <w:rsid w:val="006F5687"/>
    <w:rsid w:val="006F57C4"/>
    <w:rsid w:val="006F57C7"/>
    <w:rsid w:val="006F5E3D"/>
    <w:rsid w:val="006F67ED"/>
    <w:rsid w:val="006F7346"/>
    <w:rsid w:val="006F7BB5"/>
    <w:rsid w:val="006F7CFA"/>
    <w:rsid w:val="006F7D80"/>
    <w:rsid w:val="006F7E83"/>
    <w:rsid w:val="00700639"/>
    <w:rsid w:val="007008D8"/>
    <w:rsid w:val="00700F0C"/>
    <w:rsid w:val="00700F38"/>
    <w:rsid w:val="007011FE"/>
    <w:rsid w:val="0070148F"/>
    <w:rsid w:val="0070167B"/>
    <w:rsid w:val="00701D58"/>
    <w:rsid w:val="00702292"/>
    <w:rsid w:val="00702325"/>
    <w:rsid w:val="0070301C"/>
    <w:rsid w:val="007036A8"/>
    <w:rsid w:val="007037D7"/>
    <w:rsid w:val="00703AA0"/>
    <w:rsid w:val="00703E52"/>
    <w:rsid w:val="00703EE3"/>
    <w:rsid w:val="007042D2"/>
    <w:rsid w:val="00705449"/>
    <w:rsid w:val="0070595D"/>
    <w:rsid w:val="00705A25"/>
    <w:rsid w:val="00705BD2"/>
    <w:rsid w:val="00706388"/>
    <w:rsid w:val="00706D7A"/>
    <w:rsid w:val="0070721F"/>
    <w:rsid w:val="00707501"/>
    <w:rsid w:val="007075D9"/>
    <w:rsid w:val="007076FD"/>
    <w:rsid w:val="0070777F"/>
    <w:rsid w:val="0070796B"/>
    <w:rsid w:val="00707D5D"/>
    <w:rsid w:val="00707FE6"/>
    <w:rsid w:val="007104BB"/>
    <w:rsid w:val="0071093F"/>
    <w:rsid w:val="00711AF8"/>
    <w:rsid w:val="00711BBB"/>
    <w:rsid w:val="00711C5A"/>
    <w:rsid w:val="00711EBA"/>
    <w:rsid w:val="00711F0D"/>
    <w:rsid w:val="00712308"/>
    <w:rsid w:val="0071252A"/>
    <w:rsid w:val="00712789"/>
    <w:rsid w:val="00712AC9"/>
    <w:rsid w:val="00712C21"/>
    <w:rsid w:val="00712CED"/>
    <w:rsid w:val="00712E34"/>
    <w:rsid w:val="0071460D"/>
    <w:rsid w:val="00714DD4"/>
    <w:rsid w:val="00714EAF"/>
    <w:rsid w:val="007153E3"/>
    <w:rsid w:val="007154CF"/>
    <w:rsid w:val="00715724"/>
    <w:rsid w:val="007158B1"/>
    <w:rsid w:val="007160CD"/>
    <w:rsid w:val="0071670F"/>
    <w:rsid w:val="00716862"/>
    <w:rsid w:val="00720029"/>
    <w:rsid w:val="007200C9"/>
    <w:rsid w:val="0072043D"/>
    <w:rsid w:val="00720C49"/>
    <w:rsid w:val="00720D7A"/>
    <w:rsid w:val="00721DEE"/>
    <w:rsid w:val="00721DFF"/>
    <w:rsid w:val="00722143"/>
    <w:rsid w:val="0072263D"/>
    <w:rsid w:val="007239EF"/>
    <w:rsid w:val="00723EBC"/>
    <w:rsid w:val="00723FE9"/>
    <w:rsid w:val="007245EE"/>
    <w:rsid w:val="007247DC"/>
    <w:rsid w:val="007248D7"/>
    <w:rsid w:val="007248DA"/>
    <w:rsid w:val="00724D9E"/>
    <w:rsid w:val="00724DAE"/>
    <w:rsid w:val="00724F1C"/>
    <w:rsid w:val="00725054"/>
    <w:rsid w:val="0072520C"/>
    <w:rsid w:val="007256DC"/>
    <w:rsid w:val="00725935"/>
    <w:rsid w:val="00725956"/>
    <w:rsid w:val="00726104"/>
    <w:rsid w:val="007261F2"/>
    <w:rsid w:val="00726311"/>
    <w:rsid w:val="00726A16"/>
    <w:rsid w:val="007301DE"/>
    <w:rsid w:val="007303B2"/>
    <w:rsid w:val="00730431"/>
    <w:rsid w:val="00730848"/>
    <w:rsid w:val="00731387"/>
    <w:rsid w:val="0073175C"/>
    <w:rsid w:val="0073247D"/>
    <w:rsid w:val="00732632"/>
    <w:rsid w:val="007328E1"/>
    <w:rsid w:val="00732AA1"/>
    <w:rsid w:val="007331D8"/>
    <w:rsid w:val="0073324C"/>
    <w:rsid w:val="00733F08"/>
    <w:rsid w:val="00733FB0"/>
    <w:rsid w:val="0073424E"/>
    <w:rsid w:val="00734337"/>
    <w:rsid w:val="007347AC"/>
    <w:rsid w:val="00734927"/>
    <w:rsid w:val="00734CCC"/>
    <w:rsid w:val="00734F95"/>
    <w:rsid w:val="00734FB3"/>
    <w:rsid w:val="007350E3"/>
    <w:rsid w:val="00735334"/>
    <w:rsid w:val="0073559C"/>
    <w:rsid w:val="00735CA8"/>
    <w:rsid w:val="00735DCC"/>
    <w:rsid w:val="0073647B"/>
    <w:rsid w:val="00736823"/>
    <w:rsid w:val="00736D99"/>
    <w:rsid w:val="00737D35"/>
    <w:rsid w:val="00737D7F"/>
    <w:rsid w:val="00737F44"/>
    <w:rsid w:val="00737FEB"/>
    <w:rsid w:val="007402AA"/>
    <w:rsid w:val="007406BD"/>
    <w:rsid w:val="00741AD8"/>
    <w:rsid w:val="00741B78"/>
    <w:rsid w:val="00741F63"/>
    <w:rsid w:val="00742417"/>
    <w:rsid w:val="007425F1"/>
    <w:rsid w:val="00742789"/>
    <w:rsid w:val="00742B2E"/>
    <w:rsid w:val="00742FE9"/>
    <w:rsid w:val="007431D0"/>
    <w:rsid w:val="007435A0"/>
    <w:rsid w:val="007436A5"/>
    <w:rsid w:val="00743795"/>
    <w:rsid w:val="00743868"/>
    <w:rsid w:val="00743E3A"/>
    <w:rsid w:val="00743F0F"/>
    <w:rsid w:val="00744774"/>
    <w:rsid w:val="00744B43"/>
    <w:rsid w:val="00744D3E"/>
    <w:rsid w:val="00744E66"/>
    <w:rsid w:val="0074512A"/>
    <w:rsid w:val="00745A8F"/>
    <w:rsid w:val="00745E0F"/>
    <w:rsid w:val="00745F48"/>
    <w:rsid w:val="0074635D"/>
    <w:rsid w:val="007471D5"/>
    <w:rsid w:val="007479B4"/>
    <w:rsid w:val="00747D10"/>
    <w:rsid w:val="00747D3F"/>
    <w:rsid w:val="0075009A"/>
    <w:rsid w:val="0075012E"/>
    <w:rsid w:val="007502C3"/>
    <w:rsid w:val="00750592"/>
    <w:rsid w:val="00750A22"/>
    <w:rsid w:val="00750B76"/>
    <w:rsid w:val="00750C65"/>
    <w:rsid w:val="007510D6"/>
    <w:rsid w:val="007518C4"/>
    <w:rsid w:val="007522E2"/>
    <w:rsid w:val="00752984"/>
    <w:rsid w:val="00752ACD"/>
    <w:rsid w:val="00752B78"/>
    <w:rsid w:val="00752D2F"/>
    <w:rsid w:val="00753B87"/>
    <w:rsid w:val="00753C88"/>
    <w:rsid w:val="00754097"/>
    <w:rsid w:val="00754315"/>
    <w:rsid w:val="00754D35"/>
    <w:rsid w:val="00754DDE"/>
    <w:rsid w:val="007555E6"/>
    <w:rsid w:val="00755A01"/>
    <w:rsid w:val="007561CA"/>
    <w:rsid w:val="0075646D"/>
    <w:rsid w:val="00756709"/>
    <w:rsid w:val="00756CB1"/>
    <w:rsid w:val="00757459"/>
    <w:rsid w:val="007575DE"/>
    <w:rsid w:val="00757A0C"/>
    <w:rsid w:val="00757A1E"/>
    <w:rsid w:val="00757A67"/>
    <w:rsid w:val="007601A0"/>
    <w:rsid w:val="00760586"/>
    <w:rsid w:val="00760AB3"/>
    <w:rsid w:val="00760D4D"/>
    <w:rsid w:val="00761BDA"/>
    <w:rsid w:val="00761C85"/>
    <w:rsid w:val="00761E75"/>
    <w:rsid w:val="00762285"/>
    <w:rsid w:val="007627C7"/>
    <w:rsid w:val="00762ADC"/>
    <w:rsid w:val="00763626"/>
    <w:rsid w:val="007644F3"/>
    <w:rsid w:val="00764568"/>
    <w:rsid w:val="007645B7"/>
    <w:rsid w:val="00764C1D"/>
    <w:rsid w:val="00764F4D"/>
    <w:rsid w:val="007657EE"/>
    <w:rsid w:val="00765806"/>
    <w:rsid w:val="00765B6E"/>
    <w:rsid w:val="00765F2F"/>
    <w:rsid w:val="00765F47"/>
    <w:rsid w:val="0076613B"/>
    <w:rsid w:val="00766409"/>
    <w:rsid w:val="0076649B"/>
    <w:rsid w:val="00766C0B"/>
    <w:rsid w:val="00766C10"/>
    <w:rsid w:val="00767660"/>
    <w:rsid w:val="0076798A"/>
    <w:rsid w:val="00767B93"/>
    <w:rsid w:val="00767FAE"/>
    <w:rsid w:val="00767FB9"/>
    <w:rsid w:val="00770907"/>
    <w:rsid w:val="00770990"/>
    <w:rsid w:val="0077106D"/>
    <w:rsid w:val="0077122D"/>
    <w:rsid w:val="007714F3"/>
    <w:rsid w:val="00771C39"/>
    <w:rsid w:val="00771D40"/>
    <w:rsid w:val="00771F2D"/>
    <w:rsid w:val="007720BA"/>
    <w:rsid w:val="007723A3"/>
    <w:rsid w:val="007723DE"/>
    <w:rsid w:val="0077324E"/>
    <w:rsid w:val="00773458"/>
    <w:rsid w:val="00773A26"/>
    <w:rsid w:val="00773C5E"/>
    <w:rsid w:val="00773F9D"/>
    <w:rsid w:val="00774198"/>
    <w:rsid w:val="007744E8"/>
    <w:rsid w:val="00774624"/>
    <w:rsid w:val="00774648"/>
    <w:rsid w:val="007746C7"/>
    <w:rsid w:val="00774B86"/>
    <w:rsid w:val="00774D56"/>
    <w:rsid w:val="00774F51"/>
    <w:rsid w:val="00774F6D"/>
    <w:rsid w:val="0077506F"/>
    <w:rsid w:val="0077514F"/>
    <w:rsid w:val="00775396"/>
    <w:rsid w:val="00775A3F"/>
    <w:rsid w:val="00775E87"/>
    <w:rsid w:val="00776AE9"/>
    <w:rsid w:val="00777854"/>
    <w:rsid w:val="00777A1C"/>
    <w:rsid w:val="00780062"/>
    <w:rsid w:val="007801EC"/>
    <w:rsid w:val="00780439"/>
    <w:rsid w:val="00780E4F"/>
    <w:rsid w:val="00780FA7"/>
    <w:rsid w:val="007811CC"/>
    <w:rsid w:val="00781363"/>
    <w:rsid w:val="00781745"/>
    <w:rsid w:val="00781834"/>
    <w:rsid w:val="007818AC"/>
    <w:rsid w:val="00781EEF"/>
    <w:rsid w:val="007821CA"/>
    <w:rsid w:val="0078240A"/>
    <w:rsid w:val="0078260C"/>
    <w:rsid w:val="00782B8E"/>
    <w:rsid w:val="00782EB0"/>
    <w:rsid w:val="0078353F"/>
    <w:rsid w:val="007839F8"/>
    <w:rsid w:val="00783A64"/>
    <w:rsid w:val="00783EB1"/>
    <w:rsid w:val="00783F24"/>
    <w:rsid w:val="0078430E"/>
    <w:rsid w:val="0078470E"/>
    <w:rsid w:val="00784C64"/>
    <w:rsid w:val="00784E99"/>
    <w:rsid w:val="00785369"/>
    <w:rsid w:val="00785436"/>
    <w:rsid w:val="0078547F"/>
    <w:rsid w:val="007859D7"/>
    <w:rsid w:val="00786440"/>
    <w:rsid w:val="007866EC"/>
    <w:rsid w:val="0078675D"/>
    <w:rsid w:val="00786918"/>
    <w:rsid w:val="00786AA3"/>
    <w:rsid w:val="00786C46"/>
    <w:rsid w:val="00786E40"/>
    <w:rsid w:val="00786F4E"/>
    <w:rsid w:val="007870F2"/>
    <w:rsid w:val="00787245"/>
    <w:rsid w:val="007879D4"/>
    <w:rsid w:val="00787B7A"/>
    <w:rsid w:val="00787BB9"/>
    <w:rsid w:val="00790101"/>
    <w:rsid w:val="0079041F"/>
    <w:rsid w:val="00790574"/>
    <w:rsid w:val="00790708"/>
    <w:rsid w:val="007907A3"/>
    <w:rsid w:val="00790C6B"/>
    <w:rsid w:val="00791112"/>
    <w:rsid w:val="0079121B"/>
    <w:rsid w:val="00791288"/>
    <w:rsid w:val="00791290"/>
    <w:rsid w:val="00791622"/>
    <w:rsid w:val="00791CC2"/>
    <w:rsid w:val="00792069"/>
    <w:rsid w:val="0079207A"/>
    <w:rsid w:val="0079239B"/>
    <w:rsid w:val="007924CC"/>
    <w:rsid w:val="007929F3"/>
    <w:rsid w:val="00793482"/>
    <w:rsid w:val="00793784"/>
    <w:rsid w:val="00793B71"/>
    <w:rsid w:val="00793B93"/>
    <w:rsid w:val="00793C54"/>
    <w:rsid w:val="00793F58"/>
    <w:rsid w:val="00794FAA"/>
    <w:rsid w:val="00795CBF"/>
    <w:rsid w:val="00795D78"/>
    <w:rsid w:val="007969B2"/>
    <w:rsid w:val="00796D41"/>
    <w:rsid w:val="00796F52"/>
    <w:rsid w:val="00796FEE"/>
    <w:rsid w:val="00797A5A"/>
    <w:rsid w:val="00797BCA"/>
    <w:rsid w:val="00797F4F"/>
    <w:rsid w:val="007A0305"/>
    <w:rsid w:val="007A1212"/>
    <w:rsid w:val="007A1495"/>
    <w:rsid w:val="007A1513"/>
    <w:rsid w:val="007A1F20"/>
    <w:rsid w:val="007A216E"/>
    <w:rsid w:val="007A2412"/>
    <w:rsid w:val="007A268D"/>
    <w:rsid w:val="007A294F"/>
    <w:rsid w:val="007A2DAF"/>
    <w:rsid w:val="007A3AF7"/>
    <w:rsid w:val="007A3D11"/>
    <w:rsid w:val="007A3E62"/>
    <w:rsid w:val="007A3F18"/>
    <w:rsid w:val="007A44C7"/>
    <w:rsid w:val="007A488E"/>
    <w:rsid w:val="007A593F"/>
    <w:rsid w:val="007A5D0D"/>
    <w:rsid w:val="007A6173"/>
    <w:rsid w:val="007A696A"/>
    <w:rsid w:val="007A6B78"/>
    <w:rsid w:val="007A71E6"/>
    <w:rsid w:val="007A7720"/>
    <w:rsid w:val="007A7BDD"/>
    <w:rsid w:val="007A7FFD"/>
    <w:rsid w:val="007B000E"/>
    <w:rsid w:val="007B0D66"/>
    <w:rsid w:val="007B123A"/>
    <w:rsid w:val="007B1668"/>
    <w:rsid w:val="007B1CE3"/>
    <w:rsid w:val="007B21C6"/>
    <w:rsid w:val="007B2651"/>
    <w:rsid w:val="007B28B7"/>
    <w:rsid w:val="007B2AE1"/>
    <w:rsid w:val="007B3671"/>
    <w:rsid w:val="007B3E8A"/>
    <w:rsid w:val="007B42E0"/>
    <w:rsid w:val="007B4B75"/>
    <w:rsid w:val="007B4EEA"/>
    <w:rsid w:val="007B508F"/>
    <w:rsid w:val="007B5B10"/>
    <w:rsid w:val="007B5C50"/>
    <w:rsid w:val="007B5CBE"/>
    <w:rsid w:val="007B6052"/>
    <w:rsid w:val="007B629B"/>
    <w:rsid w:val="007B6301"/>
    <w:rsid w:val="007B65C5"/>
    <w:rsid w:val="007B678D"/>
    <w:rsid w:val="007B686B"/>
    <w:rsid w:val="007B6E42"/>
    <w:rsid w:val="007B797E"/>
    <w:rsid w:val="007B7A4E"/>
    <w:rsid w:val="007B7B4D"/>
    <w:rsid w:val="007B7BAC"/>
    <w:rsid w:val="007B7DC5"/>
    <w:rsid w:val="007B7F24"/>
    <w:rsid w:val="007C0312"/>
    <w:rsid w:val="007C107D"/>
    <w:rsid w:val="007C1D40"/>
    <w:rsid w:val="007C2163"/>
    <w:rsid w:val="007C268F"/>
    <w:rsid w:val="007C2916"/>
    <w:rsid w:val="007C2956"/>
    <w:rsid w:val="007C2B8B"/>
    <w:rsid w:val="007C2E04"/>
    <w:rsid w:val="007C2E29"/>
    <w:rsid w:val="007C333D"/>
    <w:rsid w:val="007C3E7B"/>
    <w:rsid w:val="007C3EC1"/>
    <w:rsid w:val="007C4110"/>
    <w:rsid w:val="007C4570"/>
    <w:rsid w:val="007C4AB1"/>
    <w:rsid w:val="007C529E"/>
    <w:rsid w:val="007C5475"/>
    <w:rsid w:val="007C5816"/>
    <w:rsid w:val="007C5DF6"/>
    <w:rsid w:val="007C5FB9"/>
    <w:rsid w:val="007C60A4"/>
    <w:rsid w:val="007C7469"/>
    <w:rsid w:val="007C7611"/>
    <w:rsid w:val="007C7BD7"/>
    <w:rsid w:val="007D0267"/>
    <w:rsid w:val="007D05FA"/>
    <w:rsid w:val="007D0A2C"/>
    <w:rsid w:val="007D0D39"/>
    <w:rsid w:val="007D0F10"/>
    <w:rsid w:val="007D17D4"/>
    <w:rsid w:val="007D184D"/>
    <w:rsid w:val="007D1997"/>
    <w:rsid w:val="007D1CF7"/>
    <w:rsid w:val="007D2B1B"/>
    <w:rsid w:val="007D2DEC"/>
    <w:rsid w:val="007D3469"/>
    <w:rsid w:val="007D3FEB"/>
    <w:rsid w:val="007D40BC"/>
    <w:rsid w:val="007D423D"/>
    <w:rsid w:val="007D4681"/>
    <w:rsid w:val="007D473B"/>
    <w:rsid w:val="007D4B72"/>
    <w:rsid w:val="007D4C7F"/>
    <w:rsid w:val="007D4E08"/>
    <w:rsid w:val="007D511F"/>
    <w:rsid w:val="007D5955"/>
    <w:rsid w:val="007D5CC7"/>
    <w:rsid w:val="007D5D60"/>
    <w:rsid w:val="007D60DC"/>
    <w:rsid w:val="007D61CE"/>
    <w:rsid w:val="007D6A75"/>
    <w:rsid w:val="007D6CD1"/>
    <w:rsid w:val="007D6FE7"/>
    <w:rsid w:val="007D75E5"/>
    <w:rsid w:val="007D77A8"/>
    <w:rsid w:val="007D7FCD"/>
    <w:rsid w:val="007E0086"/>
    <w:rsid w:val="007E0299"/>
    <w:rsid w:val="007E0949"/>
    <w:rsid w:val="007E0BA6"/>
    <w:rsid w:val="007E0C30"/>
    <w:rsid w:val="007E1388"/>
    <w:rsid w:val="007E13E4"/>
    <w:rsid w:val="007E156D"/>
    <w:rsid w:val="007E1910"/>
    <w:rsid w:val="007E1930"/>
    <w:rsid w:val="007E1D68"/>
    <w:rsid w:val="007E1E83"/>
    <w:rsid w:val="007E2235"/>
    <w:rsid w:val="007E2C46"/>
    <w:rsid w:val="007E2EC2"/>
    <w:rsid w:val="007E31E7"/>
    <w:rsid w:val="007E38A1"/>
    <w:rsid w:val="007E3B2E"/>
    <w:rsid w:val="007E524C"/>
    <w:rsid w:val="007E5542"/>
    <w:rsid w:val="007E5979"/>
    <w:rsid w:val="007E5FAF"/>
    <w:rsid w:val="007E6766"/>
    <w:rsid w:val="007E69FA"/>
    <w:rsid w:val="007E6ADA"/>
    <w:rsid w:val="007E6DD0"/>
    <w:rsid w:val="007E70A4"/>
    <w:rsid w:val="007E79F6"/>
    <w:rsid w:val="007E7AF1"/>
    <w:rsid w:val="007F0376"/>
    <w:rsid w:val="007F08C2"/>
    <w:rsid w:val="007F0ABA"/>
    <w:rsid w:val="007F0B98"/>
    <w:rsid w:val="007F12DF"/>
    <w:rsid w:val="007F1A72"/>
    <w:rsid w:val="007F2002"/>
    <w:rsid w:val="007F224B"/>
    <w:rsid w:val="007F23ED"/>
    <w:rsid w:val="007F338E"/>
    <w:rsid w:val="007F38C7"/>
    <w:rsid w:val="007F39E4"/>
    <w:rsid w:val="007F4547"/>
    <w:rsid w:val="007F4F2B"/>
    <w:rsid w:val="007F5767"/>
    <w:rsid w:val="007F5B82"/>
    <w:rsid w:val="007F6D4D"/>
    <w:rsid w:val="007F6F6D"/>
    <w:rsid w:val="007F7742"/>
    <w:rsid w:val="007F78B8"/>
    <w:rsid w:val="00800416"/>
    <w:rsid w:val="00800679"/>
    <w:rsid w:val="00800D69"/>
    <w:rsid w:val="00801A6B"/>
    <w:rsid w:val="00801F63"/>
    <w:rsid w:val="008020C9"/>
    <w:rsid w:val="008020F3"/>
    <w:rsid w:val="0080252C"/>
    <w:rsid w:val="00802774"/>
    <w:rsid w:val="00802E54"/>
    <w:rsid w:val="008031BE"/>
    <w:rsid w:val="00803376"/>
    <w:rsid w:val="008037EB"/>
    <w:rsid w:val="008039F6"/>
    <w:rsid w:val="00803A68"/>
    <w:rsid w:val="00803B02"/>
    <w:rsid w:val="008043A8"/>
    <w:rsid w:val="00804B88"/>
    <w:rsid w:val="008050BA"/>
    <w:rsid w:val="0080541E"/>
    <w:rsid w:val="00805819"/>
    <w:rsid w:val="00805868"/>
    <w:rsid w:val="008059CA"/>
    <w:rsid w:val="00805FA8"/>
    <w:rsid w:val="00806EEC"/>
    <w:rsid w:val="00807413"/>
    <w:rsid w:val="00807FBF"/>
    <w:rsid w:val="00810207"/>
    <w:rsid w:val="00810424"/>
    <w:rsid w:val="008104CC"/>
    <w:rsid w:val="008106D6"/>
    <w:rsid w:val="008109A5"/>
    <w:rsid w:val="00810F35"/>
    <w:rsid w:val="00811554"/>
    <w:rsid w:val="008118C1"/>
    <w:rsid w:val="00811984"/>
    <w:rsid w:val="00811991"/>
    <w:rsid w:val="00811D92"/>
    <w:rsid w:val="00811ED4"/>
    <w:rsid w:val="00812139"/>
    <w:rsid w:val="00812AD7"/>
    <w:rsid w:val="008130E0"/>
    <w:rsid w:val="008139EB"/>
    <w:rsid w:val="00813C35"/>
    <w:rsid w:val="00813CDE"/>
    <w:rsid w:val="00813CF9"/>
    <w:rsid w:val="0081416A"/>
    <w:rsid w:val="008142AE"/>
    <w:rsid w:val="00814706"/>
    <w:rsid w:val="00814B54"/>
    <w:rsid w:val="00814F15"/>
    <w:rsid w:val="0081511C"/>
    <w:rsid w:val="00815654"/>
    <w:rsid w:val="008159F0"/>
    <w:rsid w:val="00815CD3"/>
    <w:rsid w:val="00816355"/>
    <w:rsid w:val="008165F6"/>
    <w:rsid w:val="00816BB7"/>
    <w:rsid w:val="00816C59"/>
    <w:rsid w:val="008172C8"/>
    <w:rsid w:val="008173D6"/>
    <w:rsid w:val="00817464"/>
    <w:rsid w:val="00817661"/>
    <w:rsid w:val="008178B3"/>
    <w:rsid w:val="008178E8"/>
    <w:rsid w:val="00817B64"/>
    <w:rsid w:val="00817FDF"/>
    <w:rsid w:val="00820410"/>
    <w:rsid w:val="008204D8"/>
    <w:rsid w:val="008205F1"/>
    <w:rsid w:val="008208B0"/>
    <w:rsid w:val="00820CD5"/>
    <w:rsid w:val="00820F69"/>
    <w:rsid w:val="00821031"/>
    <w:rsid w:val="0082108B"/>
    <w:rsid w:val="008213B4"/>
    <w:rsid w:val="00821605"/>
    <w:rsid w:val="0082192A"/>
    <w:rsid w:val="00821DC5"/>
    <w:rsid w:val="008224A0"/>
    <w:rsid w:val="0082254B"/>
    <w:rsid w:val="00822BBA"/>
    <w:rsid w:val="00823032"/>
    <w:rsid w:val="00823A9A"/>
    <w:rsid w:val="0082406E"/>
    <w:rsid w:val="008248D1"/>
    <w:rsid w:val="0082544F"/>
    <w:rsid w:val="00825D7A"/>
    <w:rsid w:val="00825F17"/>
    <w:rsid w:val="00825FA0"/>
    <w:rsid w:val="0082637F"/>
    <w:rsid w:val="00826794"/>
    <w:rsid w:val="008267A6"/>
    <w:rsid w:val="008272D3"/>
    <w:rsid w:val="0082791A"/>
    <w:rsid w:val="00827B1A"/>
    <w:rsid w:val="00830392"/>
    <w:rsid w:val="00830902"/>
    <w:rsid w:val="008309F9"/>
    <w:rsid w:val="00830EFB"/>
    <w:rsid w:val="00830F3A"/>
    <w:rsid w:val="00830F57"/>
    <w:rsid w:val="008310AD"/>
    <w:rsid w:val="00831266"/>
    <w:rsid w:val="00831542"/>
    <w:rsid w:val="0083184C"/>
    <w:rsid w:val="00831B81"/>
    <w:rsid w:val="008322BB"/>
    <w:rsid w:val="00832340"/>
    <w:rsid w:val="00834018"/>
    <w:rsid w:val="0083469E"/>
    <w:rsid w:val="00834875"/>
    <w:rsid w:val="00834B11"/>
    <w:rsid w:val="00834D67"/>
    <w:rsid w:val="008350C3"/>
    <w:rsid w:val="00835687"/>
    <w:rsid w:val="008356C1"/>
    <w:rsid w:val="00835929"/>
    <w:rsid w:val="00835C5B"/>
    <w:rsid w:val="00835EC3"/>
    <w:rsid w:val="0083661E"/>
    <w:rsid w:val="00836641"/>
    <w:rsid w:val="00836FAD"/>
    <w:rsid w:val="0083724F"/>
    <w:rsid w:val="00837357"/>
    <w:rsid w:val="00837358"/>
    <w:rsid w:val="008374B6"/>
    <w:rsid w:val="008378D2"/>
    <w:rsid w:val="00837A14"/>
    <w:rsid w:val="00837A5C"/>
    <w:rsid w:val="00840212"/>
    <w:rsid w:val="0084063A"/>
    <w:rsid w:val="00841063"/>
    <w:rsid w:val="0084108A"/>
    <w:rsid w:val="008411AE"/>
    <w:rsid w:val="00841B28"/>
    <w:rsid w:val="008428DE"/>
    <w:rsid w:val="00842EDE"/>
    <w:rsid w:val="00843619"/>
    <w:rsid w:val="0084482C"/>
    <w:rsid w:val="00844863"/>
    <w:rsid w:val="00844B85"/>
    <w:rsid w:val="00845167"/>
    <w:rsid w:val="00846040"/>
    <w:rsid w:val="008463CE"/>
    <w:rsid w:val="00846A03"/>
    <w:rsid w:val="00846D49"/>
    <w:rsid w:val="00846E69"/>
    <w:rsid w:val="00846FE5"/>
    <w:rsid w:val="008479A5"/>
    <w:rsid w:val="008479B6"/>
    <w:rsid w:val="00847FDA"/>
    <w:rsid w:val="00850048"/>
    <w:rsid w:val="00850E6D"/>
    <w:rsid w:val="00851014"/>
    <w:rsid w:val="008511AF"/>
    <w:rsid w:val="00851A1D"/>
    <w:rsid w:val="00851BEC"/>
    <w:rsid w:val="00851D20"/>
    <w:rsid w:val="00852117"/>
    <w:rsid w:val="00853564"/>
    <w:rsid w:val="00853968"/>
    <w:rsid w:val="0085430E"/>
    <w:rsid w:val="0085471A"/>
    <w:rsid w:val="00855085"/>
    <w:rsid w:val="00855808"/>
    <w:rsid w:val="00855D45"/>
    <w:rsid w:val="0085601E"/>
    <w:rsid w:val="00856032"/>
    <w:rsid w:val="00856858"/>
    <w:rsid w:val="00856871"/>
    <w:rsid w:val="00856B34"/>
    <w:rsid w:val="00856BBD"/>
    <w:rsid w:val="00857511"/>
    <w:rsid w:val="0085768E"/>
    <w:rsid w:val="00857768"/>
    <w:rsid w:val="00857940"/>
    <w:rsid w:val="00857C40"/>
    <w:rsid w:val="00857E5F"/>
    <w:rsid w:val="00857FDC"/>
    <w:rsid w:val="008601B6"/>
    <w:rsid w:val="008604F6"/>
    <w:rsid w:val="00860533"/>
    <w:rsid w:val="00860D70"/>
    <w:rsid w:val="00860EE2"/>
    <w:rsid w:val="00860F8D"/>
    <w:rsid w:val="0086109F"/>
    <w:rsid w:val="00861B13"/>
    <w:rsid w:val="00862011"/>
    <w:rsid w:val="0086221D"/>
    <w:rsid w:val="008629D5"/>
    <w:rsid w:val="00863104"/>
    <w:rsid w:val="00863719"/>
    <w:rsid w:val="008642B3"/>
    <w:rsid w:val="0086438C"/>
    <w:rsid w:val="008643C2"/>
    <w:rsid w:val="00864497"/>
    <w:rsid w:val="0086465C"/>
    <w:rsid w:val="0086488E"/>
    <w:rsid w:val="00864910"/>
    <w:rsid w:val="00864D60"/>
    <w:rsid w:val="008656C6"/>
    <w:rsid w:val="008664F3"/>
    <w:rsid w:val="00866833"/>
    <w:rsid w:val="00866866"/>
    <w:rsid w:val="00866B03"/>
    <w:rsid w:val="00867038"/>
    <w:rsid w:val="00867094"/>
    <w:rsid w:val="008670D2"/>
    <w:rsid w:val="00867370"/>
    <w:rsid w:val="008675B2"/>
    <w:rsid w:val="00867818"/>
    <w:rsid w:val="0086782B"/>
    <w:rsid w:val="00867AA9"/>
    <w:rsid w:val="00867AD5"/>
    <w:rsid w:val="00867C4D"/>
    <w:rsid w:val="00870F5B"/>
    <w:rsid w:val="008715C3"/>
    <w:rsid w:val="00871D53"/>
    <w:rsid w:val="00871D7A"/>
    <w:rsid w:val="00871E9D"/>
    <w:rsid w:val="008720F6"/>
    <w:rsid w:val="008725AA"/>
    <w:rsid w:val="00872956"/>
    <w:rsid w:val="0087308D"/>
    <w:rsid w:val="0087342B"/>
    <w:rsid w:val="008735E1"/>
    <w:rsid w:val="008736A9"/>
    <w:rsid w:val="00873764"/>
    <w:rsid w:val="008737EC"/>
    <w:rsid w:val="00873B18"/>
    <w:rsid w:val="00874418"/>
    <w:rsid w:val="008748BE"/>
    <w:rsid w:val="00874A90"/>
    <w:rsid w:val="00874C71"/>
    <w:rsid w:val="00874D68"/>
    <w:rsid w:val="0087696A"/>
    <w:rsid w:val="00876D63"/>
    <w:rsid w:val="0087747E"/>
    <w:rsid w:val="008774B7"/>
    <w:rsid w:val="008778A1"/>
    <w:rsid w:val="00880130"/>
    <w:rsid w:val="008802B1"/>
    <w:rsid w:val="008802F1"/>
    <w:rsid w:val="00880749"/>
    <w:rsid w:val="008808C5"/>
    <w:rsid w:val="0088093D"/>
    <w:rsid w:val="008813AA"/>
    <w:rsid w:val="00881AFC"/>
    <w:rsid w:val="0088214F"/>
    <w:rsid w:val="008827B6"/>
    <w:rsid w:val="00882A46"/>
    <w:rsid w:val="00882A6C"/>
    <w:rsid w:val="00882F7B"/>
    <w:rsid w:val="00883368"/>
    <w:rsid w:val="00884232"/>
    <w:rsid w:val="008848BE"/>
    <w:rsid w:val="00885861"/>
    <w:rsid w:val="008858C5"/>
    <w:rsid w:val="0088654B"/>
    <w:rsid w:val="00886CA8"/>
    <w:rsid w:val="00886E1B"/>
    <w:rsid w:val="00886EF3"/>
    <w:rsid w:val="00886FD2"/>
    <w:rsid w:val="00887580"/>
    <w:rsid w:val="00887686"/>
    <w:rsid w:val="00887F00"/>
    <w:rsid w:val="00887F60"/>
    <w:rsid w:val="008903B0"/>
    <w:rsid w:val="008908B4"/>
    <w:rsid w:val="00890AD0"/>
    <w:rsid w:val="00891823"/>
    <w:rsid w:val="00891840"/>
    <w:rsid w:val="008919F9"/>
    <w:rsid w:val="00891E9C"/>
    <w:rsid w:val="008920FB"/>
    <w:rsid w:val="00892126"/>
    <w:rsid w:val="00892C44"/>
    <w:rsid w:val="00893C50"/>
    <w:rsid w:val="008941E1"/>
    <w:rsid w:val="0089430B"/>
    <w:rsid w:val="0089464D"/>
    <w:rsid w:val="00894F9F"/>
    <w:rsid w:val="008951DE"/>
    <w:rsid w:val="0089526A"/>
    <w:rsid w:val="008956E1"/>
    <w:rsid w:val="008957A3"/>
    <w:rsid w:val="008958AE"/>
    <w:rsid w:val="008965FA"/>
    <w:rsid w:val="00896E62"/>
    <w:rsid w:val="008973A6"/>
    <w:rsid w:val="00897732"/>
    <w:rsid w:val="00897E4C"/>
    <w:rsid w:val="008A061F"/>
    <w:rsid w:val="008A138C"/>
    <w:rsid w:val="008A1796"/>
    <w:rsid w:val="008A17E2"/>
    <w:rsid w:val="008A1B2F"/>
    <w:rsid w:val="008A234D"/>
    <w:rsid w:val="008A2B1E"/>
    <w:rsid w:val="008A2E08"/>
    <w:rsid w:val="008A2E80"/>
    <w:rsid w:val="008A2E8A"/>
    <w:rsid w:val="008A2E8F"/>
    <w:rsid w:val="008A340B"/>
    <w:rsid w:val="008A3447"/>
    <w:rsid w:val="008A37CF"/>
    <w:rsid w:val="008A3C71"/>
    <w:rsid w:val="008A3DCF"/>
    <w:rsid w:val="008A4293"/>
    <w:rsid w:val="008A43A5"/>
    <w:rsid w:val="008A45AC"/>
    <w:rsid w:val="008A4B02"/>
    <w:rsid w:val="008A5173"/>
    <w:rsid w:val="008A5B89"/>
    <w:rsid w:val="008A5E89"/>
    <w:rsid w:val="008A61E1"/>
    <w:rsid w:val="008A66CF"/>
    <w:rsid w:val="008A6C5F"/>
    <w:rsid w:val="008A74ED"/>
    <w:rsid w:val="008A7A26"/>
    <w:rsid w:val="008A7D06"/>
    <w:rsid w:val="008A7DFE"/>
    <w:rsid w:val="008B0B97"/>
    <w:rsid w:val="008B0F68"/>
    <w:rsid w:val="008B10E9"/>
    <w:rsid w:val="008B1C98"/>
    <w:rsid w:val="008B23FC"/>
    <w:rsid w:val="008B2EC4"/>
    <w:rsid w:val="008B30E2"/>
    <w:rsid w:val="008B3616"/>
    <w:rsid w:val="008B39B0"/>
    <w:rsid w:val="008B3F41"/>
    <w:rsid w:val="008B4A7D"/>
    <w:rsid w:val="008B5287"/>
    <w:rsid w:val="008B5313"/>
    <w:rsid w:val="008B5509"/>
    <w:rsid w:val="008B5845"/>
    <w:rsid w:val="008B5AB2"/>
    <w:rsid w:val="008B5B24"/>
    <w:rsid w:val="008B5B48"/>
    <w:rsid w:val="008B5BAF"/>
    <w:rsid w:val="008B6433"/>
    <w:rsid w:val="008B688E"/>
    <w:rsid w:val="008B68FF"/>
    <w:rsid w:val="008B6C78"/>
    <w:rsid w:val="008B78A2"/>
    <w:rsid w:val="008B79F9"/>
    <w:rsid w:val="008B7C54"/>
    <w:rsid w:val="008C00E4"/>
    <w:rsid w:val="008C0504"/>
    <w:rsid w:val="008C065C"/>
    <w:rsid w:val="008C08D4"/>
    <w:rsid w:val="008C0BA5"/>
    <w:rsid w:val="008C10E1"/>
    <w:rsid w:val="008C1173"/>
    <w:rsid w:val="008C18BF"/>
    <w:rsid w:val="008C220D"/>
    <w:rsid w:val="008C2F90"/>
    <w:rsid w:val="008C3087"/>
    <w:rsid w:val="008C37D5"/>
    <w:rsid w:val="008C42DB"/>
    <w:rsid w:val="008C47DD"/>
    <w:rsid w:val="008C47F0"/>
    <w:rsid w:val="008C5209"/>
    <w:rsid w:val="008C551A"/>
    <w:rsid w:val="008C567F"/>
    <w:rsid w:val="008C5799"/>
    <w:rsid w:val="008C5A42"/>
    <w:rsid w:val="008C5A93"/>
    <w:rsid w:val="008C6128"/>
    <w:rsid w:val="008C6961"/>
    <w:rsid w:val="008C71A3"/>
    <w:rsid w:val="008C73A0"/>
    <w:rsid w:val="008C7889"/>
    <w:rsid w:val="008C7C6C"/>
    <w:rsid w:val="008C7D75"/>
    <w:rsid w:val="008C7D93"/>
    <w:rsid w:val="008D00ED"/>
    <w:rsid w:val="008D04A4"/>
    <w:rsid w:val="008D0D26"/>
    <w:rsid w:val="008D1093"/>
    <w:rsid w:val="008D109D"/>
    <w:rsid w:val="008D14B4"/>
    <w:rsid w:val="008D1B49"/>
    <w:rsid w:val="008D2540"/>
    <w:rsid w:val="008D289E"/>
    <w:rsid w:val="008D28C8"/>
    <w:rsid w:val="008D29E5"/>
    <w:rsid w:val="008D2CF6"/>
    <w:rsid w:val="008D307A"/>
    <w:rsid w:val="008D3150"/>
    <w:rsid w:val="008D362A"/>
    <w:rsid w:val="008D3721"/>
    <w:rsid w:val="008D3895"/>
    <w:rsid w:val="008D3987"/>
    <w:rsid w:val="008D39BC"/>
    <w:rsid w:val="008D39C3"/>
    <w:rsid w:val="008D3B56"/>
    <w:rsid w:val="008D3C4B"/>
    <w:rsid w:val="008D3CF1"/>
    <w:rsid w:val="008D3FAA"/>
    <w:rsid w:val="008D402E"/>
    <w:rsid w:val="008D4188"/>
    <w:rsid w:val="008D48DA"/>
    <w:rsid w:val="008D4CAA"/>
    <w:rsid w:val="008D4CBC"/>
    <w:rsid w:val="008D4D66"/>
    <w:rsid w:val="008D56FA"/>
    <w:rsid w:val="008D5709"/>
    <w:rsid w:val="008D5748"/>
    <w:rsid w:val="008D58A5"/>
    <w:rsid w:val="008D5978"/>
    <w:rsid w:val="008D6644"/>
    <w:rsid w:val="008D6B93"/>
    <w:rsid w:val="008D6C21"/>
    <w:rsid w:val="008D6FD8"/>
    <w:rsid w:val="008D7392"/>
    <w:rsid w:val="008D76C7"/>
    <w:rsid w:val="008D799B"/>
    <w:rsid w:val="008D7AA0"/>
    <w:rsid w:val="008E04F0"/>
    <w:rsid w:val="008E07C7"/>
    <w:rsid w:val="008E11BE"/>
    <w:rsid w:val="008E12D9"/>
    <w:rsid w:val="008E14B7"/>
    <w:rsid w:val="008E1569"/>
    <w:rsid w:val="008E1A03"/>
    <w:rsid w:val="008E1FCD"/>
    <w:rsid w:val="008E1FDF"/>
    <w:rsid w:val="008E20B4"/>
    <w:rsid w:val="008E28C6"/>
    <w:rsid w:val="008E2C27"/>
    <w:rsid w:val="008E32EB"/>
    <w:rsid w:val="008E3D0D"/>
    <w:rsid w:val="008E3F32"/>
    <w:rsid w:val="008E43ED"/>
    <w:rsid w:val="008E449B"/>
    <w:rsid w:val="008E4527"/>
    <w:rsid w:val="008E48B9"/>
    <w:rsid w:val="008E4D2B"/>
    <w:rsid w:val="008E4FE2"/>
    <w:rsid w:val="008E50FC"/>
    <w:rsid w:val="008E51F9"/>
    <w:rsid w:val="008E54BA"/>
    <w:rsid w:val="008E59EF"/>
    <w:rsid w:val="008E618E"/>
    <w:rsid w:val="008E63E9"/>
    <w:rsid w:val="008E69F7"/>
    <w:rsid w:val="008E6B35"/>
    <w:rsid w:val="008E7077"/>
    <w:rsid w:val="008E72CC"/>
    <w:rsid w:val="008F07BD"/>
    <w:rsid w:val="008F0897"/>
    <w:rsid w:val="008F0AAD"/>
    <w:rsid w:val="008F0F37"/>
    <w:rsid w:val="008F1046"/>
    <w:rsid w:val="008F1600"/>
    <w:rsid w:val="008F1766"/>
    <w:rsid w:val="008F1BA3"/>
    <w:rsid w:val="008F227C"/>
    <w:rsid w:val="008F24BE"/>
    <w:rsid w:val="008F26C0"/>
    <w:rsid w:val="008F2B81"/>
    <w:rsid w:val="008F2BB6"/>
    <w:rsid w:val="008F2C90"/>
    <w:rsid w:val="008F2CD0"/>
    <w:rsid w:val="008F2DE1"/>
    <w:rsid w:val="008F2EB4"/>
    <w:rsid w:val="008F2EBA"/>
    <w:rsid w:val="008F39F6"/>
    <w:rsid w:val="008F3A5B"/>
    <w:rsid w:val="008F3A68"/>
    <w:rsid w:val="008F4057"/>
    <w:rsid w:val="008F479B"/>
    <w:rsid w:val="008F47B6"/>
    <w:rsid w:val="008F4DAA"/>
    <w:rsid w:val="008F4E1F"/>
    <w:rsid w:val="008F4F34"/>
    <w:rsid w:val="008F50D0"/>
    <w:rsid w:val="008F53C8"/>
    <w:rsid w:val="008F5701"/>
    <w:rsid w:val="008F57F3"/>
    <w:rsid w:val="008F5ADA"/>
    <w:rsid w:val="008F5B95"/>
    <w:rsid w:val="008F5BF9"/>
    <w:rsid w:val="008F687D"/>
    <w:rsid w:val="008F68DE"/>
    <w:rsid w:val="008F6978"/>
    <w:rsid w:val="008F6991"/>
    <w:rsid w:val="008F73F0"/>
    <w:rsid w:val="008F781E"/>
    <w:rsid w:val="008F79DC"/>
    <w:rsid w:val="008F7B36"/>
    <w:rsid w:val="008F7DA8"/>
    <w:rsid w:val="008F7F06"/>
    <w:rsid w:val="008F7F3C"/>
    <w:rsid w:val="0090046E"/>
    <w:rsid w:val="00900B5E"/>
    <w:rsid w:val="00900C2E"/>
    <w:rsid w:val="00900EA9"/>
    <w:rsid w:val="009013BC"/>
    <w:rsid w:val="00901C83"/>
    <w:rsid w:val="00901D07"/>
    <w:rsid w:val="0090223C"/>
    <w:rsid w:val="0090251D"/>
    <w:rsid w:val="00902796"/>
    <w:rsid w:val="009037C8"/>
    <w:rsid w:val="00903835"/>
    <w:rsid w:val="00903B23"/>
    <w:rsid w:val="009041C1"/>
    <w:rsid w:val="009044DF"/>
    <w:rsid w:val="00904559"/>
    <w:rsid w:val="00904795"/>
    <w:rsid w:val="00904F3E"/>
    <w:rsid w:val="009050FF"/>
    <w:rsid w:val="0090593D"/>
    <w:rsid w:val="00905D2F"/>
    <w:rsid w:val="00906025"/>
    <w:rsid w:val="009061B5"/>
    <w:rsid w:val="009064EC"/>
    <w:rsid w:val="009068B3"/>
    <w:rsid w:val="009068EA"/>
    <w:rsid w:val="00906C38"/>
    <w:rsid w:val="009074CE"/>
    <w:rsid w:val="00907874"/>
    <w:rsid w:val="00907FAC"/>
    <w:rsid w:val="00910291"/>
    <w:rsid w:val="009116EA"/>
    <w:rsid w:val="00911ABB"/>
    <w:rsid w:val="00911D36"/>
    <w:rsid w:val="0091231F"/>
    <w:rsid w:val="00912813"/>
    <w:rsid w:val="00912B63"/>
    <w:rsid w:val="009133A8"/>
    <w:rsid w:val="009138AC"/>
    <w:rsid w:val="009139FF"/>
    <w:rsid w:val="00913C46"/>
    <w:rsid w:val="00913D88"/>
    <w:rsid w:val="00914638"/>
    <w:rsid w:val="00914864"/>
    <w:rsid w:val="00914968"/>
    <w:rsid w:val="00914A01"/>
    <w:rsid w:val="00914A75"/>
    <w:rsid w:val="00914BB0"/>
    <w:rsid w:val="00915A09"/>
    <w:rsid w:val="00916723"/>
    <w:rsid w:val="00916899"/>
    <w:rsid w:val="009172CD"/>
    <w:rsid w:val="009173BC"/>
    <w:rsid w:val="00920342"/>
    <w:rsid w:val="0092057B"/>
    <w:rsid w:val="00920717"/>
    <w:rsid w:val="00920A09"/>
    <w:rsid w:val="00920D92"/>
    <w:rsid w:val="00921CD3"/>
    <w:rsid w:val="00921D0B"/>
    <w:rsid w:val="00922104"/>
    <w:rsid w:val="00922565"/>
    <w:rsid w:val="00922A2E"/>
    <w:rsid w:val="00922ADD"/>
    <w:rsid w:val="00922C83"/>
    <w:rsid w:val="00922D51"/>
    <w:rsid w:val="00922EB3"/>
    <w:rsid w:val="00922F40"/>
    <w:rsid w:val="00923104"/>
    <w:rsid w:val="00923156"/>
    <w:rsid w:val="0092344E"/>
    <w:rsid w:val="00923663"/>
    <w:rsid w:val="00923A30"/>
    <w:rsid w:val="00923C5A"/>
    <w:rsid w:val="00923F61"/>
    <w:rsid w:val="0092474D"/>
    <w:rsid w:val="00924B80"/>
    <w:rsid w:val="00924E03"/>
    <w:rsid w:val="009250EC"/>
    <w:rsid w:val="00925104"/>
    <w:rsid w:val="0092516C"/>
    <w:rsid w:val="00925561"/>
    <w:rsid w:val="0092563C"/>
    <w:rsid w:val="00925A8C"/>
    <w:rsid w:val="00925DDB"/>
    <w:rsid w:val="009260D8"/>
    <w:rsid w:val="00926604"/>
    <w:rsid w:val="0092665A"/>
    <w:rsid w:val="009273D4"/>
    <w:rsid w:val="0092760F"/>
    <w:rsid w:val="00927B26"/>
    <w:rsid w:val="0093003D"/>
    <w:rsid w:val="00930586"/>
    <w:rsid w:val="00930A33"/>
    <w:rsid w:val="00930A5E"/>
    <w:rsid w:val="00930D6E"/>
    <w:rsid w:val="00931142"/>
    <w:rsid w:val="00931527"/>
    <w:rsid w:val="009317DE"/>
    <w:rsid w:val="00931C2D"/>
    <w:rsid w:val="00931E97"/>
    <w:rsid w:val="00932412"/>
    <w:rsid w:val="009324C3"/>
    <w:rsid w:val="00932550"/>
    <w:rsid w:val="009325AA"/>
    <w:rsid w:val="00932823"/>
    <w:rsid w:val="009328AB"/>
    <w:rsid w:val="009328E2"/>
    <w:rsid w:val="00932A8A"/>
    <w:rsid w:val="00932DAD"/>
    <w:rsid w:val="00932E61"/>
    <w:rsid w:val="00932FBC"/>
    <w:rsid w:val="009331F4"/>
    <w:rsid w:val="00933D27"/>
    <w:rsid w:val="009340AC"/>
    <w:rsid w:val="009340EC"/>
    <w:rsid w:val="00934EA6"/>
    <w:rsid w:val="009357D2"/>
    <w:rsid w:val="009357EA"/>
    <w:rsid w:val="00936042"/>
    <w:rsid w:val="00936293"/>
    <w:rsid w:val="00936D55"/>
    <w:rsid w:val="009376DF"/>
    <w:rsid w:val="00937BE0"/>
    <w:rsid w:val="00937E7B"/>
    <w:rsid w:val="009404D5"/>
    <w:rsid w:val="009409F1"/>
    <w:rsid w:val="00940D8A"/>
    <w:rsid w:val="00940DDA"/>
    <w:rsid w:val="00941005"/>
    <w:rsid w:val="00941183"/>
    <w:rsid w:val="00941AF7"/>
    <w:rsid w:val="00941C36"/>
    <w:rsid w:val="00942C6B"/>
    <w:rsid w:val="00942E85"/>
    <w:rsid w:val="0094324B"/>
    <w:rsid w:val="0094326F"/>
    <w:rsid w:val="009432D7"/>
    <w:rsid w:val="00943474"/>
    <w:rsid w:val="00943AD3"/>
    <w:rsid w:val="0094400A"/>
    <w:rsid w:val="00944928"/>
    <w:rsid w:val="00944BCA"/>
    <w:rsid w:val="00944E38"/>
    <w:rsid w:val="00944E44"/>
    <w:rsid w:val="00945705"/>
    <w:rsid w:val="009457BE"/>
    <w:rsid w:val="009458DB"/>
    <w:rsid w:val="009459C4"/>
    <w:rsid w:val="00945A17"/>
    <w:rsid w:val="00946280"/>
    <w:rsid w:val="00946352"/>
    <w:rsid w:val="00946A25"/>
    <w:rsid w:val="00946A6B"/>
    <w:rsid w:val="00946A89"/>
    <w:rsid w:val="00946D81"/>
    <w:rsid w:val="00946F37"/>
    <w:rsid w:val="00947082"/>
    <w:rsid w:val="009470E5"/>
    <w:rsid w:val="00947253"/>
    <w:rsid w:val="00947628"/>
    <w:rsid w:val="009501A8"/>
    <w:rsid w:val="009501C8"/>
    <w:rsid w:val="00950E42"/>
    <w:rsid w:val="00951AEE"/>
    <w:rsid w:val="00951BB2"/>
    <w:rsid w:val="00951FDF"/>
    <w:rsid w:val="00952351"/>
    <w:rsid w:val="0095269D"/>
    <w:rsid w:val="00952952"/>
    <w:rsid w:val="009529FD"/>
    <w:rsid w:val="00952C04"/>
    <w:rsid w:val="0095376C"/>
    <w:rsid w:val="00954362"/>
    <w:rsid w:val="009543FA"/>
    <w:rsid w:val="00954C5C"/>
    <w:rsid w:val="00955139"/>
    <w:rsid w:val="00955430"/>
    <w:rsid w:val="00955602"/>
    <w:rsid w:val="00955748"/>
    <w:rsid w:val="009557F7"/>
    <w:rsid w:val="009559E4"/>
    <w:rsid w:val="00955BE2"/>
    <w:rsid w:val="00955DA5"/>
    <w:rsid w:val="00955F8A"/>
    <w:rsid w:val="00956634"/>
    <w:rsid w:val="00956761"/>
    <w:rsid w:val="00956C0A"/>
    <w:rsid w:val="00956FF1"/>
    <w:rsid w:val="00957A07"/>
    <w:rsid w:val="00957BFC"/>
    <w:rsid w:val="009600DA"/>
    <w:rsid w:val="00960723"/>
    <w:rsid w:val="00960E5A"/>
    <w:rsid w:val="00960EAF"/>
    <w:rsid w:val="00961042"/>
    <w:rsid w:val="0096109E"/>
    <w:rsid w:val="009611EC"/>
    <w:rsid w:val="00961643"/>
    <w:rsid w:val="0096174C"/>
    <w:rsid w:val="00961AE5"/>
    <w:rsid w:val="00961C99"/>
    <w:rsid w:val="00961F8E"/>
    <w:rsid w:val="009623A8"/>
    <w:rsid w:val="00962E5C"/>
    <w:rsid w:val="00962FF3"/>
    <w:rsid w:val="0096316C"/>
    <w:rsid w:val="00963A8A"/>
    <w:rsid w:val="0096405F"/>
    <w:rsid w:val="00964229"/>
    <w:rsid w:val="0096433D"/>
    <w:rsid w:val="009644A7"/>
    <w:rsid w:val="0096458B"/>
    <w:rsid w:val="0096549E"/>
    <w:rsid w:val="00965504"/>
    <w:rsid w:val="00965AE3"/>
    <w:rsid w:val="00965CD9"/>
    <w:rsid w:val="00965E01"/>
    <w:rsid w:val="00966189"/>
    <w:rsid w:val="0096635C"/>
    <w:rsid w:val="0096654E"/>
    <w:rsid w:val="00967096"/>
    <w:rsid w:val="00967850"/>
    <w:rsid w:val="00970617"/>
    <w:rsid w:val="00970C6B"/>
    <w:rsid w:val="00970EDB"/>
    <w:rsid w:val="00970F84"/>
    <w:rsid w:val="009712E2"/>
    <w:rsid w:val="009713F3"/>
    <w:rsid w:val="0097186D"/>
    <w:rsid w:val="0097231A"/>
    <w:rsid w:val="009726EC"/>
    <w:rsid w:val="00972749"/>
    <w:rsid w:val="00972CA9"/>
    <w:rsid w:val="00973249"/>
    <w:rsid w:val="00973285"/>
    <w:rsid w:val="00973425"/>
    <w:rsid w:val="009739B3"/>
    <w:rsid w:val="009744D3"/>
    <w:rsid w:val="00974EE3"/>
    <w:rsid w:val="009754C4"/>
    <w:rsid w:val="00975710"/>
    <w:rsid w:val="00975E6E"/>
    <w:rsid w:val="00975E9D"/>
    <w:rsid w:val="00975EA3"/>
    <w:rsid w:val="00975FC5"/>
    <w:rsid w:val="009762EB"/>
    <w:rsid w:val="009771C2"/>
    <w:rsid w:val="00977C26"/>
    <w:rsid w:val="00977EA1"/>
    <w:rsid w:val="00977F0F"/>
    <w:rsid w:val="009804AA"/>
    <w:rsid w:val="0098054A"/>
    <w:rsid w:val="00980649"/>
    <w:rsid w:val="00980AB3"/>
    <w:rsid w:val="00980CE7"/>
    <w:rsid w:val="00980D15"/>
    <w:rsid w:val="00980FA1"/>
    <w:rsid w:val="0098131B"/>
    <w:rsid w:val="00981A6F"/>
    <w:rsid w:val="009820AA"/>
    <w:rsid w:val="00982175"/>
    <w:rsid w:val="0098333A"/>
    <w:rsid w:val="00983887"/>
    <w:rsid w:val="00983B83"/>
    <w:rsid w:val="009841F3"/>
    <w:rsid w:val="00984AA3"/>
    <w:rsid w:val="00984D2B"/>
    <w:rsid w:val="00984D4B"/>
    <w:rsid w:val="00984E25"/>
    <w:rsid w:val="00984FDF"/>
    <w:rsid w:val="00985211"/>
    <w:rsid w:val="009852A2"/>
    <w:rsid w:val="009853B3"/>
    <w:rsid w:val="0098544A"/>
    <w:rsid w:val="009857D3"/>
    <w:rsid w:val="00986ABA"/>
    <w:rsid w:val="00987291"/>
    <w:rsid w:val="0098732E"/>
    <w:rsid w:val="0098757C"/>
    <w:rsid w:val="00987614"/>
    <w:rsid w:val="00987912"/>
    <w:rsid w:val="00987CD8"/>
    <w:rsid w:val="00990D49"/>
    <w:rsid w:val="00990F0D"/>
    <w:rsid w:val="009911BD"/>
    <w:rsid w:val="009913DF"/>
    <w:rsid w:val="009930CA"/>
    <w:rsid w:val="00993A61"/>
    <w:rsid w:val="00993D34"/>
    <w:rsid w:val="0099438D"/>
    <w:rsid w:val="009943B0"/>
    <w:rsid w:val="009949E9"/>
    <w:rsid w:val="00994F68"/>
    <w:rsid w:val="00994F8F"/>
    <w:rsid w:val="00995147"/>
    <w:rsid w:val="00995205"/>
    <w:rsid w:val="009954B2"/>
    <w:rsid w:val="00995B35"/>
    <w:rsid w:val="00995BD7"/>
    <w:rsid w:val="00995D54"/>
    <w:rsid w:val="009969A7"/>
    <w:rsid w:val="0099700C"/>
    <w:rsid w:val="00997EA9"/>
    <w:rsid w:val="009A045B"/>
    <w:rsid w:val="009A0BF5"/>
    <w:rsid w:val="009A12E4"/>
    <w:rsid w:val="009A14ED"/>
    <w:rsid w:val="009A178F"/>
    <w:rsid w:val="009A253A"/>
    <w:rsid w:val="009A2933"/>
    <w:rsid w:val="009A2A4C"/>
    <w:rsid w:val="009A33D6"/>
    <w:rsid w:val="009A3D23"/>
    <w:rsid w:val="009A3E26"/>
    <w:rsid w:val="009A41A1"/>
    <w:rsid w:val="009A44A1"/>
    <w:rsid w:val="009A45B9"/>
    <w:rsid w:val="009A4734"/>
    <w:rsid w:val="009A4875"/>
    <w:rsid w:val="009A4CC6"/>
    <w:rsid w:val="009A4D54"/>
    <w:rsid w:val="009A561C"/>
    <w:rsid w:val="009A5A70"/>
    <w:rsid w:val="009A5F98"/>
    <w:rsid w:val="009A6427"/>
    <w:rsid w:val="009A6597"/>
    <w:rsid w:val="009A784A"/>
    <w:rsid w:val="009A7B04"/>
    <w:rsid w:val="009A7D2B"/>
    <w:rsid w:val="009B0051"/>
    <w:rsid w:val="009B00F0"/>
    <w:rsid w:val="009B06C0"/>
    <w:rsid w:val="009B0D22"/>
    <w:rsid w:val="009B24B2"/>
    <w:rsid w:val="009B257C"/>
    <w:rsid w:val="009B286C"/>
    <w:rsid w:val="009B2D76"/>
    <w:rsid w:val="009B2F59"/>
    <w:rsid w:val="009B31A6"/>
    <w:rsid w:val="009B3447"/>
    <w:rsid w:val="009B37A1"/>
    <w:rsid w:val="009B3801"/>
    <w:rsid w:val="009B3FBD"/>
    <w:rsid w:val="009B40FD"/>
    <w:rsid w:val="009B444D"/>
    <w:rsid w:val="009B492B"/>
    <w:rsid w:val="009B53DB"/>
    <w:rsid w:val="009B56AE"/>
    <w:rsid w:val="009B5BE8"/>
    <w:rsid w:val="009B5EE4"/>
    <w:rsid w:val="009B614E"/>
    <w:rsid w:val="009B6A64"/>
    <w:rsid w:val="009B753E"/>
    <w:rsid w:val="009B7BE4"/>
    <w:rsid w:val="009C0485"/>
    <w:rsid w:val="009C05FF"/>
    <w:rsid w:val="009C0D51"/>
    <w:rsid w:val="009C0F13"/>
    <w:rsid w:val="009C100D"/>
    <w:rsid w:val="009C1134"/>
    <w:rsid w:val="009C12D0"/>
    <w:rsid w:val="009C17DE"/>
    <w:rsid w:val="009C1D87"/>
    <w:rsid w:val="009C29D1"/>
    <w:rsid w:val="009C2A1C"/>
    <w:rsid w:val="009C2A64"/>
    <w:rsid w:val="009C2EFE"/>
    <w:rsid w:val="009C37A4"/>
    <w:rsid w:val="009C3A18"/>
    <w:rsid w:val="009C3DC2"/>
    <w:rsid w:val="009C3F3C"/>
    <w:rsid w:val="009C426E"/>
    <w:rsid w:val="009C4339"/>
    <w:rsid w:val="009C44C9"/>
    <w:rsid w:val="009C475A"/>
    <w:rsid w:val="009C5177"/>
    <w:rsid w:val="009C5504"/>
    <w:rsid w:val="009C5A84"/>
    <w:rsid w:val="009C5AD5"/>
    <w:rsid w:val="009C6820"/>
    <w:rsid w:val="009C6A6C"/>
    <w:rsid w:val="009C6C06"/>
    <w:rsid w:val="009C6CC1"/>
    <w:rsid w:val="009C6E65"/>
    <w:rsid w:val="009C709A"/>
    <w:rsid w:val="009C719B"/>
    <w:rsid w:val="009C7257"/>
    <w:rsid w:val="009C746D"/>
    <w:rsid w:val="009C7A6E"/>
    <w:rsid w:val="009C7ACD"/>
    <w:rsid w:val="009C7B5A"/>
    <w:rsid w:val="009D013E"/>
    <w:rsid w:val="009D0F2B"/>
    <w:rsid w:val="009D11F0"/>
    <w:rsid w:val="009D1445"/>
    <w:rsid w:val="009D156A"/>
    <w:rsid w:val="009D1701"/>
    <w:rsid w:val="009D179C"/>
    <w:rsid w:val="009D17EC"/>
    <w:rsid w:val="009D1AE1"/>
    <w:rsid w:val="009D1DC4"/>
    <w:rsid w:val="009D3553"/>
    <w:rsid w:val="009D36CC"/>
    <w:rsid w:val="009D3853"/>
    <w:rsid w:val="009D385E"/>
    <w:rsid w:val="009D3D04"/>
    <w:rsid w:val="009D4AE1"/>
    <w:rsid w:val="009D4C3E"/>
    <w:rsid w:val="009D4FAD"/>
    <w:rsid w:val="009D50B2"/>
    <w:rsid w:val="009D5451"/>
    <w:rsid w:val="009D5609"/>
    <w:rsid w:val="009D5D3A"/>
    <w:rsid w:val="009D6607"/>
    <w:rsid w:val="009D6A48"/>
    <w:rsid w:val="009D7425"/>
    <w:rsid w:val="009D74E1"/>
    <w:rsid w:val="009D7658"/>
    <w:rsid w:val="009E03C3"/>
    <w:rsid w:val="009E066B"/>
    <w:rsid w:val="009E070D"/>
    <w:rsid w:val="009E0A00"/>
    <w:rsid w:val="009E0D18"/>
    <w:rsid w:val="009E0EE5"/>
    <w:rsid w:val="009E137C"/>
    <w:rsid w:val="009E15B3"/>
    <w:rsid w:val="009E17A9"/>
    <w:rsid w:val="009E21D1"/>
    <w:rsid w:val="009E2BDD"/>
    <w:rsid w:val="009E2EEC"/>
    <w:rsid w:val="009E31E7"/>
    <w:rsid w:val="009E3740"/>
    <w:rsid w:val="009E37F6"/>
    <w:rsid w:val="009E3D21"/>
    <w:rsid w:val="009E3F15"/>
    <w:rsid w:val="009E4339"/>
    <w:rsid w:val="009E4633"/>
    <w:rsid w:val="009E48B0"/>
    <w:rsid w:val="009E49B2"/>
    <w:rsid w:val="009E4ADA"/>
    <w:rsid w:val="009E4B13"/>
    <w:rsid w:val="009E536C"/>
    <w:rsid w:val="009E597B"/>
    <w:rsid w:val="009E5D18"/>
    <w:rsid w:val="009E5E7B"/>
    <w:rsid w:val="009E6242"/>
    <w:rsid w:val="009E62A2"/>
    <w:rsid w:val="009E66C9"/>
    <w:rsid w:val="009E6A29"/>
    <w:rsid w:val="009E6A9A"/>
    <w:rsid w:val="009E6B11"/>
    <w:rsid w:val="009E74E4"/>
    <w:rsid w:val="009E7FC1"/>
    <w:rsid w:val="009F02C6"/>
    <w:rsid w:val="009F033A"/>
    <w:rsid w:val="009F039C"/>
    <w:rsid w:val="009F047F"/>
    <w:rsid w:val="009F06C9"/>
    <w:rsid w:val="009F12A0"/>
    <w:rsid w:val="009F1A87"/>
    <w:rsid w:val="009F27B2"/>
    <w:rsid w:val="009F299D"/>
    <w:rsid w:val="009F2D6E"/>
    <w:rsid w:val="009F2ECE"/>
    <w:rsid w:val="009F3294"/>
    <w:rsid w:val="009F332C"/>
    <w:rsid w:val="009F3717"/>
    <w:rsid w:val="009F45BC"/>
    <w:rsid w:val="009F47AE"/>
    <w:rsid w:val="009F47FA"/>
    <w:rsid w:val="009F4BA6"/>
    <w:rsid w:val="009F4F47"/>
    <w:rsid w:val="009F57A4"/>
    <w:rsid w:val="009F671A"/>
    <w:rsid w:val="009F7021"/>
    <w:rsid w:val="009F70AF"/>
    <w:rsid w:val="009F7194"/>
    <w:rsid w:val="009F7C5E"/>
    <w:rsid w:val="00A001DF"/>
    <w:rsid w:val="00A0021A"/>
    <w:rsid w:val="00A008CF"/>
    <w:rsid w:val="00A00AEC"/>
    <w:rsid w:val="00A01412"/>
    <w:rsid w:val="00A01932"/>
    <w:rsid w:val="00A019D2"/>
    <w:rsid w:val="00A01C2F"/>
    <w:rsid w:val="00A01DF2"/>
    <w:rsid w:val="00A029C8"/>
    <w:rsid w:val="00A02BB9"/>
    <w:rsid w:val="00A02DE2"/>
    <w:rsid w:val="00A03453"/>
    <w:rsid w:val="00A03914"/>
    <w:rsid w:val="00A0409B"/>
    <w:rsid w:val="00A043BB"/>
    <w:rsid w:val="00A04B1E"/>
    <w:rsid w:val="00A04BD9"/>
    <w:rsid w:val="00A04CBA"/>
    <w:rsid w:val="00A04EB3"/>
    <w:rsid w:val="00A0549D"/>
    <w:rsid w:val="00A05530"/>
    <w:rsid w:val="00A058C9"/>
    <w:rsid w:val="00A0592D"/>
    <w:rsid w:val="00A05C8B"/>
    <w:rsid w:val="00A05EAF"/>
    <w:rsid w:val="00A064AF"/>
    <w:rsid w:val="00A069CB"/>
    <w:rsid w:val="00A06CEB"/>
    <w:rsid w:val="00A06D69"/>
    <w:rsid w:val="00A0715F"/>
    <w:rsid w:val="00A07334"/>
    <w:rsid w:val="00A07985"/>
    <w:rsid w:val="00A07A16"/>
    <w:rsid w:val="00A1015E"/>
    <w:rsid w:val="00A1025B"/>
    <w:rsid w:val="00A105C8"/>
    <w:rsid w:val="00A10775"/>
    <w:rsid w:val="00A1095A"/>
    <w:rsid w:val="00A11994"/>
    <w:rsid w:val="00A11B15"/>
    <w:rsid w:val="00A1217C"/>
    <w:rsid w:val="00A121BF"/>
    <w:rsid w:val="00A12204"/>
    <w:rsid w:val="00A12864"/>
    <w:rsid w:val="00A13795"/>
    <w:rsid w:val="00A138EF"/>
    <w:rsid w:val="00A13F72"/>
    <w:rsid w:val="00A14042"/>
    <w:rsid w:val="00A1404B"/>
    <w:rsid w:val="00A140C6"/>
    <w:rsid w:val="00A1469F"/>
    <w:rsid w:val="00A14E22"/>
    <w:rsid w:val="00A14F28"/>
    <w:rsid w:val="00A1512F"/>
    <w:rsid w:val="00A15191"/>
    <w:rsid w:val="00A155F7"/>
    <w:rsid w:val="00A15746"/>
    <w:rsid w:val="00A15ACE"/>
    <w:rsid w:val="00A16314"/>
    <w:rsid w:val="00A16505"/>
    <w:rsid w:val="00A16F9D"/>
    <w:rsid w:val="00A1729C"/>
    <w:rsid w:val="00A176A1"/>
    <w:rsid w:val="00A179D7"/>
    <w:rsid w:val="00A201F5"/>
    <w:rsid w:val="00A205D7"/>
    <w:rsid w:val="00A20B63"/>
    <w:rsid w:val="00A210C0"/>
    <w:rsid w:val="00A211B0"/>
    <w:rsid w:val="00A21399"/>
    <w:rsid w:val="00A214BE"/>
    <w:rsid w:val="00A21FCC"/>
    <w:rsid w:val="00A2200C"/>
    <w:rsid w:val="00A22192"/>
    <w:rsid w:val="00A22838"/>
    <w:rsid w:val="00A22C14"/>
    <w:rsid w:val="00A23E1B"/>
    <w:rsid w:val="00A24000"/>
    <w:rsid w:val="00A2430B"/>
    <w:rsid w:val="00A2459A"/>
    <w:rsid w:val="00A247E6"/>
    <w:rsid w:val="00A249D5"/>
    <w:rsid w:val="00A250E9"/>
    <w:rsid w:val="00A252BB"/>
    <w:rsid w:val="00A252C4"/>
    <w:rsid w:val="00A25623"/>
    <w:rsid w:val="00A25AA8"/>
    <w:rsid w:val="00A262D2"/>
    <w:rsid w:val="00A263D5"/>
    <w:rsid w:val="00A2672F"/>
    <w:rsid w:val="00A26ECC"/>
    <w:rsid w:val="00A27172"/>
    <w:rsid w:val="00A27262"/>
    <w:rsid w:val="00A2734C"/>
    <w:rsid w:val="00A276D2"/>
    <w:rsid w:val="00A27C43"/>
    <w:rsid w:val="00A3042B"/>
    <w:rsid w:val="00A307D6"/>
    <w:rsid w:val="00A30919"/>
    <w:rsid w:val="00A30BFA"/>
    <w:rsid w:val="00A30D55"/>
    <w:rsid w:val="00A30E3B"/>
    <w:rsid w:val="00A31349"/>
    <w:rsid w:val="00A31389"/>
    <w:rsid w:val="00A314ED"/>
    <w:rsid w:val="00A31945"/>
    <w:rsid w:val="00A3221A"/>
    <w:rsid w:val="00A3250F"/>
    <w:rsid w:val="00A32A28"/>
    <w:rsid w:val="00A32A71"/>
    <w:rsid w:val="00A32C70"/>
    <w:rsid w:val="00A3321C"/>
    <w:rsid w:val="00A3324A"/>
    <w:rsid w:val="00A33A16"/>
    <w:rsid w:val="00A33B56"/>
    <w:rsid w:val="00A33C2F"/>
    <w:rsid w:val="00A33D46"/>
    <w:rsid w:val="00A340D6"/>
    <w:rsid w:val="00A341D5"/>
    <w:rsid w:val="00A3534A"/>
    <w:rsid w:val="00A3595D"/>
    <w:rsid w:val="00A359FE"/>
    <w:rsid w:val="00A35AB0"/>
    <w:rsid w:val="00A35B67"/>
    <w:rsid w:val="00A35DBB"/>
    <w:rsid w:val="00A36366"/>
    <w:rsid w:val="00A365F4"/>
    <w:rsid w:val="00A36709"/>
    <w:rsid w:val="00A371DE"/>
    <w:rsid w:val="00A3729C"/>
    <w:rsid w:val="00A374BA"/>
    <w:rsid w:val="00A37792"/>
    <w:rsid w:val="00A4005E"/>
    <w:rsid w:val="00A4052F"/>
    <w:rsid w:val="00A4091C"/>
    <w:rsid w:val="00A4178A"/>
    <w:rsid w:val="00A42AAB"/>
    <w:rsid w:val="00A43AB8"/>
    <w:rsid w:val="00A44303"/>
    <w:rsid w:val="00A4441A"/>
    <w:rsid w:val="00A4475B"/>
    <w:rsid w:val="00A44DFA"/>
    <w:rsid w:val="00A452C7"/>
    <w:rsid w:val="00A454B4"/>
    <w:rsid w:val="00A465C1"/>
    <w:rsid w:val="00A46675"/>
    <w:rsid w:val="00A46A99"/>
    <w:rsid w:val="00A46E28"/>
    <w:rsid w:val="00A47490"/>
    <w:rsid w:val="00A47E59"/>
    <w:rsid w:val="00A504B9"/>
    <w:rsid w:val="00A5089E"/>
    <w:rsid w:val="00A51091"/>
    <w:rsid w:val="00A510F2"/>
    <w:rsid w:val="00A51242"/>
    <w:rsid w:val="00A51361"/>
    <w:rsid w:val="00A51363"/>
    <w:rsid w:val="00A51727"/>
    <w:rsid w:val="00A51BA6"/>
    <w:rsid w:val="00A51D6E"/>
    <w:rsid w:val="00A52029"/>
    <w:rsid w:val="00A5209E"/>
    <w:rsid w:val="00A5224D"/>
    <w:rsid w:val="00A524B4"/>
    <w:rsid w:val="00A525C0"/>
    <w:rsid w:val="00A536A1"/>
    <w:rsid w:val="00A537B5"/>
    <w:rsid w:val="00A53A6D"/>
    <w:rsid w:val="00A53E30"/>
    <w:rsid w:val="00A5403C"/>
    <w:rsid w:val="00A540E4"/>
    <w:rsid w:val="00A544D9"/>
    <w:rsid w:val="00A54CCB"/>
    <w:rsid w:val="00A54F72"/>
    <w:rsid w:val="00A55470"/>
    <w:rsid w:val="00A55E62"/>
    <w:rsid w:val="00A55F99"/>
    <w:rsid w:val="00A56920"/>
    <w:rsid w:val="00A56E3D"/>
    <w:rsid w:val="00A56EDF"/>
    <w:rsid w:val="00A56FC9"/>
    <w:rsid w:val="00A57EF5"/>
    <w:rsid w:val="00A60345"/>
    <w:rsid w:val="00A607AB"/>
    <w:rsid w:val="00A60826"/>
    <w:rsid w:val="00A60D8E"/>
    <w:rsid w:val="00A60E92"/>
    <w:rsid w:val="00A611B4"/>
    <w:rsid w:val="00A614A4"/>
    <w:rsid w:val="00A618C7"/>
    <w:rsid w:val="00A619BB"/>
    <w:rsid w:val="00A61B24"/>
    <w:rsid w:val="00A61BF7"/>
    <w:rsid w:val="00A61E98"/>
    <w:rsid w:val="00A61FD0"/>
    <w:rsid w:val="00A623CA"/>
    <w:rsid w:val="00A62CA7"/>
    <w:rsid w:val="00A63742"/>
    <w:rsid w:val="00A649C9"/>
    <w:rsid w:val="00A64ADC"/>
    <w:rsid w:val="00A653D0"/>
    <w:rsid w:val="00A65683"/>
    <w:rsid w:val="00A65699"/>
    <w:rsid w:val="00A6578D"/>
    <w:rsid w:val="00A66310"/>
    <w:rsid w:val="00A66796"/>
    <w:rsid w:val="00A66C33"/>
    <w:rsid w:val="00A671BC"/>
    <w:rsid w:val="00A67556"/>
    <w:rsid w:val="00A67D2D"/>
    <w:rsid w:val="00A704D1"/>
    <w:rsid w:val="00A70876"/>
    <w:rsid w:val="00A70CE6"/>
    <w:rsid w:val="00A71460"/>
    <w:rsid w:val="00A71462"/>
    <w:rsid w:val="00A729DF"/>
    <w:rsid w:val="00A72C14"/>
    <w:rsid w:val="00A72CFE"/>
    <w:rsid w:val="00A72D62"/>
    <w:rsid w:val="00A72D8F"/>
    <w:rsid w:val="00A7353D"/>
    <w:rsid w:val="00A73799"/>
    <w:rsid w:val="00A7387F"/>
    <w:rsid w:val="00A73D84"/>
    <w:rsid w:val="00A7420F"/>
    <w:rsid w:val="00A743D4"/>
    <w:rsid w:val="00A74522"/>
    <w:rsid w:val="00A74D7D"/>
    <w:rsid w:val="00A74DEF"/>
    <w:rsid w:val="00A75120"/>
    <w:rsid w:val="00A7558B"/>
    <w:rsid w:val="00A756E6"/>
    <w:rsid w:val="00A75963"/>
    <w:rsid w:val="00A75F30"/>
    <w:rsid w:val="00A75F82"/>
    <w:rsid w:val="00A76311"/>
    <w:rsid w:val="00A764DB"/>
    <w:rsid w:val="00A76648"/>
    <w:rsid w:val="00A76805"/>
    <w:rsid w:val="00A76D65"/>
    <w:rsid w:val="00A77190"/>
    <w:rsid w:val="00A7737D"/>
    <w:rsid w:val="00A77EA9"/>
    <w:rsid w:val="00A80663"/>
    <w:rsid w:val="00A80C07"/>
    <w:rsid w:val="00A812DA"/>
    <w:rsid w:val="00A81B8F"/>
    <w:rsid w:val="00A81BFA"/>
    <w:rsid w:val="00A81F72"/>
    <w:rsid w:val="00A82287"/>
    <w:rsid w:val="00A8255A"/>
    <w:rsid w:val="00A829B2"/>
    <w:rsid w:val="00A834FD"/>
    <w:rsid w:val="00A8363D"/>
    <w:rsid w:val="00A8376C"/>
    <w:rsid w:val="00A83BE9"/>
    <w:rsid w:val="00A8420C"/>
    <w:rsid w:val="00A84B29"/>
    <w:rsid w:val="00A85778"/>
    <w:rsid w:val="00A85B3B"/>
    <w:rsid w:val="00A8650B"/>
    <w:rsid w:val="00A86734"/>
    <w:rsid w:val="00A86C2F"/>
    <w:rsid w:val="00A86D44"/>
    <w:rsid w:val="00A86DE6"/>
    <w:rsid w:val="00A86E80"/>
    <w:rsid w:val="00A871FC"/>
    <w:rsid w:val="00A87206"/>
    <w:rsid w:val="00A87797"/>
    <w:rsid w:val="00A87A67"/>
    <w:rsid w:val="00A87F8C"/>
    <w:rsid w:val="00A9004F"/>
    <w:rsid w:val="00A9048A"/>
    <w:rsid w:val="00A90646"/>
    <w:rsid w:val="00A90679"/>
    <w:rsid w:val="00A90FD1"/>
    <w:rsid w:val="00A911B6"/>
    <w:rsid w:val="00A91600"/>
    <w:rsid w:val="00A9170B"/>
    <w:rsid w:val="00A91990"/>
    <w:rsid w:val="00A91BD7"/>
    <w:rsid w:val="00A93169"/>
    <w:rsid w:val="00A93506"/>
    <w:rsid w:val="00A936B2"/>
    <w:rsid w:val="00A9370C"/>
    <w:rsid w:val="00A937EA"/>
    <w:rsid w:val="00A93BF5"/>
    <w:rsid w:val="00A9422D"/>
    <w:rsid w:val="00A94691"/>
    <w:rsid w:val="00A94DB4"/>
    <w:rsid w:val="00A94FB3"/>
    <w:rsid w:val="00A959CC"/>
    <w:rsid w:val="00A96051"/>
    <w:rsid w:val="00A96091"/>
    <w:rsid w:val="00A9685A"/>
    <w:rsid w:val="00A96E42"/>
    <w:rsid w:val="00A971B8"/>
    <w:rsid w:val="00A9734D"/>
    <w:rsid w:val="00AA0008"/>
    <w:rsid w:val="00AA0450"/>
    <w:rsid w:val="00AA0A21"/>
    <w:rsid w:val="00AA0B95"/>
    <w:rsid w:val="00AA0BAB"/>
    <w:rsid w:val="00AA12F2"/>
    <w:rsid w:val="00AA196B"/>
    <w:rsid w:val="00AA1C88"/>
    <w:rsid w:val="00AA2163"/>
    <w:rsid w:val="00AA24B2"/>
    <w:rsid w:val="00AA2584"/>
    <w:rsid w:val="00AA291F"/>
    <w:rsid w:val="00AA2A81"/>
    <w:rsid w:val="00AA31FB"/>
    <w:rsid w:val="00AA3539"/>
    <w:rsid w:val="00AA38BF"/>
    <w:rsid w:val="00AA3DB0"/>
    <w:rsid w:val="00AA420B"/>
    <w:rsid w:val="00AA4630"/>
    <w:rsid w:val="00AA4742"/>
    <w:rsid w:val="00AA4B0D"/>
    <w:rsid w:val="00AA4E26"/>
    <w:rsid w:val="00AA4FC7"/>
    <w:rsid w:val="00AA56A0"/>
    <w:rsid w:val="00AA6267"/>
    <w:rsid w:val="00AA6798"/>
    <w:rsid w:val="00AA6A57"/>
    <w:rsid w:val="00AA714C"/>
    <w:rsid w:val="00AA72EF"/>
    <w:rsid w:val="00AA7492"/>
    <w:rsid w:val="00AA7602"/>
    <w:rsid w:val="00AA79FD"/>
    <w:rsid w:val="00AB0678"/>
    <w:rsid w:val="00AB15EB"/>
    <w:rsid w:val="00AB17E7"/>
    <w:rsid w:val="00AB19FD"/>
    <w:rsid w:val="00AB1B0C"/>
    <w:rsid w:val="00AB1D25"/>
    <w:rsid w:val="00AB1D30"/>
    <w:rsid w:val="00AB2068"/>
    <w:rsid w:val="00AB2601"/>
    <w:rsid w:val="00AB26B7"/>
    <w:rsid w:val="00AB27B5"/>
    <w:rsid w:val="00AB3055"/>
    <w:rsid w:val="00AB3818"/>
    <w:rsid w:val="00AB38EE"/>
    <w:rsid w:val="00AB410F"/>
    <w:rsid w:val="00AB4A66"/>
    <w:rsid w:val="00AB4CD1"/>
    <w:rsid w:val="00AB5A52"/>
    <w:rsid w:val="00AB5E50"/>
    <w:rsid w:val="00AB6024"/>
    <w:rsid w:val="00AB617F"/>
    <w:rsid w:val="00AB6675"/>
    <w:rsid w:val="00AB6895"/>
    <w:rsid w:val="00AB6A6E"/>
    <w:rsid w:val="00AB6C5D"/>
    <w:rsid w:val="00AB6C79"/>
    <w:rsid w:val="00AB6D42"/>
    <w:rsid w:val="00AB6F86"/>
    <w:rsid w:val="00AB7357"/>
    <w:rsid w:val="00AB7440"/>
    <w:rsid w:val="00AC028E"/>
    <w:rsid w:val="00AC07D2"/>
    <w:rsid w:val="00AC0B13"/>
    <w:rsid w:val="00AC1220"/>
    <w:rsid w:val="00AC1998"/>
    <w:rsid w:val="00AC1DCB"/>
    <w:rsid w:val="00AC21CB"/>
    <w:rsid w:val="00AC2742"/>
    <w:rsid w:val="00AC2755"/>
    <w:rsid w:val="00AC3117"/>
    <w:rsid w:val="00AC33C9"/>
    <w:rsid w:val="00AC3510"/>
    <w:rsid w:val="00AC3D0B"/>
    <w:rsid w:val="00AC431D"/>
    <w:rsid w:val="00AC4404"/>
    <w:rsid w:val="00AC4663"/>
    <w:rsid w:val="00AC470E"/>
    <w:rsid w:val="00AC4CFC"/>
    <w:rsid w:val="00AC4D1D"/>
    <w:rsid w:val="00AC4E94"/>
    <w:rsid w:val="00AC561E"/>
    <w:rsid w:val="00AC573F"/>
    <w:rsid w:val="00AC5850"/>
    <w:rsid w:val="00AC59B8"/>
    <w:rsid w:val="00AC5DB4"/>
    <w:rsid w:val="00AC5F98"/>
    <w:rsid w:val="00AC66A7"/>
    <w:rsid w:val="00AC69A8"/>
    <w:rsid w:val="00AC6A7F"/>
    <w:rsid w:val="00AC6CB2"/>
    <w:rsid w:val="00AC764B"/>
    <w:rsid w:val="00AC7A69"/>
    <w:rsid w:val="00AC7E27"/>
    <w:rsid w:val="00AD04C2"/>
    <w:rsid w:val="00AD05C1"/>
    <w:rsid w:val="00AD09C5"/>
    <w:rsid w:val="00AD12B8"/>
    <w:rsid w:val="00AD1783"/>
    <w:rsid w:val="00AD1DE9"/>
    <w:rsid w:val="00AD1E1D"/>
    <w:rsid w:val="00AD1EBE"/>
    <w:rsid w:val="00AD24FB"/>
    <w:rsid w:val="00AD28DA"/>
    <w:rsid w:val="00AD2A2A"/>
    <w:rsid w:val="00AD315E"/>
    <w:rsid w:val="00AD3812"/>
    <w:rsid w:val="00AD3AFA"/>
    <w:rsid w:val="00AD3F19"/>
    <w:rsid w:val="00AD4223"/>
    <w:rsid w:val="00AD43AF"/>
    <w:rsid w:val="00AD465E"/>
    <w:rsid w:val="00AD4884"/>
    <w:rsid w:val="00AD57AB"/>
    <w:rsid w:val="00AD5950"/>
    <w:rsid w:val="00AD5A18"/>
    <w:rsid w:val="00AD609A"/>
    <w:rsid w:val="00AD63FB"/>
    <w:rsid w:val="00AD6751"/>
    <w:rsid w:val="00AD6DC5"/>
    <w:rsid w:val="00AD6F51"/>
    <w:rsid w:val="00AD734B"/>
    <w:rsid w:val="00AD7659"/>
    <w:rsid w:val="00AD7DD3"/>
    <w:rsid w:val="00AE0111"/>
    <w:rsid w:val="00AE01BC"/>
    <w:rsid w:val="00AE08E4"/>
    <w:rsid w:val="00AE0E56"/>
    <w:rsid w:val="00AE0E80"/>
    <w:rsid w:val="00AE17A2"/>
    <w:rsid w:val="00AE1D3B"/>
    <w:rsid w:val="00AE246D"/>
    <w:rsid w:val="00AE2DB0"/>
    <w:rsid w:val="00AE2E4C"/>
    <w:rsid w:val="00AE2E59"/>
    <w:rsid w:val="00AE2EEF"/>
    <w:rsid w:val="00AE3091"/>
    <w:rsid w:val="00AE30B0"/>
    <w:rsid w:val="00AE3271"/>
    <w:rsid w:val="00AE3439"/>
    <w:rsid w:val="00AE34E1"/>
    <w:rsid w:val="00AE36A1"/>
    <w:rsid w:val="00AE3D0A"/>
    <w:rsid w:val="00AE3E1D"/>
    <w:rsid w:val="00AE41CE"/>
    <w:rsid w:val="00AE42D7"/>
    <w:rsid w:val="00AE4AE2"/>
    <w:rsid w:val="00AE4AEE"/>
    <w:rsid w:val="00AE4BBC"/>
    <w:rsid w:val="00AE5D32"/>
    <w:rsid w:val="00AE5DC4"/>
    <w:rsid w:val="00AE601C"/>
    <w:rsid w:val="00AE65AE"/>
    <w:rsid w:val="00AE6727"/>
    <w:rsid w:val="00AE7441"/>
    <w:rsid w:val="00AE7F37"/>
    <w:rsid w:val="00AF0075"/>
    <w:rsid w:val="00AF01F4"/>
    <w:rsid w:val="00AF0264"/>
    <w:rsid w:val="00AF07EA"/>
    <w:rsid w:val="00AF0F4F"/>
    <w:rsid w:val="00AF230F"/>
    <w:rsid w:val="00AF2459"/>
    <w:rsid w:val="00AF295C"/>
    <w:rsid w:val="00AF2F18"/>
    <w:rsid w:val="00AF3062"/>
    <w:rsid w:val="00AF3720"/>
    <w:rsid w:val="00AF37CF"/>
    <w:rsid w:val="00AF39F9"/>
    <w:rsid w:val="00AF3A2A"/>
    <w:rsid w:val="00AF3B8F"/>
    <w:rsid w:val="00AF3D4C"/>
    <w:rsid w:val="00AF3E21"/>
    <w:rsid w:val="00AF45C5"/>
    <w:rsid w:val="00AF46B0"/>
    <w:rsid w:val="00AF487C"/>
    <w:rsid w:val="00AF4CF1"/>
    <w:rsid w:val="00AF5F32"/>
    <w:rsid w:val="00AF728E"/>
    <w:rsid w:val="00AF732F"/>
    <w:rsid w:val="00AF7625"/>
    <w:rsid w:val="00AF78A1"/>
    <w:rsid w:val="00AF793A"/>
    <w:rsid w:val="00AF7994"/>
    <w:rsid w:val="00AF7CFE"/>
    <w:rsid w:val="00B000E2"/>
    <w:rsid w:val="00B0031E"/>
    <w:rsid w:val="00B008D8"/>
    <w:rsid w:val="00B014CD"/>
    <w:rsid w:val="00B014FB"/>
    <w:rsid w:val="00B0168C"/>
    <w:rsid w:val="00B01AEE"/>
    <w:rsid w:val="00B020D7"/>
    <w:rsid w:val="00B023B0"/>
    <w:rsid w:val="00B03E4D"/>
    <w:rsid w:val="00B049D0"/>
    <w:rsid w:val="00B049DD"/>
    <w:rsid w:val="00B04ADF"/>
    <w:rsid w:val="00B058D7"/>
    <w:rsid w:val="00B05C2F"/>
    <w:rsid w:val="00B05DD0"/>
    <w:rsid w:val="00B0612F"/>
    <w:rsid w:val="00B06BD9"/>
    <w:rsid w:val="00B07538"/>
    <w:rsid w:val="00B07545"/>
    <w:rsid w:val="00B07727"/>
    <w:rsid w:val="00B07AD1"/>
    <w:rsid w:val="00B1047C"/>
    <w:rsid w:val="00B10824"/>
    <w:rsid w:val="00B1142A"/>
    <w:rsid w:val="00B1191D"/>
    <w:rsid w:val="00B12016"/>
    <w:rsid w:val="00B12AA9"/>
    <w:rsid w:val="00B12BB1"/>
    <w:rsid w:val="00B1317B"/>
    <w:rsid w:val="00B135BA"/>
    <w:rsid w:val="00B13812"/>
    <w:rsid w:val="00B13841"/>
    <w:rsid w:val="00B1391A"/>
    <w:rsid w:val="00B1394B"/>
    <w:rsid w:val="00B139B7"/>
    <w:rsid w:val="00B13A4A"/>
    <w:rsid w:val="00B13AB3"/>
    <w:rsid w:val="00B13DE4"/>
    <w:rsid w:val="00B13ECF"/>
    <w:rsid w:val="00B14294"/>
    <w:rsid w:val="00B14832"/>
    <w:rsid w:val="00B1512D"/>
    <w:rsid w:val="00B15AA2"/>
    <w:rsid w:val="00B15FA8"/>
    <w:rsid w:val="00B15FF3"/>
    <w:rsid w:val="00B1629F"/>
    <w:rsid w:val="00B167D6"/>
    <w:rsid w:val="00B16BE2"/>
    <w:rsid w:val="00B17089"/>
    <w:rsid w:val="00B17192"/>
    <w:rsid w:val="00B172FD"/>
    <w:rsid w:val="00B17615"/>
    <w:rsid w:val="00B1768F"/>
    <w:rsid w:val="00B1771E"/>
    <w:rsid w:val="00B17870"/>
    <w:rsid w:val="00B17A2E"/>
    <w:rsid w:val="00B17CFC"/>
    <w:rsid w:val="00B201FF"/>
    <w:rsid w:val="00B20240"/>
    <w:rsid w:val="00B2050E"/>
    <w:rsid w:val="00B205CF"/>
    <w:rsid w:val="00B20A64"/>
    <w:rsid w:val="00B20BDE"/>
    <w:rsid w:val="00B20BE8"/>
    <w:rsid w:val="00B20CEB"/>
    <w:rsid w:val="00B20EC4"/>
    <w:rsid w:val="00B21066"/>
    <w:rsid w:val="00B2178E"/>
    <w:rsid w:val="00B21D7E"/>
    <w:rsid w:val="00B2250D"/>
    <w:rsid w:val="00B23394"/>
    <w:rsid w:val="00B2360D"/>
    <w:rsid w:val="00B23A2D"/>
    <w:rsid w:val="00B23B71"/>
    <w:rsid w:val="00B23CD1"/>
    <w:rsid w:val="00B23F1D"/>
    <w:rsid w:val="00B240C8"/>
    <w:rsid w:val="00B244B4"/>
    <w:rsid w:val="00B24558"/>
    <w:rsid w:val="00B2460F"/>
    <w:rsid w:val="00B24776"/>
    <w:rsid w:val="00B24E0A"/>
    <w:rsid w:val="00B25028"/>
    <w:rsid w:val="00B251E2"/>
    <w:rsid w:val="00B25372"/>
    <w:rsid w:val="00B25518"/>
    <w:rsid w:val="00B25864"/>
    <w:rsid w:val="00B258B9"/>
    <w:rsid w:val="00B25CB5"/>
    <w:rsid w:val="00B25F47"/>
    <w:rsid w:val="00B26044"/>
    <w:rsid w:val="00B2630F"/>
    <w:rsid w:val="00B26E6A"/>
    <w:rsid w:val="00B27072"/>
    <w:rsid w:val="00B271F1"/>
    <w:rsid w:val="00B279F1"/>
    <w:rsid w:val="00B27E1D"/>
    <w:rsid w:val="00B30CC6"/>
    <w:rsid w:val="00B31EAF"/>
    <w:rsid w:val="00B31F7B"/>
    <w:rsid w:val="00B32026"/>
    <w:rsid w:val="00B321A5"/>
    <w:rsid w:val="00B321CC"/>
    <w:rsid w:val="00B32AE7"/>
    <w:rsid w:val="00B32B88"/>
    <w:rsid w:val="00B33303"/>
    <w:rsid w:val="00B33764"/>
    <w:rsid w:val="00B337AC"/>
    <w:rsid w:val="00B339F7"/>
    <w:rsid w:val="00B33BA3"/>
    <w:rsid w:val="00B33E9C"/>
    <w:rsid w:val="00B33FFB"/>
    <w:rsid w:val="00B34070"/>
    <w:rsid w:val="00B341CD"/>
    <w:rsid w:val="00B342D5"/>
    <w:rsid w:val="00B34F6B"/>
    <w:rsid w:val="00B353CA"/>
    <w:rsid w:val="00B362E3"/>
    <w:rsid w:val="00B364CD"/>
    <w:rsid w:val="00B367B4"/>
    <w:rsid w:val="00B36EAF"/>
    <w:rsid w:val="00B377C1"/>
    <w:rsid w:val="00B378B8"/>
    <w:rsid w:val="00B401D6"/>
    <w:rsid w:val="00B40348"/>
    <w:rsid w:val="00B40743"/>
    <w:rsid w:val="00B408DE"/>
    <w:rsid w:val="00B40CBE"/>
    <w:rsid w:val="00B41008"/>
    <w:rsid w:val="00B41108"/>
    <w:rsid w:val="00B418ED"/>
    <w:rsid w:val="00B42271"/>
    <w:rsid w:val="00B4232F"/>
    <w:rsid w:val="00B4262A"/>
    <w:rsid w:val="00B43830"/>
    <w:rsid w:val="00B43E4C"/>
    <w:rsid w:val="00B4494D"/>
    <w:rsid w:val="00B45041"/>
    <w:rsid w:val="00B45232"/>
    <w:rsid w:val="00B453F0"/>
    <w:rsid w:val="00B45C98"/>
    <w:rsid w:val="00B45E48"/>
    <w:rsid w:val="00B46385"/>
    <w:rsid w:val="00B46CDE"/>
    <w:rsid w:val="00B47EA8"/>
    <w:rsid w:val="00B50517"/>
    <w:rsid w:val="00B505CF"/>
    <w:rsid w:val="00B507E5"/>
    <w:rsid w:val="00B512B1"/>
    <w:rsid w:val="00B5153B"/>
    <w:rsid w:val="00B51B54"/>
    <w:rsid w:val="00B5225A"/>
    <w:rsid w:val="00B52653"/>
    <w:rsid w:val="00B52CFC"/>
    <w:rsid w:val="00B53330"/>
    <w:rsid w:val="00B5365C"/>
    <w:rsid w:val="00B53BF9"/>
    <w:rsid w:val="00B540DC"/>
    <w:rsid w:val="00B541A1"/>
    <w:rsid w:val="00B542FB"/>
    <w:rsid w:val="00B543F6"/>
    <w:rsid w:val="00B546CB"/>
    <w:rsid w:val="00B549F8"/>
    <w:rsid w:val="00B54DE5"/>
    <w:rsid w:val="00B54F58"/>
    <w:rsid w:val="00B54F7E"/>
    <w:rsid w:val="00B55052"/>
    <w:rsid w:val="00B55539"/>
    <w:rsid w:val="00B555B5"/>
    <w:rsid w:val="00B556E5"/>
    <w:rsid w:val="00B5581E"/>
    <w:rsid w:val="00B55A7B"/>
    <w:rsid w:val="00B55CE9"/>
    <w:rsid w:val="00B55E61"/>
    <w:rsid w:val="00B566F0"/>
    <w:rsid w:val="00B56FE1"/>
    <w:rsid w:val="00B56FE8"/>
    <w:rsid w:val="00B57404"/>
    <w:rsid w:val="00B575B1"/>
    <w:rsid w:val="00B5788F"/>
    <w:rsid w:val="00B57AA6"/>
    <w:rsid w:val="00B57B14"/>
    <w:rsid w:val="00B57BC3"/>
    <w:rsid w:val="00B602CA"/>
    <w:rsid w:val="00B60E47"/>
    <w:rsid w:val="00B60E7D"/>
    <w:rsid w:val="00B61266"/>
    <w:rsid w:val="00B6196F"/>
    <w:rsid w:val="00B62006"/>
    <w:rsid w:val="00B62113"/>
    <w:rsid w:val="00B6223A"/>
    <w:rsid w:val="00B6282E"/>
    <w:rsid w:val="00B62AAC"/>
    <w:rsid w:val="00B62B4B"/>
    <w:rsid w:val="00B63039"/>
    <w:rsid w:val="00B63245"/>
    <w:rsid w:val="00B632F4"/>
    <w:rsid w:val="00B63785"/>
    <w:rsid w:val="00B63A0F"/>
    <w:rsid w:val="00B63ACA"/>
    <w:rsid w:val="00B63F93"/>
    <w:rsid w:val="00B6404C"/>
    <w:rsid w:val="00B64457"/>
    <w:rsid w:val="00B647BA"/>
    <w:rsid w:val="00B6484D"/>
    <w:rsid w:val="00B648B1"/>
    <w:rsid w:val="00B64D85"/>
    <w:rsid w:val="00B64DCD"/>
    <w:rsid w:val="00B65141"/>
    <w:rsid w:val="00B6572C"/>
    <w:rsid w:val="00B6598C"/>
    <w:rsid w:val="00B65B15"/>
    <w:rsid w:val="00B662F5"/>
    <w:rsid w:val="00B66535"/>
    <w:rsid w:val="00B666E6"/>
    <w:rsid w:val="00B66812"/>
    <w:rsid w:val="00B6684C"/>
    <w:rsid w:val="00B668F5"/>
    <w:rsid w:val="00B668FB"/>
    <w:rsid w:val="00B66FDE"/>
    <w:rsid w:val="00B6751C"/>
    <w:rsid w:val="00B676A8"/>
    <w:rsid w:val="00B67835"/>
    <w:rsid w:val="00B67874"/>
    <w:rsid w:val="00B6791D"/>
    <w:rsid w:val="00B679E6"/>
    <w:rsid w:val="00B703AB"/>
    <w:rsid w:val="00B716F5"/>
    <w:rsid w:val="00B71829"/>
    <w:rsid w:val="00B71919"/>
    <w:rsid w:val="00B72429"/>
    <w:rsid w:val="00B72B36"/>
    <w:rsid w:val="00B72CE4"/>
    <w:rsid w:val="00B7309B"/>
    <w:rsid w:val="00B73126"/>
    <w:rsid w:val="00B732C2"/>
    <w:rsid w:val="00B73455"/>
    <w:rsid w:val="00B73C31"/>
    <w:rsid w:val="00B7443B"/>
    <w:rsid w:val="00B745B1"/>
    <w:rsid w:val="00B75470"/>
    <w:rsid w:val="00B754B9"/>
    <w:rsid w:val="00B75784"/>
    <w:rsid w:val="00B75D4D"/>
    <w:rsid w:val="00B7664F"/>
    <w:rsid w:val="00B76969"/>
    <w:rsid w:val="00B77115"/>
    <w:rsid w:val="00B778E2"/>
    <w:rsid w:val="00B77EF0"/>
    <w:rsid w:val="00B8024E"/>
    <w:rsid w:val="00B80780"/>
    <w:rsid w:val="00B809F3"/>
    <w:rsid w:val="00B80EF1"/>
    <w:rsid w:val="00B81133"/>
    <w:rsid w:val="00B81856"/>
    <w:rsid w:val="00B81C02"/>
    <w:rsid w:val="00B822A9"/>
    <w:rsid w:val="00B824FB"/>
    <w:rsid w:val="00B82AEB"/>
    <w:rsid w:val="00B82FCB"/>
    <w:rsid w:val="00B836B3"/>
    <w:rsid w:val="00B83F26"/>
    <w:rsid w:val="00B8477E"/>
    <w:rsid w:val="00B849E6"/>
    <w:rsid w:val="00B850A2"/>
    <w:rsid w:val="00B85B2E"/>
    <w:rsid w:val="00B85CE7"/>
    <w:rsid w:val="00B85DE1"/>
    <w:rsid w:val="00B85DEF"/>
    <w:rsid w:val="00B86229"/>
    <w:rsid w:val="00B86602"/>
    <w:rsid w:val="00B86842"/>
    <w:rsid w:val="00B8690B"/>
    <w:rsid w:val="00B8713F"/>
    <w:rsid w:val="00B871A8"/>
    <w:rsid w:val="00B872E9"/>
    <w:rsid w:val="00B87367"/>
    <w:rsid w:val="00B87543"/>
    <w:rsid w:val="00B87590"/>
    <w:rsid w:val="00B877B3"/>
    <w:rsid w:val="00B900A0"/>
    <w:rsid w:val="00B906FF"/>
    <w:rsid w:val="00B90868"/>
    <w:rsid w:val="00B909A1"/>
    <w:rsid w:val="00B90ACE"/>
    <w:rsid w:val="00B90D06"/>
    <w:rsid w:val="00B90D85"/>
    <w:rsid w:val="00B911EA"/>
    <w:rsid w:val="00B91C67"/>
    <w:rsid w:val="00B9258D"/>
    <w:rsid w:val="00B9262D"/>
    <w:rsid w:val="00B927A1"/>
    <w:rsid w:val="00B929B7"/>
    <w:rsid w:val="00B92BBF"/>
    <w:rsid w:val="00B9303F"/>
    <w:rsid w:val="00B93713"/>
    <w:rsid w:val="00B95662"/>
    <w:rsid w:val="00B95713"/>
    <w:rsid w:val="00B95804"/>
    <w:rsid w:val="00B9595F"/>
    <w:rsid w:val="00B95B39"/>
    <w:rsid w:val="00B95E2D"/>
    <w:rsid w:val="00B95EEE"/>
    <w:rsid w:val="00B96280"/>
    <w:rsid w:val="00B962EF"/>
    <w:rsid w:val="00B969B4"/>
    <w:rsid w:val="00B96B25"/>
    <w:rsid w:val="00B96DCC"/>
    <w:rsid w:val="00B97F01"/>
    <w:rsid w:val="00BA0245"/>
    <w:rsid w:val="00BA025D"/>
    <w:rsid w:val="00BA02F9"/>
    <w:rsid w:val="00BA0FDA"/>
    <w:rsid w:val="00BA15E9"/>
    <w:rsid w:val="00BA1ABE"/>
    <w:rsid w:val="00BA2281"/>
    <w:rsid w:val="00BA241D"/>
    <w:rsid w:val="00BA26FC"/>
    <w:rsid w:val="00BA2AF2"/>
    <w:rsid w:val="00BA2B9A"/>
    <w:rsid w:val="00BA2CD2"/>
    <w:rsid w:val="00BA2E16"/>
    <w:rsid w:val="00BA305E"/>
    <w:rsid w:val="00BA36AD"/>
    <w:rsid w:val="00BA3A33"/>
    <w:rsid w:val="00BA3C07"/>
    <w:rsid w:val="00BA4020"/>
    <w:rsid w:val="00BA41E4"/>
    <w:rsid w:val="00BA4AFF"/>
    <w:rsid w:val="00BA4B80"/>
    <w:rsid w:val="00BA4D81"/>
    <w:rsid w:val="00BA4E64"/>
    <w:rsid w:val="00BA5541"/>
    <w:rsid w:val="00BA56B0"/>
    <w:rsid w:val="00BA5781"/>
    <w:rsid w:val="00BA591F"/>
    <w:rsid w:val="00BA5960"/>
    <w:rsid w:val="00BA59E8"/>
    <w:rsid w:val="00BA5FDF"/>
    <w:rsid w:val="00BA6702"/>
    <w:rsid w:val="00BA67BF"/>
    <w:rsid w:val="00BA68A2"/>
    <w:rsid w:val="00BA7316"/>
    <w:rsid w:val="00BA7367"/>
    <w:rsid w:val="00BA77EC"/>
    <w:rsid w:val="00BA7C3B"/>
    <w:rsid w:val="00BB074E"/>
    <w:rsid w:val="00BB0923"/>
    <w:rsid w:val="00BB0AD2"/>
    <w:rsid w:val="00BB0AD3"/>
    <w:rsid w:val="00BB1069"/>
    <w:rsid w:val="00BB131F"/>
    <w:rsid w:val="00BB143F"/>
    <w:rsid w:val="00BB1661"/>
    <w:rsid w:val="00BB182C"/>
    <w:rsid w:val="00BB18CF"/>
    <w:rsid w:val="00BB1AA6"/>
    <w:rsid w:val="00BB1B65"/>
    <w:rsid w:val="00BB1D94"/>
    <w:rsid w:val="00BB1E44"/>
    <w:rsid w:val="00BB20D2"/>
    <w:rsid w:val="00BB215E"/>
    <w:rsid w:val="00BB23A1"/>
    <w:rsid w:val="00BB2D71"/>
    <w:rsid w:val="00BB34CD"/>
    <w:rsid w:val="00BB4162"/>
    <w:rsid w:val="00BB4408"/>
    <w:rsid w:val="00BB46C7"/>
    <w:rsid w:val="00BB55A2"/>
    <w:rsid w:val="00BB5996"/>
    <w:rsid w:val="00BB6306"/>
    <w:rsid w:val="00BB65B8"/>
    <w:rsid w:val="00BB674F"/>
    <w:rsid w:val="00BB6AD6"/>
    <w:rsid w:val="00BB7513"/>
    <w:rsid w:val="00BB77AF"/>
    <w:rsid w:val="00BB77D0"/>
    <w:rsid w:val="00BB7886"/>
    <w:rsid w:val="00BB7A71"/>
    <w:rsid w:val="00BB7B21"/>
    <w:rsid w:val="00BB7EE2"/>
    <w:rsid w:val="00BC114A"/>
    <w:rsid w:val="00BC12C8"/>
    <w:rsid w:val="00BC1774"/>
    <w:rsid w:val="00BC17BA"/>
    <w:rsid w:val="00BC19FA"/>
    <w:rsid w:val="00BC1C58"/>
    <w:rsid w:val="00BC1E6D"/>
    <w:rsid w:val="00BC2179"/>
    <w:rsid w:val="00BC263E"/>
    <w:rsid w:val="00BC28D6"/>
    <w:rsid w:val="00BC2C47"/>
    <w:rsid w:val="00BC3518"/>
    <w:rsid w:val="00BC39D0"/>
    <w:rsid w:val="00BC3A88"/>
    <w:rsid w:val="00BC3BDB"/>
    <w:rsid w:val="00BC3E04"/>
    <w:rsid w:val="00BC3E47"/>
    <w:rsid w:val="00BC3FC2"/>
    <w:rsid w:val="00BC4337"/>
    <w:rsid w:val="00BC4850"/>
    <w:rsid w:val="00BC4DDE"/>
    <w:rsid w:val="00BC50BC"/>
    <w:rsid w:val="00BC50D3"/>
    <w:rsid w:val="00BC52C2"/>
    <w:rsid w:val="00BC5C9B"/>
    <w:rsid w:val="00BC5E5F"/>
    <w:rsid w:val="00BC6068"/>
    <w:rsid w:val="00BC653B"/>
    <w:rsid w:val="00BC6759"/>
    <w:rsid w:val="00BC67EC"/>
    <w:rsid w:val="00BC7465"/>
    <w:rsid w:val="00BC7469"/>
    <w:rsid w:val="00BC75AE"/>
    <w:rsid w:val="00BC78B6"/>
    <w:rsid w:val="00BC7F7A"/>
    <w:rsid w:val="00BD08DF"/>
    <w:rsid w:val="00BD12AB"/>
    <w:rsid w:val="00BD20EF"/>
    <w:rsid w:val="00BD24BB"/>
    <w:rsid w:val="00BD2804"/>
    <w:rsid w:val="00BD2B62"/>
    <w:rsid w:val="00BD2C21"/>
    <w:rsid w:val="00BD2DCD"/>
    <w:rsid w:val="00BD392B"/>
    <w:rsid w:val="00BD3970"/>
    <w:rsid w:val="00BD3B76"/>
    <w:rsid w:val="00BD3C1E"/>
    <w:rsid w:val="00BD3FDF"/>
    <w:rsid w:val="00BD4248"/>
    <w:rsid w:val="00BD4553"/>
    <w:rsid w:val="00BD46A8"/>
    <w:rsid w:val="00BD46BE"/>
    <w:rsid w:val="00BD4922"/>
    <w:rsid w:val="00BD4C4C"/>
    <w:rsid w:val="00BD4E07"/>
    <w:rsid w:val="00BD4F5A"/>
    <w:rsid w:val="00BD6285"/>
    <w:rsid w:val="00BD6508"/>
    <w:rsid w:val="00BD6881"/>
    <w:rsid w:val="00BD68CA"/>
    <w:rsid w:val="00BD6C8E"/>
    <w:rsid w:val="00BD6DC8"/>
    <w:rsid w:val="00BD711B"/>
    <w:rsid w:val="00BD730E"/>
    <w:rsid w:val="00BD775A"/>
    <w:rsid w:val="00BD7806"/>
    <w:rsid w:val="00BD7D66"/>
    <w:rsid w:val="00BD7E7C"/>
    <w:rsid w:val="00BE016D"/>
    <w:rsid w:val="00BE02B6"/>
    <w:rsid w:val="00BE0534"/>
    <w:rsid w:val="00BE07E3"/>
    <w:rsid w:val="00BE17C9"/>
    <w:rsid w:val="00BE18C0"/>
    <w:rsid w:val="00BE1ADC"/>
    <w:rsid w:val="00BE1BB4"/>
    <w:rsid w:val="00BE1FA2"/>
    <w:rsid w:val="00BE30AE"/>
    <w:rsid w:val="00BE393A"/>
    <w:rsid w:val="00BE412E"/>
    <w:rsid w:val="00BE41B0"/>
    <w:rsid w:val="00BE429A"/>
    <w:rsid w:val="00BE449D"/>
    <w:rsid w:val="00BE44D5"/>
    <w:rsid w:val="00BE4A32"/>
    <w:rsid w:val="00BE4F1A"/>
    <w:rsid w:val="00BE55FF"/>
    <w:rsid w:val="00BE5A64"/>
    <w:rsid w:val="00BE6891"/>
    <w:rsid w:val="00BE7154"/>
    <w:rsid w:val="00BE749F"/>
    <w:rsid w:val="00BE7616"/>
    <w:rsid w:val="00BE7BCB"/>
    <w:rsid w:val="00BE7DDF"/>
    <w:rsid w:val="00BE7F43"/>
    <w:rsid w:val="00BF005E"/>
    <w:rsid w:val="00BF0301"/>
    <w:rsid w:val="00BF0CAD"/>
    <w:rsid w:val="00BF1121"/>
    <w:rsid w:val="00BF11D1"/>
    <w:rsid w:val="00BF139A"/>
    <w:rsid w:val="00BF13B8"/>
    <w:rsid w:val="00BF15C8"/>
    <w:rsid w:val="00BF16D6"/>
    <w:rsid w:val="00BF1875"/>
    <w:rsid w:val="00BF19EA"/>
    <w:rsid w:val="00BF1F64"/>
    <w:rsid w:val="00BF229D"/>
    <w:rsid w:val="00BF2591"/>
    <w:rsid w:val="00BF298B"/>
    <w:rsid w:val="00BF2AB3"/>
    <w:rsid w:val="00BF2BFD"/>
    <w:rsid w:val="00BF317D"/>
    <w:rsid w:val="00BF3232"/>
    <w:rsid w:val="00BF327C"/>
    <w:rsid w:val="00BF32C7"/>
    <w:rsid w:val="00BF331D"/>
    <w:rsid w:val="00BF4323"/>
    <w:rsid w:val="00BF4461"/>
    <w:rsid w:val="00BF4C48"/>
    <w:rsid w:val="00BF52AD"/>
    <w:rsid w:val="00BF593B"/>
    <w:rsid w:val="00BF59D0"/>
    <w:rsid w:val="00BF5FE8"/>
    <w:rsid w:val="00BF601E"/>
    <w:rsid w:val="00BF6532"/>
    <w:rsid w:val="00BF72B9"/>
    <w:rsid w:val="00BF73AF"/>
    <w:rsid w:val="00BF77C5"/>
    <w:rsid w:val="00BF77D9"/>
    <w:rsid w:val="00BF7D23"/>
    <w:rsid w:val="00C000ED"/>
    <w:rsid w:val="00C00E89"/>
    <w:rsid w:val="00C0133E"/>
    <w:rsid w:val="00C0175C"/>
    <w:rsid w:val="00C021E2"/>
    <w:rsid w:val="00C02E21"/>
    <w:rsid w:val="00C03098"/>
    <w:rsid w:val="00C03A7A"/>
    <w:rsid w:val="00C03BCF"/>
    <w:rsid w:val="00C03EA4"/>
    <w:rsid w:val="00C04037"/>
    <w:rsid w:val="00C04108"/>
    <w:rsid w:val="00C0447D"/>
    <w:rsid w:val="00C04693"/>
    <w:rsid w:val="00C04CB2"/>
    <w:rsid w:val="00C05A3C"/>
    <w:rsid w:val="00C05ADC"/>
    <w:rsid w:val="00C05BA0"/>
    <w:rsid w:val="00C05EAE"/>
    <w:rsid w:val="00C0661F"/>
    <w:rsid w:val="00C06A6D"/>
    <w:rsid w:val="00C06B49"/>
    <w:rsid w:val="00C06D42"/>
    <w:rsid w:val="00C07A13"/>
    <w:rsid w:val="00C07DFE"/>
    <w:rsid w:val="00C1050D"/>
    <w:rsid w:val="00C10663"/>
    <w:rsid w:val="00C10768"/>
    <w:rsid w:val="00C11AF9"/>
    <w:rsid w:val="00C11E1C"/>
    <w:rsid w:val="00C11EF7"/>
    <w:rsid w:val="00C11F60"/>
    <w:rsid w:val="00C122A9"/>
    <w:rsid w:val="00C123B2"/>
    <w:rsid w:val="00C124AB"/>
    <w:rsid w:val="00C12537"/>
    <w:rsid w:val="00C12746"/>
    <w:rsid w:val="00C128A5"/>
    <w:rsid w:val="00C12CB2"/>
    <w:rsid w:val="00C12ED2"/>
    <w:rsid w:val="00C133E9"/>
    <w:rsid w:val="00C1385A"/>
    <w:rsid w:val="00C13A20"/>
    <w:rsid w:val="00C13BE3"/>
    <w:rsid w:val="00C13D6D"/>
    <w:rsid w:val="00C13E0B"/>
    <w:rsid w:val="00C14049"/>
    <w:rsid w:val="00C1409F"/>
    <w:rsid w:val="00C148B9"/>
    <w:rsid w:val="00C14FB2"/>
    <w:rsid w:val="00C1532F"/>
    <w:rsid w:val="00C15454"/>
    <w:rsid w:val="00C15740"/>
    <w:rsid w:val="00C15BD4"/>
    <w:rsid w:val="00C15C4B"/>
    <w:rsid w:val="00C15C54"/>
    <w:rsid w:val="00C15CB6"/>
    <w:rsid w:val="00C15D13"/>
    <w:rsid w:val="00C15D29"/>
    <w:rsid w:val="00C163EE"/>
    <w:rsid w:val="00C166DE"/>
    <w:rsid w:val="00C1689B"/>
    <w:rsid w:val="00C16CD4"/>
    <w:rsid w:val="00C16EA6"/>
    <w:rsid w:val="00C16F56"/>
    <w:rsid w:val="00C17045"/>
    <w:rsid w:val="00C172F2"/>
    <w:rsid w:val="00C17400"/>
    <w:rsid w:val="00C17427"/>
    <w:rsid w:val="00C1769D"/>
    <w:rsid w:val="00C177C4"/>
    <w:rsid w:val="00C20006"/>
    <w:rsid w:val="00C20121"/>
    <w:rsid w:val="00C203A1"/>
    <w:rsid w:val="00C20460"/>
    <w:rsid w:val="00C20500"/>
    <w:rsid w:val="00C20919"/>
    <w:rsid w:val="00C20BCE"/>
    <w:rsid w:val="00C20F6E"/>
    <w:rsid w:val="00C213BB"/>
    <w:rsid w:val="00C216C8"/>
    <w:rsid w:val="00C21A9A"/>
    <w:rsid w:val="00C21B38"/>
    <w:rsid w:val="00C21C0B"/>
    <w:rsid w:val="00C22184"/>
    <w:rsid w:val="00C2220B"/>
    <w:rsid w:val="00C229CE"/>
    <w:rsid w:val="00C22F76"/>
    <w:rsid w:val="00C23BCE"/>
    <w:rsid w:val="00C241C6"/>
    <w:rsid w:val="00C246C5"/>
    <w:rsid w:val="00C24742"/>
    <w:rsid w:val="00C25141"/>
    <w:rsid w:val="00C25697"/>
    <w:rsid w:val="00C25F1D"/>
    <w:rsid w:val="00C260C0"/>
    <w:rsid w:val="00C269B7"/>
    <w:rsid w:val="00C269F4"/>
    <w:rsid w:val="00C26AED"/>
    <w:rsid w:val="00C26FCC"/>
    <w:rsid w:val="00C27035"/>
    <w:rsid w:val="00C274E8"/>
    <w:rsid w:val="00C279FF"/>
    <w:rsid w:val="00C27BF2"/>
    <w:rsid w:val="00C27E59"/>
    <w:rsid w:val="00C27F3A"/>
    <w:rsid w:val="00C3063B"/>
    <w:rsid w:val="00C30940"/>
    <w:rsid w:val="00C311A3"/>
    <w:rsid w:val="00C31399"/>
    <w:rsid w:val="00C31518"/>
    <w:rsid w:val="00C31DE4"/>
    <w:rsid w:val="00C31EFF"/>
    <w:rsid w:val="00C3208F"/>
    <w:rsid w:val="00C320A5"/>
    <w:rsid w:val="00C32171"/>
    <w:rsid w:val="00C32273"/>
    <w:rsid w:val="00C328D4"/>
    <w:rsid w:val="00C33361"/>
    <w:rsid w:val="00C33519"/>
    <w:rsid w:val="00C33BE8"/>
    <w:rsid w:val="00C33BEA"/>
    <w:rsid w:val="00C33C96"/>
    <w:rsid w:val="00C34288"/>
    <w:rsid w:val="00C346CE"/>
    <w:rsid w:val="00C346CF"/>
    <w:rsid w:val="00C34CBC"/>
    <w:rsid w:val="00C34DB1"/>
    <w:rsid w:val="00C35055"/>
    <w:rsid w:val="00C3518A"/>
    <w:rsid w:val="00C35900"/>
    <w:rsid w:val="00C367DF"/>
    <w:rsid w:val="00C36974"/>
    <w:rsid w:val="00C36B21"/>
    <w:rsid w:val="00C379C2"/>
    <w:rsid w:val="00C37F06"/>
    <w:rsid w:val="00C40092"/>
    <w:rsid w:val="00C401F8"/>
    <w:rsid w:val="00C4051A"/>
    <w:rsid w:val="00C40727"/>
    <w:rsid w:val="00C40CD4"/>
    <w:rsid w:val="00C427FA"/>
    <w:rsid w:val="00C42D40"/>
    <w:rsid w:val="00C4336A"/>
    <w:rsid w:val="00C43552"/>
    <w:rsid w:val="00C438D4"/>
    <w:rsid w:val="00C438FA"/>
    <w:rsid w:val="00C43AD1"/>
    <w:rsid w:val="00C43BFE"/>
    <w:rsid w:val="00C43C5B"/>
    <w:rsid w:val="00C43D0B"/>
    <w:rsid w:val="00C4444B"/>
    <w:rsid w:val="00C44455"/>
    <w:rsid w:val="00C44AED"/>
    <w:rsid w:val="00C44D57"/>
    <w:rsid w:val="00C45388"/>
    <w:rsid w:val="00C4558A"/>
    <w:rsid w:val="00C45BA9"/>
    <w:rsid w:val="00C465BD"/>
    <w:rsid w:val="00C46728"/>
    <w:rsid w:val="00C4707B"/>
    <w:rsid w:val="00C47308"/>
    <w:rsid w:val="00C478DA"/>
    <w:rsid w:val="00C47C85"/>
    <w:rsid w:val="00C47E97"/>
    <w:rsid w:val="00C50162"/>
    <w:rsid w:val="00C504D0"/>
    <w:rsid w:val="00C50594"/>
    <w:rsid w:val="00C5081F"/>
    <w:rsid w:val="00C50C7A"/>
    <w:rsid w:val="00C50E85"/>
    <w:rsid w:val="00C512D5"/>
    <w:rsid w:val="00C514A7"/>
    <w:rsid w:val="00C51590"/>
    <w:rsid w:val="00C51707"/>
    <w:rsid w:val="00C517CB"/>
    <w:rsid w:val="00C51831"/>
    <w:rsid w:val="00C5183D"/>
    <w:rsid w:val="00C5235B"/>
    <w:rsid w:val="00C5276B"/>
    <w:rsid w:val="00C527BB"/>
    <w:rsid w:val="00C527DD"/>
    <w:rsid w:val="00C5373F"/>
    <w:rsid w:val="00C549A9"/>
    <w:rsid w:val="00C54A1B"/>
    <w:rsid w:val="00C555E1"/>
    <w:rsid w:val="00C55B43"/>
    <w:rsid w:val="00C55E90"/>
    <w:rsid w:val="00C55F48"/>
    <w:rsid w:val="00C5690E"/>
    <w:rsid w:val="00C56A53"/>
    <w:rsid w:val="00C56D95"/>
    <w:rsid w:val="00C57591"/>
    <w:rsid w:val="00C57AFA"/>
    <w:rsid w:val="00C57C25"/>
    <w:rsid w:val="00C602DB"/>
    <w:rsid w:val="00C60499"/>
    <w:rsid w:val="00C604C0"/>
    <w:rsid w:val="00C60A68"/>
    <w:rsid w:val="00C60B38"/>
    <w:rsid w:val="00C60C58"/>
    <w:rsid w:val="00C60CFE"/>
    <w:rsid w:val="00C61944"/>
    <w:rsid w:val="00C62053"/>
    <w:rsid w:val="00C624BC"/>
    <w:rsid w:val="00C626FA"/>
    <w:rsid w:val="00C6290E"/>
    <w:rsid w:val="00C62E95"/>
    <w:rsid w:val="00C63236"/>
    <w:rsid w:val="00C6351A"/>
    <w:rsid w:val="00C63BAC"/>
    <w:rsid w:val="00C63D0B"/>
    <w:rsid w:val="00C63F79"/>
    <w:rsid w:val="00C64698"/>
    <w:rsid w:val="00C648E2"/>
    <w:rsid w:val="00C64AEB"/>
    <w:rsid w:val="00C64DCD"/>
    <w:rsid w:val="00C64F85"/>
    <w:rsid w:val="00C6530F"/>
    <w:rsid w:val="00C653EB"/>
    <w:rsid w:val="00C65899"/>
    <w:rsid w:val="00C658F2"/>
    <w:rsid w:val="00C65FCC"/>
    <w:rsid w:val="00C66D96"/>
    <w:rsid w:val="00C66E04"/>
    <w:rsid w:val="00C67531"/>
    <w:rsid w:val="00C675FC"/>
    <w:rsid w:val="00C67DAD"/>
    <w:rsid w:val="00C701AC"/>
    <w:rsid w:val="00C71264"/>
    <w:rsid w:val="00C71550"/>
    <w:rsid w:val="00C719BA"/>
    <w:rsid w:val="00C72078"/>
    <w:rsid w:val="00C72167"/>
    <w:rsid w:val="00C72660"/>
    <w:rsid w:val="00C72996"/>
    <w:rsid w:val="00C72B4D"/>
    <w:rsid w:val="00C72B50"/>
    <w:rsid w:val="00C72DDC"/>
    <w:rsid w:val="00C739CE"/>
    <w:rsid w:val="00C739E1"/>
    <w:rsid w:val="00C73B7F"/>
    <w:rsid w:val="00C73C53"/>
    <w:rsid w:val="00C74032"/>
    <w:rsid w:val="00C74BB1"/>
    <w:rsid w:val="00C74E1D"/>
    <w:rsid w:val="00C74F3E"/>
    <w:rsid w:val="00C757F2"/>
    <w:rsid w:val="00C757FD"/>
    <w:rsid w:val="00C75822"/>
    <w:rsid w:val="00C758FA"/>
    <w:rsid w:val="00C7604E"/>
    <w:rsid w:val="00C760A2"/>
    <w:rsid w:val="00C76505"/>
    <w:rsid w:val="00C76701"/>
    <w:rsid w:val="00C76A80"/>
    <w:rsid w:val="00C76BF0"/>
    <w:rsid w:val="00C773A9"/>
    <w:rsid w:val="00C774E6"/>
    <w:rsid w:val="00C7769C"/>
    <w:rsid w:val="00C7797B"/>
    <w:rsid w:val="00C80781"/>
    <w:rsid w:val="00C807A7"/>
    <w:rsid w:val="00C81141"/>
    <w:rsid w:val="00C814FE"/>
    <w:rsid w:val="00C81546"/>
    <w:rsid w:val="00C815F4"/>
    <w:rsid w:val="00C818FD"/>
    <w:rsid w:val="00C81B9B"/>
    <w:rsid w:val="00C81BB6"/>
    <w:rsid w:val="00C821A0"/>
    <w:rsid w:val="00C822FE"/>
    <w:rsid w:val="00C82709"/>
    <w:rsid w:val="00C82987"/>
    <w:rsid w:val="00C8384F"/>
    <w:rsid w:val="00C84B50"/>
    <w:rsid w:val="00C8515D"/>
    <w:rsid w:val="00C851AD"/>
    <w:rsid w:val="00C8549A"/>
    <w:rsid w:val="00C856B9"/>
    <w:rsid w:val="00C85983"/>
    <w:rsid w:val="00C85A5E"/>
    <w:rsid w:val="00C85B41"/>
    <w:rsid w:val="00C85C3F"/>
    <w:rsid w:val="00C85D0F"/>
    <w:rsid w:val="00C86066"/>
    <w:rsid w:val="00C86188"/>
    <w:rsid w:val="00C86817"/>
    <w:rsid w:val="00C869BF"/>
    <w:rsid w:val="00C8776D"/>
    <w:rsid w:val="00C877F7"/>
    <w:rsid w:val="00C87D29"/>
    <w:rsid w:val="00C87E81"/>
    <w:rsid w:val="00C90449"/>
    <w:rsid w:val="00C908A2"/>
    <w:rsid w:val="00C90C56"/>
    <w:rsid w:val="00C90E4A"/>
    <w:rsid w:val="00C91919"/>
    <w:rsid w:val="00C919E3"/>
    <w:rsid w:val="00C92032"/>
    <w:rsid w:val="00C92066"/>
    <w:rsid w:val="00C924A0"/>
    <w:rsid w:val="00C92E51"/>
    <w:rsid w:val="00C92F6E"/>
    <w:rsid w:val="00C9332E"/>
    <w:rsid w:val="00C93845"/>
    <w:rsid w:val="00C93BDC"/>
    <w:rsid w:val="00C93E01"/>
    <w:rsid w:val="00C93FA0"/>
    <w:rsid w:val="00C95172"/>
    <w:rsid w:val="00C955F9"/>
    <w:rsid w:val="00C9581D"/>
    <w:rsid w:val="00C95AFB"/>
    <w:rsid w:val="00C966C0"/>
    <w:rsid w:val="00C97B0C"/>
    <w:rsid w:val="00CA0FA4"/>
    <w:rsid w:val="00CA10D2"/>
    <w:rsid w:val="00CA1276"/>
    <w:rsid w:val="00CA12AD"/>
    <w:rsid w:val="00CA161E"/>
    <w:rsid w:val="00CA1839"/>
    <w:rsid w:val="00CA1F99"/>
    <w:rsid w:val="00CA2118"/>
    <w:rsid w:val="00CA225A"/>
    <w:rsid w:val="00CA26C4"/>
    <w:rsid w:val="00CA2B8E"/>
    <w:rsid w:val="00CA2E2F"/>
    <w:rsid w:val="00CA3AFA"/>
    <w:rsid w:val="00CA3E06"/>
    <w:rsid w:val="00CA44D5"/>
    <w:rsid w:val="00CA4565"/>
    <w:rsid w:val="00CA4BA8"/>
    <w:rsid w:val="00CA5006"/>
    <w:rsid w:val="00CA5014"/>
    <w:rsid w:val="00CA52F0"/>
    <w:rsid w:val="00CA568B"/>
    <w:rsid w:val="00CA5ACA"/>
    <w:rsid w:val="00CA61A9"/>
    <w:rsid w:val="00CA6203"/>
    <w:rsid w:val="00CA68BC"/>
    <w:rsid w:val="00CA69C1"/>
    <w:rsid w:val="00CA7039"/>
    <w:rsid w:val="00CA747B"/>
    <w:rsid w:val="00CA7698"/>
    <w:rsid w:val="00CA795F"/>
    <w:rsid w:val="00CA7A0C"/>
    <w:rsid w:val="00CB020D"/>
    <w:rsid w:val="00CB0248"/>
    <w:rsid w:val="00CB06EF"/>
    <w:rsid w:val="00CB0D94"/>
    <w:rsid w:val="00CB0E21"/>
    <w:rsid w:val="00CB11E3"/>
    <w:rsid w:val="00CB15EE"/>
    <w:rsid w:val="00CB24ED"/>
    <w:rsid w:val="00CB278E"/>
    <w:rsid w:val="00CB2C30"/>
    <w:rsid w:val="00CB3635"/>
    <w:rsid w:val="00CB3769"/>
    <w:rsid w:val="00CB3A3C"/>
    <w:rsid w:val="00CB3ABD"/>
    <w:rsid w:val="00CB3D6C"/>
    <w:rsid w:val="00CB49F8"/>
    <w:rsid w:val="00CB4B11"/>
    <w:rsid w:val="00CB4D60"/>
    <w:rsid w:val="00CB4DC9"/>
    <w:rsid w:val="00CB520E"/>
    <w:rsid w:val="00CB52E9"/>
    <w:rsid w:val="00CB5A41"/>
    <w:rsid w:val="00CB5D13"/>
    <w:rsid w:val="00CB6551"/>
    <w:rsid w:val="00CB67FC"/>
    <w:rsid w:val="00CB6800"/>
    <w:rsid w:val="00CB6902"/>
    <w:rsid w:val="00CB6CB8"/>
    <w:rsid w:val="00CB6F6A"/>
    <w:rsid w:val="00CB78B6"/>
    <w:rsid w:val="00CB7984"/>
    <w:rsid w:val="00CB7D98"/>
    <w:rsid w:val="00CC0FEF"/>
    <w:rsid w:val="00CC1296"/>
    <w:rsid w:val="00CC1503"/>
    <w:rsid w:val="00CC17AD"/>
    <w:rsid w:val="00CC1900"/>
    <w:rsid w:val="00CC1947"/>
    <w:rsid w:val="00CC2022"/>
    <w:rsid w:val="00CC249C"/>
    <w:rsid w:val="00CC26C8"/>
    <w:rsid w:val="00CC2890"/>
    <w:rsid w:val="00CC2961"/>
    <w:rsid w:val="00CC2963"/>
    <w:rsid w:val="00CC30CD"/>
    <w:rsid w:val="00CC3503"/>
    <w:rsid w:val="00CC3997"/>
    <w:rsid w:val="00CC39BC"/>
    <w:rsid w:val="00CC39D3"/>
    <w:rsid w:val="00CC3A13"/>
    <w:rsid w:val="00CC3A81"/>
    <w:rsid w:val="00CC3ADE"/>
    <w:rsid w:val="00CC3BB6"/>
    <w:rsid w:val="00CC3F07"/>
    <w:rsid w:val="00CC408E"/>
    <w:rsid w:val="00CC41F6"/>
    <w:rsid w:val="00CC471C"/>
    <w:rsid w:val="00CC47A0"/>
    <w:rsid w:val="00CC4925"/>
    <w:rsid w:val="00CC4A20"/>
    <w:rsid w:val="00CC4B5F"/>
    <w:rsid w:val="00CC550C"/>
    <w:rsid w:val="00CC578F"/>
    <w:rsid w:val="00CC5881"/>
    <w:rsid w:val="00CC5955"/>
    <w:rsid w:val="00CC69AE"/>
    <w:rsid w:val="00CC6B80"/>
    <w:rsid w:val="00CC711C"/>
    <w:rsid w:val="00CC732D"/>
    <w:rsid w:val="00CC74D6"/>
    <w:rsid w:val="00CC7AAE"/>
    <w:rsid w:val="00CC7F92"/>
    <w:rsid w:val="00CD0C78"/>
    <w:rsid w:val="00CD0E57"/>
    <w:rsid w:val="00CD14B7"/>
    <w:rsid w:val="00CD14D4"/>
    <w:rsid w:val="00CD1DA6"/>
    <w:rsid w:val="00CD1FD2"/>
    <w:rsid w:val="00CD249D"/>
    <w:rsid w:val="00CD35AF"/>
    <w:rsid w:val="00CD395D"/>
    <w:rsid w:val="00CD411A"/>
    <w:rsid w:val="00CD4978"/>
    <w:rsid w:val="00CD4E4B"/>
    <w:rsid w:val="00CD4F7A"/>
    <w:rsid w:val="00CD505A"/>
    <w:rsid w:val="00CD508C"/>
    <w:rsid w:val="00CD5211"/>
    <w:rsid w:val="00CD5955"/>
    <w:rsid w:val="00CD63F9"/>
    <w:rsid w:val="00CD69AF"/>
    <w:rsid w:val="00CD69DE"/>
    <w:rsid w:val="00CD6A31"/>
    <w:rsid w:val="00CD7039"/>
    <w:rsid w:val="00CD71DE"/>
    <w:rsid w:val="00CD7278"/>
    <w:rsid w:val="00CD7395"/>
    <w:rsid w:val="00CD73E4"/>
    <w:rsid w:val="00CD74B2"/>
    <w:rsid w:val="00CD7707"/>
    <w:rsid w:val="00CD7CD5"/>
    <w:rsid w:val="00CE00E6"/>
    <w:rsid w:val="00CE02D1"/>
    <w:rsid w:val="00CE0320"/>
    <w:rsid w:val="00CE03E9"/>
    <w:rsid w:val="00CE0403"/>
    <w:rsid w:val="00CE0567"/>
    <w:rsid w:val="00CE0748"/>
    <w:rsid w:val="00CE0761"/>
    <w:rsid w:val="00CE0890"/>
    <w:rsid w:val="00CE1013"/>
    <w:rsid w:val="00CE1233"/>
    <w:rsid w:val="00CE13CC"/>
    <w:rsid w:val="00CE18E0"/>
    <w:rsid w:val="00CE1973"/>
    <w:rsid w:val="00CE2EA0"/>
    <w:rsid w:val="00CE2F9C"/>
    <w:rsid w:val="00CE36C1"/>
    <w:rsid w:val="00CE3B3A"/>
    <w:rsid w:val="00CE40EA"/>
    <w:rsid w:val="00CE41FF"/>
    <w:rsid w:val="00CE4272"/>
    <w:rsid w:val="00CE4E3A"/>
    <w:rsid w:val="00CE4E92"/>
    <w:rsid w:val="00CE4ECC"/>
    <w:rsid w:val="00CE4F87"/>
    <w:rsid w:val="00CE51A8"/>
    <w:rsid w:val="00CE561D"/>
    <w:rsid w:val="00CE574F"/>
    <w:rsid w:val="00CE5FE6"/>
    <w:rsid w:val="00CE607D"/>
    <w:rsid w:val="00CE645E"/>
    <w:rsid w:val="00CE6538"/>
    <w:rsid w:val="00CE68CA"/>
    <w:rsid w:val="00CE6D97"/>
    <w:rsid w:val="00CE6E8B"/>
    <w:rsid w:val="00CE6EB4"/>
    <w:rsid w:val="00CE719F"/>
    <w:rsid w:val="00CE75CA"/>
    <w:rsid w:val="00CE7611"/>
    <w:rsid w:val="00CE76E9"/>
    <w:rsid w:val="00CE7787"/>
    <w:rsid w:val="00CF00B4"/>
    <w:rsid w:val="00CF01B7"/>
    <w:rsid w:val="00CF02BB"/>
    <w:rsid w:val="00CF06F3"/>
    <w:rsid w:val="00CF0891"/>
    <w:rsid w:val="00CF0CBF"/>
    <w:rsid w:val="00CF0E8D"/>
    <w:rsid w:val="00CF15B9"/>
    <w:rsid w:val="00CF18DB"/>
    <w:rsid w:val="00CF1C7D"/>
    <w:rsid w:val="00CF1E61"/>
    <w:rsid w:val="00CF2092"/>
    <w:rsid w:val="00CF2579"/>
    <w:rsid w:val="00CF2679"/>
    <w:rsid w:val="00CF2732"/>
    <w:rsid w:val="00CF2D7C"/>
    <w:rsid w:val="00CF2D92"/>
    <w:rsid w:val="00CF34F2"/>
    <w:rsid w:val="00CF3B1E"/>
    <w:rsid w:val="00CF3D75"/>
    <w:rsid w:val="00CF41E1"/>
    <w:rsid w:val="00CF4C33"/>
    <w:rsid w:val="00CF549A"/>
    <w:rsid w:val="00CF58CE"/>
    <w:rsid w:val="00CF5BF7"/>
    <w:rsid w:val="00CF5DCB"/>
    <w:rsid w:val="00CF6408"/>
    <w:rsid w:val="00CF6534"/>
    <w:rsid w:val="00CF6915"/>
    <w:rsid w:val="00CF6AEA"/>
    <w:rsid w:val="00CF7592"/>
    <w:rsid w:val="00CF760E"/>
    <w:rsid w:val="00CF7928"/>
    <w:rsid w:val="00CF7E47"/>
    <w:rsid w:val="00D004CD"/>
    <w:rsid w:val="00D0065A"/>
    <w:rsid w:val="00D0066D"/>
    <w:rsid w:val="00D00689"/>
    <w:rsid w:val="00D00735"/>
    <w:rsid w:val="00D01272"/>
    <w:rsid w:val="00D014F2"/>
    <w:rsid w:val="00D01AFF"/>
    <w:rsid w:val="00D02034"/>
    <w:rsid w:val="00D02361"/>
    <w:rsid w:val="00D025A7"/>
    <w:rsid w:val="00D02725"/>
    <w:rsid w:val="00D0324A"/>
    <w:rsid w:val="00D03BC2"/>
    <w:rsid w:val="00D043D4"/>
    <w:rsid w:val="00D04A78"/>
    <w:rsid w:val="00D054B3"/>
    <w:rsid w:val="00D05970"/>
    <w:rsid w:val="00D05A6D"/>
    <w:rsid w:val="00D05D66"/>
    <w:rsid w:val="00D05DA7"/>
    <w:rsid w:val="00D05ED4"/>
    <w:rsid w:val="00D0628C"/>
    <w:rsid w:val="00D064DB"/>
    <w:rsid w:val="00D066A9"/>
    <w:rsid w:val="00D06746"/>
    <w:rsid w:val="00D06DAF"/>
    <w:rsid w:val="00D06F1A"/>
    <w:rsid w:val="00D07EF1"/>
    <w:rsid w:val="00D10370"/>
    <w:rsid w:val="00D105DD"/>
    <w:rsid w:val="00D10B3B"/>
    <w:rsid w:val="00D10BC8"/>
    <w:rsid w:val="00D1197D"/>
    <w:rsid w:val="00D1209E"/>
    <w:rsid w:val="00D12517"/>
    <w:rsid w:val="00D12D17"/>
    <w:rsid w:val="00D12E65"/>
    <w:rsid w:val="00D13224"/>
    <w:rsid w:val="00D134C7"/>
    <w:rsid w:val="00D1356A"/>
    <w:rsid w:val="00D13BC5"/>
    <w:rsid w:val="00D141D4"/>
    <w:rsid w:val="00D15499"/>
    <w:rsid w:val="00D15A2A"/>
    <w:rsid w:val="00D15F53"/>
    <w:rsid w:val="00D166D6"/>
    <w:rsid w:val="00D17042"/>
    <w:rsid w:val="00D173E2"/>
    <w:rsid w:val="00D1742E"/>
    <w:rsid w:val="00D17696"/>
    <w:rsid w:val="00D17EBC"/>
    <w:rsid w:val="00D17FAC"/>
    <w:rsid w:val="00D20298"/>
    <w:rsid w:val="00D20670"/>
    <w:rsid w:val="00D2088D"/>
    <w:rsid w:val="00D20AB8"/>
    <w:rsid w:val="00D20CFF"/>
    <w:rsid w:val="00D20EFA"/>
    <w:rsid w:val="00D212D0"/>
    <w:rsid w:val="00D2180A"/>
    <w:rsid w:val="00D21955"/>
    <w:rsid w:val="00D219E9"/>
    <w:rsid w:val="00D21E40"/>
    <w:rsid w:val="00D22636"/>
    <w:rsid w:val="00D226E3"/>
    <w:rsid w:val="00D235AD"/>
    <w:rsid w:val="00D23A4C"/>
    <w:rsid w:val="00D23CBB"/>
    <w:rsid w:val="00D23D66"/>
    <w:rsid w:val="00D241A8"/>
    <w:rsid w:val="00D24208"/>
    <w:rsid w:val="00D2442D"/>
    <w:rsid w:val="00D2536C"/>
    <w:rsid w:val="00D2578D"/>
    <w:rsid w:val="00D25A52"/>
    <w:rsid w:val="00D25B2C"/>
    <w:rsid w:val="00D26573"/>
    <w:rsid w:val="00D266C5"/>
    <w:rsid w:val="00D269C4"/>
    <w:rsid w:val="00D26BF9"/>
    <w:rsid w:val="00D26D31"/>
    <w:rsid w:val="00D26D68"/>
    <w:rsid w:val="00D26F92"/>
    <w:rsid w:val="00D26FCE"/>
    <w:rsid w:val="00D277C9"/>
    <w:rsid w:val="00D30E81"/>
    <w:rsid w:val="00D31027"/>
    <w:rsid w:val="00D31314"/>
    <w:rsid w:val="00D31555"/>
    <w:rsid w:val="00D31731"/>
    <w:rsid w:val="00D317D0"/>
    <w:rsid w:val="00D317FE"/>
    <w:rsid w:val="00D31A27"/>
    <w:rsid w:val="00D31C2B"/>
    <w:rsid w:val="00D31CE2"/>
    <w:rsid w:val="00D32048"/>
    <w:rsid w:val="00D3212B"/>
    <w:rsid w:val="00D324A9"/>
    <w:rsid w:val="00D3254F"/>
    <w:rsid w:val="00D32A64"/>
    <w:rsid w:val="00D32C79"/>
    <w:rsid w:val="00D32C9F"/>
    <w:rsid w:val="00D32D23"/>
    <w:rsid w:val="00D3363E"/>
    <w:rsid w:val="00D3431E"/>
    <w:rsid w:val="00D344CA"/>
    <w:rsid w:val="00D346E6"/>
    <w:rsid w:val="00D34889"/>
    <w:rsid w:val="00D349C6"/>
    <w:rsid w:val="00D34B27"/>
    <w:rsid w:val="00D352E3"/>
    <w:rsid w:val="00D358D2"/>
    <w:rsid w:val="00D35ACE"/>
    <w:rsid w:val="00D36897"/>
    <w:rsid w:val="00D36ED0"/>
    <w:rsid w:val="00D37425"/>
    <w:rsid w:val="00D37FD3"/>
    <w:rsid w:val="00D40A47"/>
    <w:rsid w:val="00D40E8B"/>
    <w:rsid w:val="00D4154E"/>
    <w:rsid w:val="00D417E1"/>
    <w:rsid w:val="00D41A7D"/>
    <w:rsid w:val="00D41E19"/>
    <w:rsid w:val="00D424B8"/>
    <w:rsid w:val="00D428B3"/>
    <w:rsid w:val="00D42B7B"/>
    <w:rsid w:val="00D42CBC"/>
    <w:rsid w:val="00D43817"/>
    <w:rsid w:val="00D4425A"/>
    <w:rsid w:val="00D44858"/>
    <w:rsid w:val="00D45250"/>
    <w:rsid w:val="00D455DC"/>
    <w:rsid w:val="00D4592B"/>
    <w:rsid w:val="00D45E4A"/>
    <w:rsid w:val="00D45ED2"/>
    <w:rsid w:val="00D46480"/>
    <w:rsid w:val="00D46709"/>
    <w:rsid w:val="00D46725"/>
    <w:rsid w:val="00D47305"/>
    <w:rsid w:val="00D474B8"/>
    <w:rsid w:val="00D47B1D"/>
    <w:rsid w:val="00D47D28"/>
    <w:rsid w:val="00D47E40"/>
    <w:rsid w:val="00D5010F"/>
    <w:rsid w:val="00D5035C"/>
    <w:rsid w:val="00D50D70"/>
    <w:rsid w:val="00D51017"/>
    <w:rsid w:val="00D5106D"/>
    <w:rsid w:val="00D51D84"/>
    <w:rsid w:val="00D52218"/>
    <w:rsid w:val="00D52690"/>
    <w:rsid w:val="00D53224"/>
    <w:rsid w:val="00D533B6"/>
    <w:rsid w:val="00D53ACD"/>
    <w:rsid w:val="00D53E9B"/>
    <w:rsid w:val="00D54094"/>
    <w:rsid w:val="00D5423C"/>
    <w:rsid w:val="00D54E46"/>
    <w:rsid w:val="00D56142"/>
    <w:rsid w:val="00D562FE"/>
    <w:rsid w:val="00D56792"/>
    <w:rsid w:val="00D56BDD"/>
    <w:rsid w:val="00D56BF4"/>
    <w:rsid w:val="00D56DA7"/>
    <w:rsid w:val="00D5751C"/>
    <w:rsid w:val="00D576EA"/>
    <w:rsid w:val="00D579E8"/>
    <w:rsid w:val="00D57B92"/>
    <w:rsid w:val="00D57BDE"/>
    <w:rsid w:val="00D57D9F"/>
    <w:rsid w:val="00D6027B"/>
    <w:rsid w:val="00D602E1"/>
    <w:rsid w:val="00D604E1"/>
    <w:rsid w:val="00D609F5"/>
    <w:rsid w:val="00D60D68"/>
    <w:rsid w:val="00D60D85"/>
    <w:rsid w:val="00D60E37"/>
    <w:rsid w:val="00D61BD3"/>
    <w:rsid w:val="00D61CB2"/>
    <w:rsid w:val="00D6201B"/>
    <w:rsid w:val="00D62021"/>
    <w:rsid w:val="00D620BF"/>
    <w:rsid w:val="00D624AF"/>
    <w:rsid w:val="00D62BB3"/>
    <w:rsid w:val="00D62E74"/>
    <w:rsid w:val="00D63093"/>
    <w:rsid w:val="00D630C9"/>
    <w:rsid w:val="00D635D7"/>
    <w:rsid w:val="00D636DF"/>
    <w:rsid w:val="00D63B4E"/>
    <w:rsid w:val="00D64850"/>
    <w:rsid w:val="00D65337"/>
    <w:rsid w:val="00D65413"/>
    <w:rsid w:val="00D654E7"/>
    <w:rsid w:val="00D66166"/>
    <w:rsid w:val="00D66518"/>
    <w:rsid w:val="00D66DE2"/>
    <w:rsid w:val="00D66E66"/>
    <w:rsid w:val="00D67229"/>
    <w:rsid w:val="00D6732F"/>
    <w:rsid w:val="00D67B0B"/>
    <w:rsid w:val="00D705A1"/>
    <w:rsid w:val="00D7080F"/>
    <w:rsid w:val="00D70880"/>
    <w:rsid w:val="00D70A1E"/>
    <w:rsid w:val="00D70B51"/>
    <w:rsid w:val="00D70CCA"/>
    <w:rsid w:val="00D70FD0"/>
    <w:rsid w:val="00D712E3"/>
    <w:rsid w:val="00D7183C"/>
    <w:rsid w:val="00D71BDE"/>
    <w:rsid w:val="00D71D08"/>
    <w:rsid w:val="00D71FB3"/>
    <w:rsid w:val="00D7200F"/>
    <w:rsid w:val="00D722B9"/>
    <w:rsid w:val="00D726A0"/>
    <w:rsid w:val="00D72BE3"/>
    <w:rsid w:val="00D72F3E"/>
    <w:rsid w:val="00D7329B"/>
    <w:rsid w:val="00D7339C"/>
    <w:rsid w:val="00D734A7"/>
    <w:rsid w:val="00D73505"/>
    <w:rsid w:val="00D73927"/>
    <w:rsid w:val="00D73C2A"/>
    <w:rsid w:val="00D7446F"/>
    <w:rsid w:val="00D7461D"/>
    <w:rsid w:val="00D7462B"/>
    <w:rsid w:val="00D748FF"/>
    <w:rsid w:val="00D7521A"/>
    <w:rsid w:val="00D756E1"/>
    <w:rsid w:val="00D76083"/>
    <w:rsid w:val="00D761AA"/>
    <w:rsid w:val="00D762A9"/>
    <w:rsid w:val="00D76538"/>
    <w:rsid w:val="00D76AE8"/>
    <w:rsid w:val="00D76E6A"/>
    <w:rsid w:val="00D770BE"/>
    <w:rsid w:val="00D775B8"/>
    <w:rsid w:val="00D7765F"/>
    <w:rsid w:val="00D80A4A"/>
    <w:rsid w:val="00D80D85"/>
    <w:rsid w:val="00D81484"/>
    <w:rsid w:val="00D81E6B"/>
    <w:rsid w:val="00D81FF2"/>
    <w:rsid w:val="00D827D5"/>
    <w:rsid w:val="00D8283E"/>
    <w:rsid w:val="00D82866"/>
    <w:rsid w:val="00D82F04"/>
    <w:rsid w:val="00D83C7E"/>
    <w:rsid w:val="00D83C99"/>
    <w:rsid w:val="00D83E88"/>
    <w:rsid w:val="00D84262"/>
    <w:rsid w:val="00D84C09"/>
    <w:rsid w:val="00D84E95"/>
    <w:rsid w:val="00D850D7"/>
    <w:rsid w:val="00D85464"/>
    <w:rsid w:val="00D855D6"/>
    <w:rsid w:val="00D85A81"/>
    <w:rsid w:val="00D85B02"/>
    <w:rsid w:val="00D85D6A"/>
    <w:rsid w:val="00D86185"/>
    <w:rsid w:val="00D861F8"/>
    <w:rsid w:val="00D86961"/>
    <w:rsid w:val="00D86BE8"/>
    <w:rsid w:val="00D86BED"/>
    <w:rsid w:val="00D87102"/>
    <w:rsid w:val="00D87368"/>
    <w:rsid w:val="00D87958"/>
    <w:rsid w:val="00D87D61"/>
    <w:rsid w:val="00D87E27"/>
    <w:rsid w:val="00D90075"/>
    <w:rsid w:val="00D90BAD"/>
    <w:rsid w:val="00D90BC9"/>
    <w:rsid w:val="00D90F0A"/>
    <w:rsid w:val="00D91583"/>
    <w:rsid w:val="00D91996"/>
    <w:rsid w:val="00D922D1"/>
    <w:rsid w:val="00D926D7"/>
    <w:rsid w:val="00D928BF"/>
    <w:rsid w:val="00D92CBB"/>
    <w:rsid w:val="00D92F01"/>
    <w:rsid w:val="00D92FCF"/>
    <w:rsid w:val="00D931D8"/>
    <w:rsid w:val="00D933F9"/>
    <w:rsid w:val="00D93A44"/>
    <w:rsid w:val="00D94025"/>
    <w:rsid w:val="00D947CD"/>
    <w:rsid w:val="00D94F81"/>
    <w:rsid w:val="00D95A66"/>
    <w:rsid w:val="00D95DD8"/>
    <w:rsid w:val="00D95E7F"/>
    <w:rsid w:val="00D95E93"/>
    <w:rsid w:val="00D95FF8"/>
    <w:rsid w:val="00D96057"/>
    <w:rsid w:val="00D96246"/>
    <w:rsid w:val="00D96314"/>
    <w:rsid w:val="00D9685C"/>
    <w:rsid w:val="00D96A31"/>
    <w:rsid w:val="00D96D41"/>
    <w:rsid w:val="00D96DCE"/>
    <w:rsid w:val="00D96EB7"/>
    <w:rsid w:val="00D97906"/>
    <w:rsid w:val="00D97999"/>
    <w:rsid w:val="00D97A82"/>
    <w:rsid w:val="00D97E6E"/>
    <w:rsid w:val="00DA1038"/>
    <w:rsid w:val="00DA146E"/>
    <w:rsid w:val="00DA22AC"/>
    <w:rsid w:val="00DA231A"/>
    <w:rsid w:val="00DA2637"/>
    <w:rsid w:val="00DA26D6"/>
    <w:rsid w:val="00DA293D"/>
    <w:rsid w:val="00DA2CB3"/>
    <w:rsid w:val="00DA3025"/>
    <w:rsid w:val="00DA3920"/>
    <w:rsid w:val="00DA4296"/>
    <w:rsid w:val="00DA4326"/>
    <w:rsid w:val="00DA4550"/>
    <w:rsid w:val="00DA50CA"/>
    <w:rsid w:val="00DA510F"/>
    <w:rsid w:val="00DA59A6"/>
    <w:rsid w:val="00DA5C49"/>
    <w:rsid w:val="00DA5E6E"/>
    <w:rsid w:val="00DA5F55"/>
    <w:rsid w:val="00DA5FB4"/>
    <w:rsid w:val="00DA606A"/>
    <w:rsid w:val="00DA6638"/>
    <w:rsid w:val="00DA66E3"/>
    <w:rsid w:val="00DA683D"/>
    <w:rsid w:val="00DA6B59"/>
    <w:rsid w:val="00DA6FB7"/>
    <w:rsid w:val="00DA7B69"/>
    <w:rsid w:val="00DA7E44"/>
    <w:rsid w:val="00DA7FF3"/>
    <w:rsid w:val="00DB0170"/>
    <w:rsid w:val="00DB0241"/>
    <w:rsid w:val="00DB18E9"/>
    <w:rsid w:val="00DB1910"/>
    <w:rsid w:val="00DB19B0"/>
    <w:rsid w:val="00DB1CD9"/>
    <w:rsid w:val="00DB21A3"/>
    <w:rsid w:val="00DB26AA"/>
    <w:rsid w:val="00DB2752"/>
    <w:rsid w:val="00DB2F84"/>
    <w:rsid w:val="00DB3198"/>
    <w:rsid w:val="00DB411C"/>
    <w:rsid w:val="00DB465D"/>
    <w:rsid w:val="00DB56FD"/>
    <w:rsid w:val="00DB6249"/>
    <w:rsid w:val="00DB6925"/>
    <w:rsid w:val="00DB6AF8"/>
    <w:rsid w:val="00DB70C7"/>
    <w:rsid w:val="00DB7483"/>
    <w:rsid w:val="00DB7F30"/>
    <w:rsid w:val="00DC014D"/>
    <w:rsid w:val="00DC0874"/>
    <w:rsid w:val="00DC08D0"/>
    <w:rsid w:val="00DC0CC7"/>
    <w:rsid w:val="00DC1157"/>
    <w:rsid w:val="00DC16B9"/>
    <w:rsid w:val="00DC22BD"/>
    <w:rsid w:val="00DC258E"/>
    <w:rsid w:val="00DC281C"/>
    <w:rsid w:val="00DC28EF"/>
    <w:rsid w:val="00DC2BE7"/>
    <w:rsid w:val="00DC377D"/>
    <w:rsid w:val="00DC407F"/>
    <w:rsid w:val="00DC4904"/>
    <w:rsid w:val="00DC4E12"/>
    <w:rsid w:val="00DC500E"/>
    <w:rsid w:val="00DC5415"/>
    <w:rsid w:val="00DC554D"/>
    <w:rsid w:val="00DC5AA1"/>
    <w:rsid w:val="00DC5C71"/>
    <w:rsid w:val="00DC5E08"/>
    <w:rsid w:val="00DC6C3C"/>
    <w:rsid w:val="00DC787D"/>
    <w:rsid w:val="00DC78BE"/>
    <w:rsid w:val="00DC7C38"/>
    <w:rsid w:val="00DD04AF"/>
    <w:rsid w:val="00DD04F9"/>
    <w:rsid w:val="00DD0873"/>
    <w:rsid w:val="00DD0B19"/>
    <w:rsid w:val="00DD0FAE"/>
    <w:rsid w:val="00DD152A"/>
    <w:rsid w:val="00DD189B"/>
    <w:rsid w:val="00DD1AC0"/>
    <w:rsid w:val="00DD1DB2"/>
    <w:rsid w:val="00DD20FE"/>
    <w:rsid w:val="00DD2419"/>
    <w:rsid w:val="00DD2698"/>
    <w:rsid w:val="00DD282F"/>
    <w:rsid w:val="00DD29D3"/>
    <w:rsid w:val="00DD3680"/>
    <w:rsid w:val="00DD4086"/>
    <w:rsid w:val="00DD4458"/>
    <w:rsid w:val="00DD49BC"/>
    <w:rsid w:val="00DD4F55"/>
    <w:rsid w:val="00DD535A"/>
    <w:rsid w:val="00DD543D"/>
    <w:rsid w:val="00DD55E0"/>
    <w:rsid w:val="00DD5771"/>
    <w:rsid w:val="00DD5CB4"/>
    <w:rsid w:val="00DD5E5D"/>
    <w:rsid w:val="00DD60ED"/>
    <w:rsid w:val="00DD6296"/>
    <w:rsid w:val="00DD67C8"/>
    <w:rsid w:val="00DD705C"/>
    <w:rsid w:val="00DD74FB"/>
    <w:rsid w:val="00DD75C6"/>
    <w:rsid w:val="00DD79ED"/>
    <w:rsid w:val="00DD7D4B"/>
    <w:rsid w:val="00DE0408"/>
    <w:rsid w:val="00DE108D"/>
    <w:rsid w:val="00DE1AB4"/>
    <w:rsid w:val="00DE2251"/>
    <w:rsid w:val="00DE26AE"/>
    <w:rsid w:val="00DE27A7"/>
    <w:rsid w:val="00DE298C"/>
    <w:rsid w:val="00DE33EE"/>
    <w:rsid w:val="00DE375D"/>
    <w:rsid w:val="00DE37DC"/>
    <w:rsid w:val="00DE3C28"/>
    <w:rsid w:val="00DE3C88"/>
    <w:rsid w:val="00DE4B31"/>
    <w:rsid w:val="00DE4E9A"/>
    <w:rsid w:val="00DE4FA1"/>
    <w:rsid w:val="00DE4FCA"/>
    <w:rsid w:val="00DE4FE2"/>
    <w:rsid w:val="00DE54C7"/>
    <w:rsid w:val="00DE5716"/>
    <w:rsid w:val="00DE588D"/>
    <w:rsid w:val="00DE5988"/>
    <w:rsid w:val="00DE5A9F"/>
    <w:rsid w:val="00DE5BDF"/>
    <w:rsid w:val="00DE622C"/>
    <w:rsid w:val="00DE64D8"/>
    <w:rsid w:val="00DE684C"/>
    <w:rsid w:val="00DE6A1A"/>
    <w:rsid w:val="00DE6DE2"/>
    <w:rsid w:val="00DE7623"/>
    <w:rsid w:val="00DE77D8"/>
    <w:rsid w:val="00DE794A"/>
    <w:rsid w:val="00DE7C89"/>
    <w:rsid w:val="00DF1464"/>
    <w:rsid w:val="00DF1B0B"/>
    <w:rsid w:val="00DF1E4B"/>
    <w:rsid w:val="00DF2A68"/>
    <w:rsid w:val="00DF2D87"/>
    <w:rsid w:val="00DF2DD3"/>
    <w:rsid w:val="00DF30D9"/>
    <w:rsid w:val="00DF342D"/>
    <w:rsid w:val="00DF3AFD"/>
    <w:rsid w:val="00DF4267"/>
    <w:rsid w:val="00DF4646"/>
    <w:rsid w:val="00DF4A07"/>
    <w:rsid w:val="00DF4AAA"/>
    <w:rsid w:val="00DF4DD7"/>
    <w:rsid w:val="00DF4EBC"/>
    <w:rsid w:val="00DF5221"/>
    <w:rsid w:val="00DF54AB"/>
    <w:rsid w:val="00DF590F"/>
    <w:rsid w:val="00DF5FE2"/>
    <w:rsid w:val="00DF609D"/>
    <w:rsid w:val="00DF6229"/>
    <w:rsid w:val="00DF6485"/>
    <w:rsid w:val="00DF6526"/>
    <w:rsid w:val="00DF7616"/>
    <w:rsid w:val="00DF7E75"/>
    <w:rsid w:val="00E000F8"/>
    <w:rsid w:val="00E005E5"/>
    <w:rsid w:val="00E00AA9"/>
    <w:rsid w:val="00E01536"/>
    <w:rsid w:val="00E0195B"/>
    <w:rsid w:val="00E01E93"/>
    <w:rsid w:val="00E032C5"/>
    <w:rsid w:val="00E03911"/>
    <w:rsid w:val="00E03ABF"/>
    <w:rsid w:val="00E03D88"/>
    <w:rsid w:val="00E03EAF"/>
    <w:rsid w:val="00E04190"/>
    <w:rsid w:val="00E043F8"/>
    <w:rsid w:val="00E046CA"/>
    <w:rsid w:val="00E056A0"/>
    <w:rsid w:val="00E059A4"/>
    <w:rsid w:val="00E05BE8"/>
    <w:rsid w:val="00E05DDD"/>
    <w:rsid w:val="00E06777"/>
    <w:rsid w:val="00E072E5"/>
    <w:rsid w:val="00E07569"/>
    <w:rsid w:val="00E07C69"/>
    <w:rsid w:val="00E1029E"/>
    <w:rsid w:val="00E10300"/>
    <w:rsid w:val="00E10778"/>
    <w:rsid w:val="00E10E6D"/>
    <w:rsid w:val="00E1141F"/>
    <w:rsid w:val="00E11649"/>
    <w:rsid w:val="00E116EF"/>
    <w:rsid w:val="00E121AE"/>
    <w:rsid w:val="00E121B4"/>
    <w:rsid w:val="00E12299"/>
    <w:rsid w:val="00E12B63"/>
    <w:rsid w:val="00E136E3"/>
    <w:rsid w:val="00E13B65"/>
    <w:rsid w:val="00E13FD9"/>
    <w:rsid w:val="00E1426B"/>
    <w:rsid w:val="00E1497C"/>
    <w:rsid w:val="00E14F75"/>
    <w:rsid w:val="00E154A9"/>
    <w:rsid w:val="00E16084"/>
    <w:rsid w:val="00E16955"/>
    <w:rsid w:val="00E170C6"/>
    <w:rsid w:val="00E1763D"/>
    <w:rsid w:val="00E17737"/>
    <w:rsid w:val="00E17D33"/>
    <w:rsid w:val="00E17F67"/>
    <w:rsid w:val="00E20132"/>
    <w:rsid w:val="00E20160"/>
    <w:rsid w:val="00E203D5"/>
    <w:rsid w:val="00E205EF"/>
    <w:rsid w:val="00E20A06"/>
    <w:rsid w:val="00E216BF"/>
    <w:rsid w:val="00E21DB5"/>
    <w:rsid w:val="00E21DD7"/>
    <w:rsid w:val="00E22AE6"/>
    <w:rsid w:val="00E2337A"/>
    <w:rsid w:val="00E2352F"/>
    <w:rsid w:val="00E23532"/>
    <w:rsid w:val="00E23A11"/>
    <w:rsid w:val="00E23A5E"/>
    <w:rsid w:val="00E23C87"/>
    <w:rsid w:val="00E23CA4"/>
    <w:rsid w:val="00E23CE1"/>
    <w:rsid w:val="00E23E04"/>
    <w:rsid w:val="00E24369"/>
    <w:rsid w:val="00E24391"/>
    <w:rsid w:val="00E24AAF"/>
    <w:rsid w:val="00E24CC0"/>
    <w:rsid w:val="00E24E20"/>
    <w:rsid w:val="00E24FF5"/>
    <w:rsid w:val="00E24FF8"/>
    <w:rsid w:val="00E256EE"/>
    <w:rsid w:val="00E25723"/>
    <w:rsid w:val="00E25999"/>
    <w:rsid w:val="00E26024"/>
    <w:rsid w:val="00E2653A"/>
    <w:rsid w:val="00E26552"/>
    <w:rsid w:val="00E265FA"/>
    <w:rsid w:val="00E26603"/>
    <w:rsid w:val="00E2670C"/>
    <w:rsid w:val="00E2785F"/>
    <w:rsid w:val="00E27C6C"/>
    <w:rsid w:val="00E27E02"/>
    <w:rsid w:val="00E30390"/>
    <w:rsid w:val="00E305B0"/>
    <w:rsid w:val="00E3063C"/>
    <w:rsid w:val="00E30758"/>
    <w:rsid w:val="00E30864"/>
    <w:rsid w:val="00E310FA"/>
    <w:rsid w:val="00E3164C"/>
    <w:rsid w:val="00E31981"/>
    <w:rsid w:val="00E31C87"/>
    <w:rsid w:val="00E31CEA"/>
    <w:rsid w:val="00E320BB"/>
    <w:rsid w:val="00E321C7"/>
    <w:rsid w:val="00E32C8F"/>
    <w:rsid w:val="00E334BB"/>
    <w:rsid w:val="00E33820"/>
    <w:rsid w:val="00E33A7A"/>
    <w:rsid w:val="00E33FAD"/>
    <w:rsid w:val="00E34043"/>
    <w:rsid w:val="00E34FE9"/>
    <w:rsid w:val="00E350EC"/>
    <w:rsid w:val="00E353E6"/>
    <w:rsid w:val="00E35503"/>
    <w:rsid w:val="00E357F2"/>
    <w:rsid w:val="00E36127"/>
    <w:rsid w:val="00E36158"/>
    <w:rsid w:val="00E361F0"/>
    <w:rsid w:val="00E364E1"/>
    <w:rsid w:val="00E36942"/>
    <w:rsid w:val="00E36AFE"/>
    <w:rsid w:val="00E36B25"/>
    <w:rsid w:val="00E371BA"/>
    <w:rsid w:val="00E3720E"/>
    <w:rsid w:val="00E372DC"/>
    <w:rsid w:val="00E377B1"/>
    <w:rsid w:val="00E377EC"/>
    <w:rsid w:val="00E37D9C"/>
    <w:rsid w:val="00E400ED"/>
    <w:rsid w:val="00E4027D"/>
    <w:rsid w:val="00E40FE8"/>
    <w:rsid w:val="00E4212C"/>
    <w:rsid w:val="00E42B18"/>
    <w:rsid w:val="00E42CC7"/>
    <w:rsid w:val="00E432B0"/>
    <w:rsid w:val="00E434AC"/>
    <w:rsid w:val="00E43A62"/>
    <w:rsid w:val="00E45636"/>
    <w:rsid w:val="00E45E9E"/>
    <w:rsid w:val="00E45ED2"/>
    <w:rsid w:val="00E464E2"/>
    <w:rsid w:val="00E468BB"/>
    <w:rsid w:val="00E47524"/>
    <w:rsid w:val="00E47C9C"/>
    <w:rsid w:val="00E47F48"/>
    <w:rsid w:val="00E502C5"/>
    <w:rsid w:val="00E506F0"/>
    <w:rsid w:val="00E5136E"/>
    <w:rsid w:val="00E51541"/>
    <w:rsid w:val="00E515AF"/>
    <w:rsid w:val="00E51719"/>
    <w:rsid w:val="00E51DE7"/>
    <w:rsid w:val="00E52408"/>
    <w:rsid w:val="00E52CD0"/>
    <w:rsid w:val="00E52CD2"/>
    <w:rsid w:val="00E52D58"/>
    <w:rsid w:val="00E52D9F"/>
    <w:rsid w:val="00E52FF6"/>
    <w:rsid w:val="00E531D0"/>
    <w:rsid w:val="00E532C0"/>
    <w:rsid w:val="00E5337A"/>
    <w:rsid w:val="00E5446D"/>
    <w:rsid w:val="00E544A7"/>
    <w:rsid w:val="00E5469E"/>
    <w:rsid w:val="00E5493B"/>
    <w:rsid w:val="00E5508A"/>
    <w:rsid w:val="00E553B5"/>
    <w:rsid w:val="00E564B8"/>
    <w:rsid w:val="00E56608"/>
    <w:rsid w:val="00E566DC"/>
    <w:rsid w:val="00E57151"/>
    <w:rsid w:val="00E57381"/>
    <w:rsid w:val="00E5796F"/>
    <w:rsid w:val="00E57D9B"/>
    <w:rsid w:val="00E605D7"/>
    <w:rsid w:val="00E60914"/>
    <w:rsid w:val="00E60A9C"/>
    <w:rsid w:val="00E60E46"/>
    <w:rsid w:val="00E61059"/>
    <w:rsid w:val="00E6145C"/>
    <w:rsid w:val="00E61705"/>
    <w:rsid w:val="00E61A00"/>
    <w:rsid w:val="00E61E0E"/>
    <w:rsid w:val="00E62545"/>
    <w:rsid w:val="00E62684"/>
    <w:rsid w:val="00E6288A"/>
    <w:rsid w:val="00E62A54"/>
    <w:rsid w:val="00E62B8E"/>
    <w:rsid w:val="00E62C7A"/>
    <w:rsid w:val="00E62CBD"/>
    <w:rsid w:val="00E6338B"/>
    <w:rsid w:val="00E63A27"/>
    <w:rsid w:val="00E63A2A"/>
    <w:rsid w:val="00E63B56"/>
    <w:rsid w:val="00E640B5"/>
    <w:rsid w:val="00E64900"/>
    <w:rsid w:val="00E64EAE"/>
    <w:rsid w:val="00E65310"/>
    <w:rsid w:val="00E655B4"/>
    <w:rsid w:val="00E666D2"/>
    <w:rsid w:val="00E66B67"/>
    <w:rsid w:val="00E66CC2"/>
    <w:rsid w:val="00E673FA"/>
    <w:rsid w:val="00E677DF"/>
    <w:rsid w:val="00E67AB2"/>
    <w:rsid w:val="00E70938"/>
    <w:rsid w:val="00E710EC"/>
    <w:rsid w:val="00E7141B"/>
    <w:rsid w:val="00E718CA"/>
    <w:rsid w:val="00E71945"/>
    <w:rsid w:val="00E71D9E"/>
    <w:rsid w:val="00E72128"/>
    <w:rsid w:val="00E72D12"/>
    <w:rsid w:val="00E7304B"/>
    <w:rsid w:val="00E73172"/>
    <w:rsid w:val="00E731EC"/>
    <w:rsid w:val="00E732DF"/>
    <w:rsid w:val="00E736F8"/>
    <w:rsid w:val="00E7489E"/>
    <w:rsid w:val="00E74B69"/>
    <w:rsid w:val="00E7504A"/>
    <w:rsid w:val="00E752B5"/>
    <w:rsid w:val="00E753E4"/>
    <w:rsid w:val="00E75811"/>
    <w:rsid w:val="00E75F0B"/>
    <w:rsid w:val="00E75FB2"/>
    <w:rsid w:val="00E76229"/>
    <w:rsid w:val="00E763D9"/>
    <w:rsid w:val="00E7647A"/>
    <w:rsid w:val="00E76562"/>
    <w:rsid w:val="00E76AD1"/>
    <w:rsid w:val="00E77A0E"/>
    <w:rsid w:val="00E77A1E"/>
    <w:rsid w:val="00E77BEF"/>
    <w:rsid w:val="00E80092"/>
    <w:rsid w:val="00E801D5"/>
    <w:rsid w:val="00E802B9"/>
    <w:rsid w:val="00E802E6"/>
    <w:rsid w:val="00E809F8"/>
    <w:rsid w:val="00E80BF3"/>
    <w:rsid w:val="00E80DFF"/>
    <w:rsid w:val="00E8110B"/>
    <w:rsid w:val="00E815B7"/>
    <w:rsid w:val="00E815ED"/>
    <w:rsid w:val="00E81A7E"/>
    <w:rsid w:val="00E81E84"/>
    <w:rsid w:val="00E822D5"/>
    <w:rsid w:val="00E83B79"/>
    <w:rsid w:val="00E83CFC"/>
    <w:rsid w:val="00E84197"/>
    <w:rsid w:val="00E848E7"/>
    <w:rsid w:val="00E84914"/>
    <w:rsid w:val="00E84B43"/>
    <w:rsid w:val="00E85103"/>
    <w:rsid w:val="00E85BB0"/>
    <w:rsid w:val="00E860DB"/>
    <w:rsid w:val="00E86722"/>
    <w:rsid w:val="00E8703C"/>
    <w:rsid w:val="00E8729F"/>
    <w:rsid w:val="00E87717"/>
    <w:rsid w:val="00E879F0"/>
    <w:rsid w:val="00E909BB"/>
    <w:rsid w:val="00E91016"/>
    <w:rsid w:val="00E91602"/>
    <w:rsid w:val="00E92837"/>
    <w:rsid w:val="00E92DE1"/>
    <w:rsid w:val="00E934F7"/>
    <w:rsid w:val="00E93F55"/>
    <w:rsid w:val="00E9416D"/>
    <w:rsid w:val="00E94B36"/>
    <w:rsid w:val="00E95A39"/>
    <w:rsid w:val="00E9621E"/>
    <w:rsid w:val="00E9641A"/>
    <w:rsid w:val="00E96450"/>
    <w:rsid w:val="00E967A6"/>
    <w:rsid w:val="00E96945"/>
    <w:rsid w:val="00E96AF4"/>
    <w:rsid w:val="00E96E32"/>
    <w:rsid w:val="00E97125"/>
    <w:rsid w:val="00E9716F"/>
    <w:rsid w:val="00E97244"/>
    <w:rsid w:val="00E97554"/>
    <w:rsid w:val="00E97E09"/>
    <w:rsid w:val="00E97E41"/>
    <w:rsid w:val="00E97ED3"/>
    <w:rsid w:val="00EA0039"/>
    <w:rsid w:val="00EA0B23"/>
    <w:rsid w:val="00EA0F47"/>
    <w:rsid w:val="00EA10AB"/>
    <w:rsid w:val="00EA1569"/>
    <w:rsid w:val="00EA19F5"/>
    <w:rsid w:val="00EA1FC6"/>
    <w:rsid w:val="00EA2109"/>
    <w:rsid w:val="00EA23C2"/>
    <w:rsid w:val="00EA272B"/>
    <w:rsid w:val="00EA2761"/>
    <w:rsid w:val="00EA27BF"/>
    <w:rsid w:val="00EA2A74"/>
    <w:rsid w:val="00EA2DB4"/>
    <w:rsid w:val="00EA2FB8"/>
    <w:rsid w:val="00EA3429"/>
    <w:rsid w:val="00EA3437"/>
    <w:rsid w:val="00EA4B4D"/>
    <w:rsid w:val="00EA5349"/>
    <w:rsid w:val="00EA53AC"/>
    <w:rsid w:val="00EA5ACB"/>
    <w:rsid w:val="00EA5AE0"/>
    <w:rsid w:val="00EA5D38"/>
    <w:rsid w:val="00EA6376"/>
    <w:rsid w:val="00EA6401"/>
    <w:rsid w:val="00EA6441"/>
    <w:rsid w:val="00EA76DB"/>
    <w:rsid w:val="00EA79DA"/>
    <w:rsid w:val="00EA7A7E"/>
    <w:rsid w:val="00EA7C52"/>
    <w:rsid w:val="00EB0189"/>
    <w:rsid w:val="00EB0334"/>
    <w:rsid w:val="00EB06EE"/>
    <w:rsid w:val="00EB0A5A"/>
    <w:rsid w:val="00EB1201"/>
    <w:rsid w:val="00EB1839"/>
    <w:rsid w:val="00EB1AE7"/>
    <w:rsid w:val="00EB1C05"/>
    <w:rsid w:val="00EB1CCF"/>
    <w:rsid w:val="00EB1F7C"/>
    <w:rsid w:val="00EB225B"/>
    <w:rsid w:val="00EB2821"/>
    <w:rsid w:val="00EB2AF1"/>
    <w:rsid w:val="00EB30A3"/>
    <w:rsid w:val="00EB3620"/>
    <w:rsid w:val="00EB383D"/>
    <w:rsid w:val="00EB3B78"/>
    <w:rsid w:val="00EB4929"/>
    <w:rsid w:val="00EB49FE"/>
    <w:rsid w:val="00EB4D79"/>
    <w:rsid w:val="00EB4DA2"/>
    <w:rsid w:val="00EB4EBD"/>
    <w:rsid w:val="00EB5355"/>
    <w:rsid w:val="00EB55DC"/>
    <w:rsid w:val="00EB5945"/>
    <w:rsid w:val="00EB5CBA"/>
    <w:rsid w:val="00EB6132"/>
    <w:rsid w:val="00EB635D"/>
    <w:rsid w:val="00EB6B44"/>
    <w:rsid w:val="00EB6C58"/>
    <w:rsid w:val="00EB6C6E"/>
    <w:rsid w:val="00EB6DBD"/>
    <w:rsid w:val="00EB7A63"/>
    <w:rsid w:val="00EC028C"/>
    <w:rsid w:val="00EC09DB"/>
    <w:rsid w:val="00EC0EC9"/>
    <w:rsid w:val="00EC1B97"/>
    <w:rsid w:val="00EC26FB"/>
    <w:rsid w:val="00EC2DE4"/>
    <w:rsid w:val="00EC3781"/>
    <w:rsid w:val="00EC37D5"/>
    <w:rsid w:val="00EC3EC2"/>
    <w:rsid w:val="00EC4138"/>
    <w:rsid w:val="00EC41CF"/>
    <w:rsid w:val="00EC44E4"/>
    <w:rsid w:val="00EC4C75"/>
    <w:rsid w:val="00EC54E4"/>
    <w:rsid w:val="00EC57C5"/>
    <w:rsid w:val="00EC61A3"/>
    <w:rsid w:val="00EC6EA3"/>
    <w:rsid w:val="00EC6ED0"/>
    <w:rsid w:val="00EC77D4"/>
    <w:rsid w:val="00EC78F2"/>
    <w:rsid w:val="00EC7B22"/>
    <w:rsid w:val="00ED00E8"/>
    <w:rsid w:val="00ED04CD"/>
    <w:rsid w:val="00ED05E2"/>
    <w:rsid w:val="00ED0E7C"/>
    <w:rsid w:val="00ED102E"/>
    <w:rsid w:val="00ED1303"/>
    <w:rsid w:val="00ED160A"/>
    <w:rsid w:val="00ED1B8C"/>
    <w:rsid w:val="00ED1EE3"/>
    <w:rsid w:val="00ED2101"/>
    <w:rsid w:val="00ED22ED"/>
    <w:rsid w:val="00ED2757"/>
    <w:rsid w:val="00ED290D"/>
    <w:rsid w:val="00ED2EAB"/>
    <w:rsid w:val="00ED377C"/>
    <w:rsid w:val="00ED3E20"/>
    <w:rsid w:val="00ED3FEA"/>
    <w:rsid w:val="00ED4057"/>
    <w:rsid w:val="00ED44F3"/>
    <w:rsid w:val="00ED4544"/>
    <w:rsid w:val="00ED497C"/>
    <w:rsid w:val="00ED4FF2"/>
    <w:rsid w:val="00ED52CE"/>
    <w:rsid w:val="00ED5481"/>
    <w:rsid w:val="00ED54DB"/>
    <w:rsid w:val="00ED5933"/>
    <w:rsid w:val="00ED65BF"/>
    <w:rsid w:val="00ED69D1"/>
    <w:rsid w:val="00ED69E8"/>
    <w:rsid w:val="00ED6F6B"/>
    <w:rsid w:val="00ED7139"/>
    <w:rsid w:val="00ED79D7"/>
    <w:rsid w:val="00ED7ACF"/>
    <w:rsid w:val="00ED7C6A"/>
    <w:rsid w:val="00EE071F"/>
    <w:rsid w:val="00EE0FE1"/>
    <w:rsid w:val="00EE1010"/>
    <w:rsid w:val="00EE13DD"/>
    <w:rsid w:val="00EE15CC"/>
    <w:rsid w:val="00EE1E9E"/>
    <w:rsid w:val="00EE2680"/>
    <w:rsid w:val="00EE31B9"/>
    <w:rsid w:val="00EE34D8"/>
    <w:rsid w:val="00EE364E"/>
    <w:rsid w:val="00EE3B9F"/>
    <w:rsid w:val="00EE41BF"/>
    <w:rsid w:val="00EE42DB"/>
    <w:rsid w:val="00EE44C4"/>
    <w:rsid w:val="00EE4745"/>
    <w:rsid w:val="00EE47D9"/>
    <w:rsid w:val="00EE4920"/>
    <w:rsid w:val="00EE4C9C"/>
    <w:rsid w:val="00EE53E2"/>
    <w:rsid w:val="00EE5C49"/>
    <w:rsid w:val="00EE6139"/>
    <w:rsid w:val="00EE6C7C"/>
    <w:rsid w:val="00EE6E5D"/>
    <w:rsid w:val="00EE7078"/>
    <w:rsid w:val="00EE7C42"/>
    <w:rsid w:val="00EF07CE"/>
    <w:rsid w:val="00EF08FA"/>
    <w:rsid w:val="00EF0CBE"/>
    <w:rsid w:val="00EF0ECE"/>
    <w:rsid w:val="00EF11BE"/>
    <w:rsid w:val="00EF1731"/>
    <w:rsid w:val="00EF189B"/>
    <w:rsid w:val="00EF1F08"/>
    <w:rsid w:val="00EF202E"/>
    <w:rsid w:val="00EF33D0"/>
    <w:rsid w:val="00EF3526"/>
    <w:rsid w:val="00EF3A45"/>
    <w:rsid w:val="00EF3B1B"/>
    <w:rsid w:val="00EF3BA8"/>
    <w:rsid w:val="00EF4049"/>
    <w:rsid w:val="00EF44FC"/>
    <w:rsid w:val="00EF4AF1"/>
    <w:rsid w:val="00EF4B2B"/>
    <w:rsid w:val="00EF4B9D"/>
    <w:rsid w:val="00EF4C3B"/>
    <w:rsid w:val="00EF61F1"/>
    <w:rsid w:val="00EF65C9"/>
    <w:rsid w:val="00EF6853"/>
    <w:rsid w:val="00EF68DB"/>
    <w:rsid w:val="00EF6C2B"/>
    <w:rsid w:val="00EF6CE0"/>
    <w:rsid w:val="00EF6D69"/>
    <w:rsid w:val="00EF7321"/>
    <w:rsid w:val="00EF74BE"/>
    <w:rsid w:val="00EF7C55"/>
    <w:rsid w:val="00EF7C97"/>
    <w:rsid w:val="00EF7CF3"/>
    <w:rsid w:val="00F00762"/>
    <w:rsid w:val="00F00E15"/>
    <w:rsid w:val="00F00E5B"/>
    <w:rsid w:val="00F00E67"/>
    <w:rsid w:val="00F00EF0"/>
    <w:rsid w:val="00F00F43"/>
    <w:rsid w:val="00F010D0"/>
    <w:rsid w:val="00F011B9"/>
    <w:rsid w:val="00F01994"/>
    <w:rsid w:val="00F01E8F"/>
    <w:rsid w:val="00F02872"/>
    <w:rsid w:val="00F02A08"/>
    <w:rsid w:val="00F02E9A"/>
    <w:rsid w:val="00F032B8"/>
    <w:rsid w:val="00F03377"/>
    <w:rsid w:val="00F035E1"/>
    <w:rsid w:val="00F035FF"/>
    <w:rsid w:val="00F03BCB"/>
    <w:rsid w:val="00F03DDF"/>
    <w:rsid w:val="00F04023"/>
    <w:rsid w:val="00F04057"/>
    <w:rsid w:val="00F04161"/>
    <w:rsid w:val="00F04253"/>
    <w:rsid w:val="00F04379"/>
    <w:rsid w:val="00F047B6"/>
    <w:rsid w:val="00F04C9C"/>
    <w:rsid w:val="00F04D5B"/>
    <w:rsid w:val="00F062D1"/>
    <w:rsid w:val="00F065AA"/>
    <w:rsid w:val="00F06803"/>
    <w:rsid w:val="00F06AB9"/>
    <w:rsid w:val="00F06B57"/>
    <w:rsid w:val="00F06E7D"/>
    <w:rsid w:val="00F07618"/>
    <w:rsid w:val="00F07946"/>
    <w:rsid w:val="00F07BD5"/>
    <w:rsid w:val="00F07C02"/>
    <w:rsid w:val="00F100BD"/>
    <w:rsid w:val="00F10A26"/>
    <w:rsid w:val="00F10A9B"/>
    <w:rsid w:val="00F10C6F"/>
    <w:rsid w:val="00F10DD9"/>
    <w:rsid w:val="00F10F4A"/>
    <w:rsid w:val="00F10FA7"/>
    <w:rsid w:val="00F1103C"/>
    <w:rsid w:val="00F11AE5"/>
    <w:rsid w:val="00F12067"/>
    <w:rsid w:val="00F120D5"/>
    <w:rsid w:val="00F1211F"/>
    <w:rsid w:val="00F1266B"/>
    <w:rsid w:val="00F1266E"/>
    <w:rsid w:val="00F12740"/>
    <w:rsid w:val="00F12AF1"/>
    <w:rsid w:val="00F12B90"/>
    <w:rsid w:val="00F130FE"/>
    <w:rsid w:val="00F13B05"/>
    <w:rsid w:val="00F13D8A"/>
    <w:rsid w:val="00F140D0"/>
    <w:rsid w:val="00F14A41"/>
    <w:rsid w:val="00F14ED4"/>
    <w:rsid w:val="00F1548D"/>
    <w:rsid w:val="00F15DD7"/>
    <w:rsid w:val="00F1609C"/>
    <w:rsid w:val="00F160E3"/>
    <w:rsid w:val="00F162F0"/>
    <w:rsid w:val="00F17052"/>
    <w:rsid w:val="00F170C4"/>
    <w:rsid w:val="00F17172"/>
    <w:rsid w:val="00F1768A"/>
    <w:rsid w:val="00F17A0E"/>
    <w:rsid w:val="00F17BE3"/>
    <w:rsid w:val="00F2004C"/>
    <w:rsid w:val="00F20DFA"/>
    <w:rsid w:val="00F210E2"/>
    <w:rsid w:val="00F211D4"/>
    <w:rsid w:val="00F21617"/>
    <w:rsid w:val="00F21859"/>
    <w:rsid w:val="00F21FAE"/>
    <w:rsid w:val="00F22321"/>
    <w:rsid w:val="00F22F02"/>
    <w:rsid w:val="00F232D6"/>
    <w:rsid w:val="00F23884"/>
    <w:rsid w:val="00F2445C"/>
    <w:rsid w:val="00F24514"/>
    <w:rsid w:val="00F24EA1"/>
    <w:rsid w:val="00F2524B"/>
    <w:rsid w:val="00F2566B"/>
    <w:rsid w:val="00F25A76"/>
    <w:rsid w:val="00F25D10"/>
    <w:rsid w:val="00F25E0A"/>
    <w:rsid w:val="00F25F63"/>
    <w:rsid w:val="00F26806"/>
    <w:rsid w:val="00F26BF7"/>
    <w:rsid w:val="00F26D5A"/>
    <w:rsid w:val="00F27CE3"/>
    <w:rsid w:val="00F3012F"/>
    <w:rsid w:val="00F30332"/>
    <w:rsid w:val="00F30670"/>
    <w:rsid w:val="00F306AC"/>
    <w:rsid w:val="00F30934"/>
    <w:rsid w:val="00F30B87"/>
    <w:rsid w:val="00F30D52"/>
    <w:rsid w:val="00F31662"/>
    <w:rsid w:val="00F317F9"/>
    <w:rsid w:val="00F3189C"/>
    <w:rsid w:val="00F31C41"/>
    <w:rsid w:val="00F31D6E"/>
    <w:rsid w:val="00F31EB1"/>
    <w:rsid w:val="00F32077"/>
    <w:rsid w:val="00F32A50"/>
    <w:rsid w:val="00F32B59"/>
    <w:rsid w:val="00F32D75"/>
    <w:rsid w:val="00F32DDE"/>
    <w:rsid w:val="00F334A0"/>
    <w:rsid w:val="00F3397F"/>
    <w:rsid w:val="00F33A89"/>
    <w:rsid w:val="00F33B88"/>
    <w:rsid w:val="00F34020"/>
    <w:rsid w:val="00F3417E"/>
    <w:rsid w:val="00F34534"/>
    <w:rsid w:val="00F34536"/>
    <w:rsid w:val="00F34A55"/>
    <w:rsid w:val="00F35327"/>
    <w:rsid w:val="00F35E44"/>
    <w:rsid w:val="00F36442"/>
    <w:rsid w:val="00F36A56"/>
    <w:rsid w:val="00F36BE8"/>
    <w:rsid w:val="00F36D0A"/>
    <w:rsid w:val="00F36D44"/>
    <w:rsid w:val="00F36E1D"/>
    <w:rsid w:val="00F37924"/>
    <w:rsid w:val="00F37B40"/>
    <w:rsid w:val="00F37F31"/>
    <w:rsid w:val="00F40081"/>
    <w:rsid w:val="00F40104"/>
    <w:rsid w:val="00F40347"/>
    <w:rsid w:val="00F403B1"/>
    <w:rsid w:val="00F40605"/>
    <w:rsid w:val="00F40764"/>
    <w:rsid w:val="00F40D73"/>
    <w:rsid w:val="00F40F91"/>
    <w:rsid w:val="00F4110B"/>
    <w:rsid w:val="00F41168"/>
    <w:rsid w:val="00F41355"/>
    <w:rsid w:val="00F41A49"/>
    <w:rsid w:val="00F4228D"/>
    <w:rsid w:val="00F4279B"/>
    <w:rsid w:val="00F43755"/>
    <w:rsid w:val="00F43C9C"/>
    <w:rsid w:val="00F4411F"/>
    <w:rsid w:val="00F442F8"/>
    <w:rsid w:val="00F44418"/>
    <w:rsid w:val="00F444C4"/>
    <w:rsid w:val="00F4455B"/>
    <w:rsid w:val="00F44746"/>
    <w:rsid w:val="00F447ED"/>
    <w:rsid w:val="00F44974"/>
    <w:rsid w:val="00F44F7B"/>
    <w:rsid w:val="00F44FCE"/>
    <w:rsid w:val="00F4508D"/>
    <w:rsid w:val="00F45A4A"/>
    <w:rsid w:val="00F45EA7"/>
    <w:rsid w:val="00F4653A"/>
    <w:rsid w:val="00F4669B"/>
    <w:rsid w:val="00F467B5"/>
    <w:rsid w:val="00F47445"/>
    <w:rsid w:val="00F47648"/>
    <w:rsid w:val="00F47AEA"/>
    <w:rsid w:val="00F47CA7"/>
    <w:rsid w:val="00F50203"/>
    <w:rsid w:val="00F5043E"/>
    <w:rsid w:val="00F504F7"/>
    <w:rsid w:val="00F506D9"/>
    <w:rsid w:val="00F506F5"/>
    <w:rsid w:val="00F5077A"/>
    <w:rsid w:val="00F50BBA"/>
    <w:rsid w:val="00F5102A"/>
    <w:rsid w:val="00F512CF"/>
    <w:rsid w:val="00F51C05"/>
    <w:rsid w:val="00F527EF"/>
    <w:rsid w:val="00F532A1"/>
    <w:rsid w:val="00F532CE"/>
    <w:rsid w:val="00F53884"/>
    <w:rsid w:val="00F545B3"/>
    <w:rsid w:val="00F5487C"/>
    <w:rsid w:val="00F554C4"/>
    <w:rsid w:val="00F556DD"/>
    <w:rsid w:val="00F55B26"/>
    <w:rsid w:val="00F55F14"/>
    <w:rsid w:val="00F57022"/>
    <w:rsid w:val="00F57047"/>
    <w:rsid w:val="00F5765E"/>
    <w:rsid w:val="00F60F81"/>
    <w:rsid w:val="00F60FDB"/>
    <w:rsid w:val="00F6115C"/>
    <w:rsid w:val="00F6120D"/>
    <w:rsid w:val="00F613CC"/>
    <w:rsid w:val="00F6166F"/>
    <w:rsid w:val="00F61841"/>
    <w:rsid w:val="00F619B6"/>
    <w:rsid w:val="00F61D15"/>
    <w:rsid w:val="00F622E8"/>
    <w:rsid w:val="00F623BC"/>
    <w:rsid w:val="00F625C4"/>
    <w:rsid w:val="00F62842"/>
    <w:rsid w:val="00F62B45"/>
    <w:rsid w:val="00F62BF0"/>
    <w:rsid w:val="00F62F88"/>
    <w:rsid w:val="00F634BA"/>
    <w:rsid w:val="00F638CE"/>
    <w:rsid w:val="00F639FA"/>
    <w:rsid w:val="00F63D67"/>
    <w:rsid w:val="00F63E61"/>
    <w:rsid w:val="00F64941"/>
    <w:rsid w:val="00F64A7F"/>
    <w:rsid w:val="00F64E24"/>
    <w:rsid w:val="00F64ED5"/>
    <w:rsid w:val="00F65127"/>
    <w:rsid w:val="00F6599E"/>
    <w:rsid w:val="00F6605C"/>
    <w:rsid w:val="00F66881"/>
    <w:rsid w:val="00F668C7"/>
    <w:rsid w:val="00F66AE0"/>
    <w:rsid w:val="00F66E7A"/>
    <w:rsid w:val="00F67457"/>
    <w:rsid w:val="00F674BA"/>
    <w:rsid w:val="00F678D4"/>
    <w:rsid w:val="00F67A17"/>
    <w:rsid w:val="00F67BD5"/>
    <w:rsid w:val="00F67CB8"/>
    <w:rsid w:val="00F700E0"/>
    <w:rsid w:val="00F708F1"/>
    <w:rsid w:val="00F708FD"/>
    <w:rsid w:val="00F70BA1"/>
    <w:rsid w:val="00F7111C"/>
    <w:rsid w:val="00F71486"/>
    <w:rsid w:val="00F71EDD"/>
    <w:rsid w:val="00F72B15"/>
    <w:rsid w:val="00F72EAB"/>
    <w:rsid w:val="00F72EEE"/>
    <w:rsid w:val="00F73042"/>
    <w:rsid w:val="00F73777"/>
    <w:rsid w:val="00F73A11"/>
    <w:rsid w:val="00F73B06"/>
    <w:rsid w:val="00F747C0"/>
    <w:rsid w:val="00F74AE5"/>
    <w:rsid w:val="00F7572D"/>
    <w:rsid w:val="00F75DA5"/>
    <w:rsid w:val="00F75F25"/>
    <w:rsid w:val="00F7637E"/>
    <w:rsid w:val="00F76F6E"/>
    <w:rsid w:val="00F77572"/>
    <w:rsid w:val="00F80991"/>
    <w:rsid w:val="00F80B92"/>
    <w:rsid w:val="00F81DDD"/>
    <w:rsid w:val="00F81EEE"/>
    <w:rsid w:val="00F823D3"/>
    <w:rsid w:val="00F829B5"/>
    <w:rsid w:val="00F82AA2"/>
    <w:rsid w:val="00F82F72"/>
    <w:rsid w:val="00F83122"/>
    <w:rsid w:val="00F8352D"/>
    <w:rsid w:val="00F8405D"/>
    <w:rsid w:val="00F841AB"/>
    <w:rsid w:val="00F843CC"/>
    <w:rsid w:val="00F845DD"/>
    <w:rsid w:val="00F8468A"/>
    <w:rsid w:val="00F84BC0"/>
    <w:rsid w:val="00F84DFF"/>
    <w:rsid w:val="00F84FCF"/>
    <w:rsid w:val="00F8515D"/>
    <w:rsid w:val="00F85745"/>
    <w:rsid w:val="00F85AB9"/>
    <w:rsid w:val="00F860CA"/>
    <w:rsid w:val="00F863D1"/>
    <w:rsid w:val="00F865BC"/>
    <w:rsid w:val="00F86645"/>
    <w:rsid w:val="00F86775"/>
    <w:rsid w:val="00F86AA4"/>
    <w:rsid w:val="00F86ABA"/>
    <w:rsid w:val="00F86FCA"/>
    <w:rsid w:val="00F87145"/>
    <w:rsid w:val="00F87B93"/>
    <w:rsid w:val="00F87CFE"/>
    <w:rsid w:val="00F90185"/>
    <w:rsid w:val="00F906D9"/>
    <w:rsid w:val="00F90853"/>
    <w:rsid w:val="00F90EDD"/>
    <w:rsid w:val="00F9186E"/>
    <w:rsid w:val="00F918DF"/>
    <w:rsid w:val="00F91960"/>
    <w:rsid w:val="00F91C26"/>
    <w:rsid w:val="00F9258C"/>
    <w:rsid w:val="00F925FE"/>
    <w:rsid w:val="00F9268D"/>
    <w:rsid w:val="00F92A9C"/>
    <w:rsid w:val="00F92B1D"/>
    <w:rsid w:val="00F936C7"/>
    <w:rsid w:val="00F93745"/>
    <w:rsid w:val="00F93B48"/>
    <w:rsid w:val="00F942A4"/>
    <w:rsid w:val="00F94A2E"/>
    <w:rsid w:val="00F94F69"/>
    <w:rsid w:val="00F95637"/>
    <w:rsid w:val="00F96495"/>
    <w:rsid w:val="00F96B0C"/>
    <w:rsid w:val="00F96C0F"/>
    <w:rsid w:val="00F96F0B"/>
    <w:rsid w:val="00F976F1"/>
    <w:rsid w:val="00F9779B"/>
    <w:rsid w:val="00FA0817"/>
    <w:rsid w:val="00FA12B4"/>
    <w:rsid w:val="00FA14B4"/>
    <w:rsid w:val="00FA1849"/>
    <w:rsid w:val="00FA19C4"/>
    <w:rsid w:val="00FA1DF8"/>
    <w:rsid w:val="00FA2650"/>
    <w:rsid w:val="00FA2A85"/>
    <w:rsid w:val="00FA2B9D"/>
    <w:rsid w:val="00FA2DB7"/>
    <w:rsid w:val="00FA3350"/>
    <w:rsid w:val="00FA33A0"/>
    <w:rsid w:val="00FA37FB"/>
    <w:rsid w:val="00FA4288"/>
    <w:rsid w:val="00FA43C8"/>
    <w:rsid w:val="00FA4533"/>
    <w:rsid w:val="00FA4DE1"/>
    <w:rsid w:val="00FA57D9"/>
    <w:rsid w:val="00FA582C"/>
    <w:rsid w:val="00FA5A72"/>
    <w:rsid w:val="00FA5F78"/>
    <w:rsid w:val="00FA6072"/>
    <w:rsid w:val="00FA6319"/>
    <w:rsid w:val="00FA654C"/>
    <w:rsid w:val="00FA687C"/>
    <w:rsid w:val="00FA6AA3"/>
    <w:rsid w:val="00FA6AC7"/>
    <w:rsid w:val="00FA6DC8"/>
    <w:rsid w:val="00FA7081"/>
    <w:rsid w:val="00FA718E"/>
    <w:rsid w:val="00FA737E"/>
    <w:rsid w:val="00FB0534"/>
    <w:rsid w:val="00FB0B7E"/>
    <w:rsid w:val="00FB0D80"/>
    <w:rsid w:val="00FB1476"/>
    <w:rsid w:val="00FB1817"/>
    <w:rsid w:val="00FB1B00"/>
    <w:rsid w:val="00FB2C3F"/>
    <w:rsid w:val="00FB2DA8"/>
    <w:rsid w:val="00FB3629"/>
    <w:rsid w:val="00FB3860"/>
    <w:rsid w:val="00FB396F"/>
    <w:rsid w:val="00FB3FD2"/>
    <w:rsid w:val="00FB44DA"/>
    <w:rsid w:val="00FB4AA1"/>
    <w:rsid w:val="00FB4B40"/>
    <w:rsid w:val="00FB4B8B"/>
    <w:rsid w:val="00FB4BEA"/>
    <w:rsid w:val="00FB4D0B"/>
    <w:rsid w:val="00FB4D38"/>
    <w:rsid w:val="00FB50F4"/>
    <w:rsid w:val="00FB515E"/>
    <w:rsid w:val="00FB55C0"/>
    <w:rsid w:val="00FB5BA4"/>
    <w:rsid w:val="00FB626D"/>
    <w:rsid w:val="00FB64D3"/>
    <w:rsid w:val="00FB6D81"/>
    <w:rsid w:val="00FB77AC"/>
    <w:rsid w:val="00FB7DD1"/>
    <w:rsid w:val="00FC0F35"/>
    <w:rsid w:val="00FC150B"/>
    <w:rsid w:val="00FC1520"/>
    <w:rsid w:val="00FC15DB"/>
    <w:rsid w:val="00FC1655"/>
    <w:rsid w:val="00FC19E0"/>
    <w:rsid w:val="00FC1B9F"/>
    <w:rsid w:val="00FC1BE7"/>
    <w:rsid w:val="00FC1D49"/>
    <w:rsid w:val="00FC2726"/>
    <w:rsid w:val="00FC2F64"/>
    <w:rsid w:val="00FC33A7"/>
    <w:rsid w:val="00FC35A7"/>
    <w:rsid w:val="00FC371E"/>
    <w:rsid w:val="00FC383C"/>
    <w:rsid w:val="00FC3EEF"/>
    <w:rsid w:val="00FC4EC4"/>
    <w:rsid w:val="00FC568B"/>
    <w:rsid w:val="00FC6093"/>
    <w:rsid w:val="00FC657C"/>
    <w:rsid w:val="00FC76F2"/>
    <w:rsid w:val="00FC784F"/>
    <w:rsid w:val="00FC7881"/>
    <w:rsid w:val="00FD0016"/>
    <w:rsid w:val="00FD02F2"/>
    <w:rsid w:val="00FD055F"/>
    <w:rsid w:val="00FD07B9"/>
    <w:rsid w:val="00FD0BA6"/>
    <w:rsid w:val="00FD0EEB"/>
    <w:rsid w:val="00FD0F76"/>
    <w:rsid w:val="00FD0FAD"/>
    <w:rsid w:val="00FD1063"/>
    <w:rsid w:val="00FD12C0"/>
    <w:rsid w:val="00FD1426"/>
    <w:rsid w:val="00FD1664"/>
    <w:rsid w:val="00FD18D5"/>
    <w:rsid w:val="00FD1B7D"/>
    <w:rsid w:val="00FD26EE"/>
    <w:rsid w:val="00FD2793"/>
    <w:rsid w:val="00FD27AC"/>
    <w:rsid w:val="00FD27B0"/>
    <w:rsid w:val="00FD2802"/>
    <w:rsid w:val="00FD2817"/>
    <w:rsid w:val="00FD2951"/>
    <w:rsid w:val="00FD3395"/>
    <w:rsid w:val="00FD3754"/>
    <w:rsid w:val="00FD3775"/>
    <w:rsid w:val="00FD389E"/>
    <w:rsid w:val="00FD49D1"/>
    <w:rsid w:val="00FD4E06"/>
    <w:rsid w:val="00FD5666"/>
    <w:rsid w:val="00FD5696"/>
    <w:rsid w:val="00FD6541"/>
    <w:rsid w:val="00FD6583"/>
    <w:rsid w:val="00FD69EC"/>
    <w:rsid w:val="00FD6AAA"/>
    <w:rsid w:val="00FD6AE1"/>
    <w:rsid w:val="00FD6B5D"/>
    <w:rsid w:val="00FD74B4"/>
    <w:rsid w:val="00FD7862"/>
    <w:rsid w:val="00FD7E9D"/>
    <w:rsid w:val="00FE09F9"/>
    <w:rsid w:val="00FE0D2C"/>
    <w:rsid w:val="00FE14CE"/>
    <w:rsid w:val="00FE1928"/>
    <w:rsid w:val="00FE19AF"/>
    <w:rsid w:val="00FE1A92"/>
    <w:rsid w:val="00FE1C24"/>
    <w:rsid w:val="00FE25E1"/>
    <w:rsid w:val="00FE2601"/>
    <w:rsid w:val="00FE2677"/>
    <w:rsid w:val="00FE33A9"/>
    <w:rsid w:val="00FE3C45"/>
    <w:rsid w:val="00FE3CAF"/>
    <w:rsid w:val="00FE3FD6"/>
    <w:rsid w:val="00FE4C0F"/>
    <w:rsid w:val="00FE4D74"/>
    <w:rsid w:val="00FE548E"/>
    <w:rsid w:val="00FE54E1"/>
    <w:rsid w:val="00FE59EC"/>
    <w:rsid w:val="00FE5B47"/>
    <w:rsid w:val="00FE614C"/>
    <w:rsid w:val="00FE6735"/>
    <w:rsid w:val="00FE759F"/>
    <w:rsid w:val="00FF005A"/>
    <w:rsid w:val="00FF028D"/>
    <w:rsid w:val="00FF071F"/>
    <w:rsid w:val="00FF0E2F"/>
    <w:rsid w:val="00FF174B"/>
    <w:rsid w:val="00FF198E"/>
    <w:rsid w:val="00FF1A05"/>
    <w:rsid w:val="00FF22E2"/>
    <w:rsid w:val="00FF238E"/>
    <w:rsid w:val="00FF2402"/>
    <w:rsid w:val="00FF2587"/>
    <w:rsid w:val="00FF29ED"/>
    <w:rsid w:val="00FF2ADE"/>
    <w:rsid w:val="00FF2DEB"/>
    <w:rsid w:val="00FF2FD7"/>
    <w:rsid w:val="00FF30BF"/>
    <w:rsid w:val="00FF3299"/>
    <w:rsid w:val="00FF333C"/>
    <w:rsid w:val="00FF4987"/>
    <w:rsid w:val="00FF4E32"/>
    <w:rsid w:val="00FF569F"/>
    <w:rsid w:val="00FF5A95"/>
    <w:rsid w:val="00FF5BCA"/>
    <w:rsid w:val="00FF5C93"/>
    <w:rsid w:val="00FF66C5"/>
    <w:rsid w:val="00FF6E29"/>
    <w:rsid w:val="00FF7341"/>
    <w:rsid w:val="00FF75E5"/>
    <w:rsid w:val="00FF79E3"/>
    <w:rsid w:val="00FF7AB0"/>
    <w:rsid w:val="00FF7B87"/>
    <w:rsid w:val="00FF7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4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2383"/>
    <w:pPr>
      <w:spacing w:after="100" w:afterAutospacing="1"/>
      <w:jc w:val="both"/>
    </w:pPr>
  </w:style>
  <w:style w:type="paragraph" w:styleId="Nadpis1">
    <w:name w:val="heading 1"/>
    <w:basedOn w:val="Normln"/>
    <w:next w:val="Normln"/>
    <w:link w:val="Nadpis1Char"/>
    <w:uiPriority w:val="9"/>
    <w:qFormat/>
    <w:rsid w:val="00F86645"/>
    <w:pPr>
      <w:keepNext/>
      <w:keepLines/>
      <w:numPr>
        <w:numId w:val="4"/>
      </w:numPr>
      <w:spacing w:before="480"/>
      <w:outlineLvl w:val="0"/>
    </w:pPr>
    <w:rPr>
      <w:rFonts w:asciiTheme="majorHAnsi" w:eastAsiaTheme="majorEastAsia" w:hAnsiTheme="majorHAnsi" w:cstheme="majorBidi"/>
      <w:b/>
      <w:bCs/>
      <w:color w:val="76923C" w:themeColor="accent3" w:themeShade="BF"/>
      <w:sz w:val="32"/>
      <w:szCs w:val="28"/>
    </w:rPr>
  </w:style>
  <w:style w:type="paragraph" w:styleId="Nadpis2">
    <w:name w:val="heading 2"/>
    <w:basedOn w:val="Normln"/>
    <w:next w:val="Normln"/>
    <w:link w:val="Nadpis2Char"/>
    <w:uiPriority w:val="9"/>
    <w:unhideWhenUsed/>
    <w:qFormat/>
    <w:rsid w:val="00F86645"/>
    <w:pPr>
      <w:keepNext/>
      <w:keepLines/>
      <w:numPr>
        <w:ilvl w:val="1"/>
        <w:numId w:val="4"/>
      </w:numPr>
      <w:spacing w:before="200"/>
      <w:ind w:left="576"/>
      <w:outlineLvl w:val="1"/>
    </w:pPr>
    <w:rPr>
      <w:rFonts w:asciiTheme="majorHAnsi" w:hAnsiTheme="majorHAnsi" w:cstheme="majorBidi"/>
      <w:b/>
      <w:bCs/>
      <w:color w:val="76923C" w:themeColor="accent3" w:themeShade="BF"/>
      <w:sz w:val="28"/>
      <w:szCs w:val="26"/>
    </w:rPr>
  </w:style>
  <w:style w:type="paragraph" w:styleId="Nadpis3">
    <w:name w:val="heading 3"/>
    <w:basedOn w:val="Normln"/>
    <w:next w:val="Normln"/>
    <w:link w:val="Nadpis3Char"/>
    <w:uiPriority w:val="9"/>
    <w:unhideWhenUsed/>
    <w:qFormat/>
    <w:rsid w:val="00F86645"/>
    <w:pPr>
      <w:keepNext/>
      <w:keepLines/>
      <w:numPr>
        <w:ilvl w:val="2"/>
        <w:numId w:val="4"/>
      </w:numPr>
      <w:spacing w:before="200"/>
      <w:outlineLvl w:val="2"/>
    </w:pPr>
    <w:rPr>
      <w:rFonts w:asciiTheme="majorHAnsi" w:eastAsiaTheme="majorEastAsia" w:hAnsiTheme="majorHAnsi" w:cstheme="majorBidi"/>
      <w:b/>
      <w:bCs/>
      <w:color w:val="76923C" w:themeColor="accent3" w:themeShade="BF"/>
      <w:sz w:val="24"/>
    </w:rPr>
  </w:style>
  <w:style w:type="paragraph" w:styleId="Nadpis4">
    <w:name w:val="heading 4"/>
    <w:basedOn w:val="Normln"/>
    <w:next w:val="Normln"/>
    <w:link w:val="Nadpis4Char"/>
    <w:uiPriority w:val="9"/>
    <w:unhideWhenUsed/>
    <w:qFormat/>
    <w:rsid w:val="00796FEE"/>
    <w:pPr>
      <w:keepNext/>
      <w:keepLines/>
      <w:numPr>
        <w:ilvl w:val="3"/>
        <w:numId w:val="4"/>
      </w:numPr>
      <w:spacing w:before="200"/>
      <w:outlineLvl w:val="3"/>
    </w:pPr>
    <w:rPr>
      <w:rFonts w:asciiTheme="majorHAnsi" w:eastAsiaTheme="majorEastAsia" w:hAnsiTheme="majorHAnsi" w:cstheme="majorBidi"/>
      <w:b/>
      <w:bCs/>
      <w:iCs/>
      <w:color w:val="76923C" w:themeColor="accent3" w:themeShade="BF"/>
      <w:sz w:val="24"/>
    </w:rPr>
  </w:style>
  <w:style w:type="paragraph" w:styleId="Nadpis5">
    <w:name w:val="heading 5"/>
    <w:basedOn w:val="Normln"/>
    <w:next w:val="Normln"/>
    <w:link w:val="Nadpis5Char"/>
    <w:uiPriority w:val="9"/>
    <w:unhideWhenUsed/>
    <w:qFormat/>
    <w:rsid w:val="00397F38"/>
    <w:pPr>
      <w:keepNext/>
      <w:keepLines/>
      <w:numPr>
        <w:ilvl w:val="4"/>
        <w:numId w:val="4"/>
      </w:numPr>
      <w:spacing w:before="200"/>
      <w:ind w:left="1009" w:hanging="1009"/>
      <w:outlineLvl w:val="4"/>
    </w:pPr>
    <w:rPr>
      <w:rFonts w:asciiTheme="majorHAnsi" w:eastAsiaTheme="majorEastAsia" w:hAnsiTheme="majorHAnsi" w:cstheme="majorBidi"/>
      <w:b/>
      <w:color w:val="76923C" w:themeColor="accent3" w:themeShade="BF"/>
    </w:rPr>
  </w:style>
  <w:style w:type="paragraph" w:styleId="Nadpis6">
    <w:name w:val="heading 6"/>
    <w:basedOn w:val="Normln"/>
    <w:next w:val="Normln"/>
    <w:link w:val="Nadpis6Char"/>
    <w:uiPriority w:val="9"/>
    <w:unhideWhenUsed/>
    <w:qFormat/>
    <w:rsid w:val="001D2383"/>
    <w:pPr>
      <w:keepNext/>
      <w:keepLines/>
      <w:spacing w:before="200"/>
      <w:outlineLvl w:val="5"/>
    </w:pPr>
    <w:rPr>
      <w:rFonts w:asciiTheme="majorHAnsi" w:eastAsiaTheme="majorEastAsia" w:hAnsiTheme="majorHAnsi" w:cstheme="majorBidi"/>
      <w:b/>
      <w:iCs/>
      <w:color w:val="76923C" w:themeColor="accent3" w:themeShade="BF"/>
    </w:rPr>
  </w:style>
  <w:style w:type="paragraph" w:styleId="Nadpis7">
    <w:name w:val="heading 7"/>
    <w:basedOn w:val="Normln"/>
    <w:next w:val="Normln"/>
    <w:link w:val="Nadpis7Char"/>
    <w:uiPriority w:val="9"/>
    <w:unhideWhenUsed/>
    <w:qFormat/>
    <w:rsid w:val="001D2383"/>
    <w:pPr>
      <w:keepNext/>
      <w:keepLines/>
      <w:spacing w:before="200"/>
      <w:outlineLvl w:val="6"/>
    </w:pPr>
    <w:rPr>
      <w:rFonts w:asciiTheme="majorHAnsi" w:eastAsiaTheme="majorEastAsia" w:hAnsiTheme="majorHAnsi" w:cstheme="majorBidi"/>
      <w:b/>
      <w:iCs/>
      <w:color w:val="76923C" w:themeColor="accent3" w:themeShade="BF"/>
    </w:rPr>
  </w:style>
  <w:style w:type="paragraph" w:styleId="Nadpis8">
    <w:name w:val="heading 8"/>
    <w:basedOn w:val="Normln"/>
    <w:next w:val="Normln"/>
    <w:link w:val="Nadpis8Char"/>
    <w:uiPriority w:val="9"/>
    <w:semiHidden/>
    <w:unhideWhenUsed/>
    <w:qFormat/>
    <w:rsid w:val="00F8664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86645"/>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w:basedOn w:val="Normln"/>
    <w:link w:val="OdstavecseseznamemChar"/>
    <w:uiPriority w:val="34"/>
    <w:qFormat/>
    <w:rsid w:val="00281E31"/>
    <w:pPr>
      <w:ind w:left="720"/>
      <w:contextualSpacing/>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4_G,Footnote Reference Number"/>
    <w:uiPriority w:val="99"/>
    <w:rsid w:val="008735E1"/>
    <w:rPr>
      <w:vertAlign w:val="superscript"/>
    </w:rPr>
  </w:style>
  <w:style w:type="paragraph" w:customStyle="1" w:styleId="Poznmkapodarou">
    <w:name w:val="Poznámka pod čarou"/>
    <w:basedOn w:val="Normln"/>
    <w:link w:val="PoznmkapodarouChar"/>
    <w:qFormat/>
    <w:rsid w:val="008735E1"/>
    <w:rPr>
      <w:sz w:val="20"/>
    </w:rPr>
  </w:style>
  <w:style w:type="paragraph" w:styleId="Textbubliny">
    <w:name w:val="Balloon Text"/>
    <w:basedOn w:val="Normln"/>
    <w:link w:val="TextbublinyChar"/>
    <w:uiPriority w:val="99"/>
    <w:semiHidden/>
    <w:unhideWhenUsed/>
    <w:rsid w:val="008735E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35E1"/>
    <w:rPr>
      <w:rFonts w:ascii="Tahoma" w:hAnsi="Tahoma" w:cs="Tahoma"/>
      <w:sz w:val="16"/>
      <w:szCs w:val="16"/>
    </w:rPr>
  </w:style>
  <w:style w:type="paragraph" w:styleId="Zhlav">
    <w:name w:val="header"/>
    <w:basedOn w:val="Normln"/>
    <w:link w:val="ZhlavChar"/>
    <w:uiPriority w:val="99"/>
    <w:unhideWhenUsed/>
    <w:rsid w:val="00AA38BF"/>
    <w:pPr>
      <w:tabs>
        <w:tab w:val="center" w:pos="4536"/>
        <w:tab w:val="right" w:pos="9072"/>
      </w:tabs>
      <w:spacing w:line="240" w:lineRule="auto"/>
    </w:pPr>
  </w:style>
  <w:style w:type="character" w:customStyle="1" w:styleId="ZhlavChar">
    <w:name w:val="Záhlaví Char"/>
    <w:basedOn w:val="Standardnpsmoodstavce"/>
    <w:link w:val="Zhlav"/>
    <w:uiPriority w:val="99"/>
    <w:rsid w:val="00AA38BF"/>
  </w:style>
  <w:style w:type="paragraph" w:styleId="Zpat">
    <w:name w:val="footer"/>
    <w:basedOn w:val="Normln"/>
    <w:link w:val="ZpatChar"/>
    <w:uiPriority w:val="99"/>
    <w:unhideWhenUsed/>
    <w:rsid w:val="00AA38BF"/>
    <w:pPr>
      <w:tabs>
        <w:tab w:val="center" w:pos="4536"/>
        <w:tab w:val="right" w:pos="9072"/>
      </w:tabs>
      <w:spacing w:line="240" w:lineRule="auto"/>
    </w:pPr>
  </w:style>
  <w:style w:type="character" w:customStyle="1" w:styleId="ZpatChar">
    <w:name w:val="Zápatí Char"/>
    <w:basedOn w:val="Standardnpsmoodstavce"/>
    <w:link w:val="Zpat"/>
    <w:uiPriority w:val="99"/>
    <w:rsid w:val="00AA38BF"/>
  </w:style>
  <w:style w:type="character" w:customStyle="1" w:styleId="Nadpis2Char">
    <w:name w:val="Nadpis 2 Char"/>
    <w:basedOn w:val="Standardnpsmoodstavce"/>
    <w:link w:val="Nadpis2"/>
    <w:uiPriority w:val="9"/>
    <w:rsid w:val="00F86645"/>
    <w:rPr>
      <w:rFonts w:asciiTheme="majorHAnsi" w:hAnsiTheme="majorHAnsi" w:cstheme="majorBidi"/>
      <w:b/>
      <w:bCs/>
      <w:color w:val="76923C" w:themeColor="accent3" w:themeShade="BF"/>
      <w:sz w:val="28"/>
      <w:szCs w:val="26"/>
    </w:rPr>
  </w:style>
  <w:style w:type="character" w:customStyle="1" w:styleId="Nadpis1Char">
    <w:name w:val="Nadpis 1 Char"/>
    <w:basedOn w:val="Standardnpsmoodstavce"/>
    <w:link w:val="Nadpis1"/>
    <w:uiPriority w:val="9"/>
    <w:rsid w:val="00B66FDE"/>
    <w:rPr>
      <w:rFonts w:asciiTheme="majorHAnsi" w:eastAsiaTheme="majorEastAsia" w:hAnsiTheme="majorHAnsi" w:cstheme="majorBidi"/>
      <w:b/>
      <w:bCs/>
      <w:color w:val="76923C" w:themeColor="accent3" w:themeShade="BF"/>
      <w:sz w:val="32"/>
      <w:szCs w:val="28"/>
    </w:rPr>
  </w:style>
  <w:style w:type="character" w:styleId="Zdraznnintenzivn">
    <w:name w:val="Intense Emphasis"/>
    <w:basedOn w:val="Standardnpsmoodstavce"/>
    <w:uiPriority w:val="21"/>
    <w:qFormat/>
    <w:rsid w:val="001D7CB2"/>
    <w:rPr>
      <w:b/>
      <w:bCs/>
      <w:i/>
      <w:iCs/>
      <w:color w:val="4F81BD" w:themeColor="accent1"/>
    </w:rPr>
  </w:style>
  <w:style w:type="character" w:styleId="Odkazjemn">
    <w:name w:val="Subtle Reference"/>
    <w:basedOn w:val="Standardnpsmoodstavce"/>
    <w:uiPriority w:val="31"/>
    <w:qFormat/>
    <w:rsid w:val="001D7CB2"/>
    <w:rPr>
      <w:smallCaps/>
      <w:color w:val="C0504D" w:themeColor="accent2"/>
      <w:u w:val="single"/>
    </w:rPr>
  </w:style>
  <w:style w:type="character" w:styleId="Odkazintenzivn">
    <w:name w:val="Intense Reference"/>
    <w:basedOn w:val="Standardnpsmoodstavce"/>
    <w:uiPriority w:val="32"/>
    <w:qFormat/>
    <w:rsid w:val="006172C4"/>
    <w:rPr>
      <w:b/>
      <w:bCs/>
      <w:smallCaps/>
      <w:color w:val="C0504D" w:themeColor="accent2"/>
      <w:spacing w:val="5"/>
      <w:u w:val="single"/>
    </w:rPr>
  </w:style>
  <w:style w:type="paragraph" w:styleId="Nzev">
    <w:name w:val="Title"/>
    <w:basedOn w:val="Normln"/>
    <w:next w:val="Normln"/>
    <w:link w:val="NzevChar"/>
    <w:uiPriority w:val="10"/>
    <w:qFormat/>
    <w:rsid w:val="00B619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6196F"/>
    <w:rPr>
      <w:rFonts w:asciiTheme="majorHAnsi" w:eastAsiaTheme="majorEastAsia" w:hAnsiTheme="majorHAnsi" w:cstheme="majorBidi"/>
      <w:color w:val="17365D" w:themeColor="text2" w:themeShade="BF"/>
      <w:spacing w:val="5"/>
      <w:kern w:val="28"/>
      <w:sz w:val="52"/>
      <w:szCs w:val="52"/>
    </w:rPr>
  </w:style>
  <w:style w:type="table" w:styleId="Mkatabulky">
    <w:name w:val="Table Grid"/>
    <w:basedOn w:val="Normlntabulka"/>
    <w:uiPriority w:val="39"/>
    <w:rsid w:val="0099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5D18A6"/>
    <w:rPr>
      <w:sz w:val="16"/>
      <w:szCs w:val="16"/>
    </w:rPr>
  </w:style>
  <w:style w:type="paragraph" w:styleId="Textkomente">
    <w:name w:val="annotation text"/>
    <w:basedOn w:val="Normln"/>
    <w:link w:val="TextkomenteChar"/>
    <w:uiPriority w:val="99"/>
    <w:unhideWhenUsed/>
    <w:rsid w:val="005D18A6"/>
    <w:pPr>
      <w:spacing w:line="240" w:lineRule="auto"/>
    </w:pPr>
    <w:rPr>
      <w:sz w:val="20"/>
      <w:szCs w:val="20"/>
    </w:rPr>
  </w:style>
  <w:style w:type="character" w:customStyle="1" w:styleId="TextkomenteChar">
    <w:name w:val="Text komentáře Char"/>
    <w:basedOn w:val="Standardnpsmoodstavce"/>
    <w:link w:val="Textkomente"/>
    <w:uiPriority w:val="99"/>
    <w:rsid w:val="005D18A6"/>
    <w:rPr>
      <w:sz w:val="20"/>
      <w:szCs w:val="20"/>
    </w:rPr>
  </w:style>
  <w:style w:type="paragraph" w:styleId="Pedmtkomente">
    <w:name w:val="annotation subject"/>
    <w:basedOn w:val="Textkomente"/>
    <w:next w:val="Textkomente"/>
    <w:link w:val="PedmtkomenteChar"/>
    <w:uiPriority w:val="99"/>
    <w:semiHidden/>
    <w:unhideWhenUsed/>
    <w:rsid w:val="005D18A6"/>
    <w:rPr>
      <w:b/>
      <w:bCs/>
    </w:rPr>
  </w:style>
  <w:style w:type="character" w:customStyle="1" w:styleId="PedmtkomenteChar">
    <w:name w:val="Předmět komentáře Char"/>
    <w:basedOn w:val="TextkomenteChar"/>
    <w:link w:val="Pedmtkomente"/>
    <w:uiPriority w:val="99"/>
    <w:semiHidden/>
    <w:rsid w:val="005D18A6"/>
    <w:rPr>
      <w:b/>
      <w:bCs/>
      <w:sz w:val="20"/>
      <w:szCs w:val="20"/>
    </w:rPr>
  </w:style>
  <w:style w:type="paragraph" w:customStyle="1" w:styleId="Default">
    <w:name w:val="Default"/>
    <w:rsid w:val="00CE2F9C"/>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D455DC"/>
    <w:pPr>
      <w:spacing w:after="0" w:line="240" w:lineRule="auto"/>
    </w:pPr>
  </w:style>
  <w:style w:type="paragraph" w:styleId="Podtitul">
    <w:name w:val="Subtitle"/>
    <w:basedOn w:val="Normln"/>
    <w:next w:val="Normln"/>
    <w:link w:val="PodtitulChar"/>
    <w:uiPriority w:val="99"/>
    <w:qFormat/>
    <w:rsid w:val="004741DF"/>
    <w:pPr>
      <w:numPr>
        <w:ilvl w:val="1"/>
      </w:numPr>
    </w:pPr>
    <w:rPr>
      <w:rFonts w:eastAsia="Times New Roman" w:cs="Cambria"/>
      <w:i/>
      <w:iCs/>
      <w:color w:val="4F81BD"/>
      <w:spacing w:val="15"/>
      <w:lang w:eastAsia="en-US"/>
    </w:rPr>
  </w:style>
  <w:style w:type="character" w:customStyle="1" w:styleId="PodtitulChar">
    <w:name w:val="Podtitul Char"/>
    <w:basedOn w:val="Standardnpsmoodstavce"/>
    <w:link w:val="Podtitul"/>
    <w:uiPriority w:val="99"/>
    <w:rsid w:val="004741DF"/>
    <w:rPr>
      <w:rFonts w:ascii="Cambria" w:eastAsia="Times New Roman" w:hAnsi="Cambria" w:cs="Cambria"/>
      <w:i/>
      <w:iCs/>
      <w:color w:val="4F81BD"/>
      <w:spacing w:val="15"/>
      <w:lang w:eastAsia="en-US"/>
    </w:rPr>
  </w:style>
  <w:style w:type="paragraph" w:customStyle="1" w:styleId="perex">
    <w:name w:val="perex"/>
    <w:basedOn w:val="Normln"/>
    <w:rsid w:val="00106CE3"/>
    <w:pPr>
      <w:spacing w:before="100" w:beforeAutospacing="1" w:line="240" w:lineRule="auto"/>
    </w:pPr>
    <w:rPr>
      <w:rFonts w:ascii="Times New Roman" w:eastAsia="Times New Roman" w:hAnsi="Times New Roman" w:cs="Times New Roman"/>
      <w:sz w:val="24"/>
      <w:szCs w:val="24"/>
    </w:rPr>
  </w:style>
  <w:style w:type="character" w:customStyle="1" w:styleId="Nadpis3Char">
    <w:name w:val="Nadpis 3 Char"/>
    <w:basedOn w:val="Standardnpsmoodstavce"/>
    <w:link w:val="Nadpis3"/>
    <w:uiPriority w:val="9"/>
    <w:rsid w:val="00E3720E"/>
    <w:rPr>
      <w:rFonts w:asciiTheme="majorHAnsi" w:eastAsiaTheme="majorEastAsia" w:hAnsiTheme="majorHAnsi" w:cstheme="majorBidi"/>
      <w:b/>
      <w:bCs/>
      <w:color w:val="76923C" w:themeColor="accent3" w:themeShade="BF"/>
      <w:sz w:val="24"/>
    </w:rPr>
  </w:style>
  <w:style w:type="character" w:customStyle="1" w:styleId="Nadpis4Char">
    <w:name w:val="Nadpis 4 Char"/>
    <w:basedOn w:val="Standardnpsmoodstavce"/>
    <w:link w:val="Nadpis4"/>
    <w:uiPriority w:val="9"/>
    <w:rsid w:val="00796FEE"/>
    <w:rPr>
      <w:rFonts w:asciiTheme="majorHAnsi" w:eastAsiaTheme="majorEastAsia" w:hAnsiTheme="majorHAnsi" w:cstheme="majorBidi"/>
      <w:b/>
      <w:bCs/>
      <w:iCs/>
      <w:color w:val="76923C" w:themeColor="accent3" w:themeShade="BF"/>
      <w:sz w:val="24"/>
    </w:rPr>
  </w:style>
  <w:style w:type="paragraph" w:styleId="Zkladntext3">
    <w:name w:val="Body Text 3"/>
    <w:basedOn w:val="Normln"/>
    <w:link w:val="Zkladntext3Char"/>
    <w:semiHidden/>
    <w:rsid w:val="00CC2961"/>
    <w:pPr>
      <w:spacing w:before="120" w:line="240" w:lineRule="auto"/>
    </w:pPr>
    <w:rPr>
      <w:rFonts w:ascii="Times New Roman" w:eastAsia="Times New Roman" w:hAnsi="Times New Roman" w:cs="Times New Roman"/>
      <w:iCs/>
      <w:sz w:val="24"/>
      <w:szCs w:val="24"/>
    </w:rPr>
  </w:style>
  <w:style w:type="character" w:customStyle="1" w:styleId="Zkladntext3Char">
    <w:name w:val="Základní text 3 Char"/>
    <w:basedOn w:val="Standardnpsmoodstavce"/>
    <w:link w:val="Zkladntext3"/>
    <w:semiHidden/>
    <w:rsid w:val="00CC2961"/>
    <w:rPr>
      <w:rFonts w:ascii="Times New Roman" w:eastAsia="Times New Roman" w:hAnsi="Times New Roman" w:cs="Times New Roman"/>
      <w:iCs/>
      <w:sz w:val="24"/>
      <w:szCs w:val="24"/>
    </w:rPr>
  </w:style>
  <w:style w:type="paragraph" w:styleId="Bezmezer">
    <w:name w:val="No Spacing"/>
    <w:link w:val="BezmezerChar"/>
    <w:uiPriority w:val="1"/>
    <w:qFormat/>
    <w:rsid w:val="004743A5"/>
    <w:pPr>
      <w:spacing w:after="0" w:line="240" w:lineRule="auto"/>
    </w:pPr>
    <w:rPr>
      <w:lang w:val="en-US" w:eastAsia="en-US"/>
    </w:rPr>
  </w:style>
  <w:style w:type="character" w:customStyle="1" w:styleId="BezmezerChar">
    <w:name w:val="Bez mezer Char"/>
    <w:basedOn w:val="Standardnpsmoodstavce"/>
    <w:link w:val="Bezmezer"/>
    <w:uiPriority w:val="1"/>
    <w:rsid w:val="004743A5"/>
    <w:rPr>
      <w:lang w:val="en-US" w:eastAsia="en-US"/>
    </w:rPr>
  </w:style>
  <w:style w:type="paragraph" w:styleId="Nadpisobsahu">
    <w:name w:val="TOC Heading"/>
    <w:basedOn w:val="Nadpis1"/>
    <w:next w:val="Normln"/>
    <w:uiPriority w:val="39"/>
    <w:semiHidden/>
    <w:unhideWhenUsed/>
    <w:qFormat/>
    <w:rsid w:val="003F15DA"/>
    <w:pPr>
      <w:outlineLvl w:val="9"/>
    </w:pPr>
    <w:rPr>
      <w:sz w:val="28"/>
      <w:lang w:val="en-US" w:eastAsia="en-US"/>
    </w:rPr>
  </w:style>
  <w:style w:type="paragraph" w:styleId="Obsah1">
    <w:name w:val="toc 1"/>
    <w:basedOn w:val="Normln"/>
    <w:next w:val="Normln"/>
    <w:link w:val="Obsah1Char"/>
    <w:autoRedefine/>
    <w:uiPriority w:val="39"/>
    <w:unhideWhenUsed/>
    <w:rsid w:val="00CD6A31"/>
    <w:pPr>
      <w:tabs>
        <w:tab w:val="left" w:pos="440"/>
        <w:tab w:val="right" w:leader="dot" w:pos="9060"/>
      </w:tabs>
      <w:spacing w:after="0" w:afterAutospacing="0" w:line="240" w:lineRule="auto"/>
    </w:pPr>
  </w:style>
  <w:style w:type="paragraph" w:styleId="Obsah2">
    <w:name w:val="toc 2"/>
    <w:basedOn w:val="Normln"/>
    <w:next w:val="Normln"/>
    <w:autoRedefine/>
    <w:uiPriority w:val="39"/>
    <w:unhideWhenUsed/>
    <w:rsid w:val="00091179"/>
    <w:pPr>
      <w:tabs>
        <w:tab w:val="left" w:pos="880"/>
        <w:tab w:val="right" w:leader="dot" w:pos="9060"/>
      </w:tabs>
      <w:spacing w:after="0" w:afterAutospacing="0" w:line="240" w:lineRule="auto"/>
      <w:ind w:left="221"/>
    </w:pPr>
  </w:style>
  <w:style w:type="paragraph" w:styleId="Obsah3">
    <w:name w:val="toc 3"/>
    <w:basedOn w:val="Normln"/>
    <w:next w:val="Normln"/>
    <w:autoRedefine/>
    <w:uiPriority w:val="39"/>
    <w:unhideWhenUsed/>
    <w:rsid w:val="00CD6A31"/>
    <w:pPr>
      <w:tabs>
        <w:tab w:val="left" w:pos="1321"/>
        <w:tab w:val="right" w:leader="dot" w:pos="9060"/>
      </w:tabs>
      <w:spacing w:after="0" w:afterAutospacing="0" w:line="240" w:lineRule="auto"/>
      <w:ind w:left="442"/>
    </w:pPr>
  </w:style>
  <w:style w:type="character" w:styleId="Hypertextovodkaz">
    <w:name w:val="Hyperlink"/>
    <w:basedOn w:val="Standardnpsmoodstavce"/>
    <w:uiPriority w:val="99"/>
    <w:unhideWhenUsed/>
    <w:rsid w:val="003F15DA"/>
    <w:rPr>
      <w:color w:val="0000FF" w:themeColor="hyperlink"/>
      <w:u w:val="single"/>
    </w:rPr>
  </w:style>
  <w:style w:type="paragraph" w:customStyle="1" w:styleId="Text1">
    <w:name w:val="Text 1"/>
    <w:basedOn w:val="Normln"/>
    <w:link w:val="Text1Char"/>
    <w:uiPriority w:val="99"/>
    <w:rsid w:val="003A1DD7"/>
    <w:pPr>
      <w:spacing w:after="240" w:line="240" w:lineRule="auto"/>
      <w:ind w:left="482"/>
    </w:pPr>
    <w:rPr>
      <w:rFonts w:ascii="Times New Roman" w:eastAsia="Times New Roman" w:hAnsi="Times New Roman" w:cs="Times New Roman"/>
      <w:sz w:val="24"/>
      <w:szCs w:val="20"/>
      <w:lang w:val="en-GB" w:eastAsia="en-US"/>
    </w:rPr>
  </w:style>
  <w:style w:type="character" w:customStyle="1" w:styleId="Text1Char">
    <w:name w:val="Text 1 Char"/>
    <w:basedOn w:val="Standardnpsmoodstavce"/>
    <w:link w:val="Text1"/>
    <w:uiPriority w:val="99"/>
    <w:locked/>
    <w:rsid w:val="003A1DD7"/>
    <w:rPr>
      <w:rFonts w:ascii="Times New Roman" w:eastAsia="Times New Roman" w:hAnsi="Times New Roman" w:cs="Times New Roman"/>
      <w:sz w:val="24"/>
      <w:szCs w:val="20"/>
      <w:lang w:val="en-GB" w:eastAsia="en-US"/>
    </w:r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w:basedOn w:val="Normln"/>
    <w:link w:val="TextpoznpodarouChar"/>
    <w:uiPriority w:val="99"/>
    <w:qFormat/>
    <w:rsid w:val="003A1DD7"/>
    <w:pPr>
      <w:spacing w:after="240" w:line="240" w:lineRule="auto"/>
      <w:ind w:left="357" w:hanging="357"/>
    </w:pPr>
    <w:rPr>
      <w:rFonts w:ascii="Times New Roman" w:eastAsia="Times New Roman" w:hAnsi="Times New Roman" w:cs="Times New Roman"/>
      <w:sz w:val="20"/>
      <w:szCs w:val="20"/>
      <w:lang w:val="en-GB" w:eastAsia="en-US"/>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3A1DD7"/>
    <w:rPr>
      <w:rFonts w:ascii="Times New Roman" w:eastAsia="Times New Roman" w:hAnsi="Times New Roman" w:cs="Times New Roman"/>
      <w:sz w:val="20"/>
      <w:szCs w:val="20"/>
      <w:lang w:val="en-GB" w:eastAsia="en-US"/>
    </w:rPr>
  </w:style>
  <w:style w:type="paragraph" w:styleId="Seznamsodrkami">
    <w:name w:val="List Bullet"/>
    <w:basedOn w:val="Normln"/>
    <w:uiPriority w:val="99"/>
    <w:rsid w:val="003A1DD7"/>
    <w:pPr>
      <w:numPr>
        <w:numId w:val="1"/>
      </w:numPr>
      <w:spacing w:after="240" w:line="240" w:lineRule="auto"/>
    </w:pPr>
    <w:rPr>
      <w:rFonts w:ascii="Times New Roman" w:eastAsia="Times New Roman" w:hAnsi="Times New Roman" w:cs="Times New Roman"/>
      <w:sz w:val="24"/>
      <w:szCs w:val="20"/>
      <w:lang w:val="en-GB" w:eastAsia="en-US"/>
    </w:rPr>
  </w:style>
  <w:style w:type="paragraph" w:styleId="Normlnweb">
    <w:name w:val="Normal (Web)"/>
    <w:basedOn w:val="Normln"/>
    <w:uiPriority w:val="99"/>
    <w:rsid w:val="003A1DD7"/>
    <w:pPr>
      <w:suppressAutoHyphens/>
      <w:spacing w:before="100" w:line="240" w:lineRule="auto"/>
    </w:pPr>
    <w:rPr>
      <w:rFonts w:ascii="Times New Roman" w:eastAsia="Times New Roman" w:hAnsi="Times New Roman" w:cs="Times New Roman"/>
      <w:sz w:val="24"/>
      <w:szCs w:val="24"/>
      <w:lang w:val="en-GB" w:eastAsia="ar-SA"/>
    </w:rPr>
  </w:style>
  <w:style w:type="paragraph" w:customStyle="1" w:styleId="TextNOK">
    <w:name w:val="Text NOK"/>
    <w:basedOn w:val="Normln"/>
    <w:link w:val="TextNOKChar"/>
    <w:uiPriority w:val="99"/>
    <w:rsid w:val="003A1DD7"/>
    <w:pPr>
      <w:spacing w:after="120" w:line="288" w:lineRule="auto"/>
    </w:pPr>
    <w:rPr>
      <w:rFonts w:ascii="Arial" w:eastAsia="Times New Roman" w:hAnsi="Arial" w:cs="Times New Roman"/>
      <w:sz w:val="20"/>
    </w:rPr>
  </w:style>
  <w:style w:type="character" w:customStyle="1" w:styleId="TextNOKChar">
    <w:name w:val="Text NOK Char"/>
    <w:basedOn w:val="Standardnpsmoodstavce"/>
    <w:link w:val="TextNOK"/>
    <w:uiPriority w:val="99"/>
    <w:locked/>
    <w:rsid w:val="003A1DD7"/>
    <w:rPr>
      <w:rFonts w:ascii="Arial" w:eastAsia="Times New Roman" w:hAnsi="Arial" w:cs="Times New Roman"/>
      <w:sz w:val="20"/>
    </w:rPr>
  </w:style>
  <w:style w:type="paragraph" w:styleId="Prosttext">
    <w:name w:val="Plain Text"/>
    <w:basedOn w:val="Normln"/>
    <w:link w:val="ProsttextChar"/>
    <w:uiPriority w:val="99"/>
    <w:rsid w:val="003A1DD7"/>
    <w:pPr>
      <w:spacing w:line="240" w:lineRule="auto"/>
    </w:pPr>
    <w:rPr>
      <w:rFonts w:ascii="Arial" w:eastAsia="Times New Roman" w:hAnsi="Arial" w:cs="Arial"/>
      <w:sz w:val="20"/>
      <w:szCs w:val="20"/>
      <w:lang w:eastAsia="en-US"/>
    </w:rPr>
  </w:style>
  <w:style w:type="character" w:customStyle="1" w:styleId="ProsttextChar">
    <w:name w:val="Prostý text Char"/>
    <w:basedOn w:val="Standardnpsmoodstavce"/>
    <w:link w:val="Prosttext"/>
    <w:uiPriority w:val="99"/>
    <w:rsid w:val="003A1DD7"/>
    <w:rPr>
      <w:rFonts w:ascii="Arial" w:eastAsia="Times New Roman" w:hAnsi="Arial" w:cs="Arial"/>
      <w:sz w:val="20"/>
      <w:szCs w:val="20"/>
      <w:lang w:eastAsia="en-US"/>
    </w:rPr>
  </w:style>
  <w:style w:type="paragraph" w:customStyle="1" w:styleId="ListDash">
    <w:name w:val="List Dash"/>
    <w:basedOn w:val="Normln"/>
    <w:uiPriority w:val="99"/>
    <w:rsid w:val="008D3895"/>
    <w:pPr>
      <w:numPr>
        <w:numId w:val="2"/>
      </w:numPr>
      <w:spacing w:after="240" w:line="240" w:lineRule="auto"/>
    </w:pPr>
    <w:rPr>
      <w:rFonts w:ascii="Times New Roman" w:eastAsia="Times New Roman" w:hAnsi="Times New Roman" w:cs="Times New Roman"/>
      <w:sz w:val="24"/>
      <w:szCs w:val="20"/>
      <w:lang w:val="en-GB" w:eastAsia="en-US"/>
    </w:rPr>
  </w:style>
  <w:style w:type="character" w:customStyle="1" w:styleId="OdstavecseseznamemChar">
    <w:name w:val="Odstavec se seznamem Char"/>
    <w:aliases w:val="Nad Char"/>
    <w:basedOn w:val="Standardnpsmoodstavce"/>
    <w:link w:val="Odstavecseseznamem"/>
    <w:uiPriority w:val="34"/>
    <w:locked/>
    <w:rsid w:val="008248D1"/>
  </w:style>
  <w:style w:type="paragraph" w:styleId="Titulek">
    <w:name w:val="caption"/>
    <w:aliases w:val="tabulky"/>
    <w:basedOn w:val="Seznam"/>
    <w:next w:val="Normln"/>
    <w:link w:val="TitulekChar"/>
    <w:uiPriority w:val="35"/>
    <w:unhideWhenUsed/>
    <w:qFormat/>
    <w:rsid w:val="00955430"/>
    <w:pPr>
      <w:numPr>
        <w:numId w:val="55"/>
      </w:numPr>
      <w:spacing w:after="0" w:afterAutospacing="0" w:line="240" w:lineRule="auto"/>
    </w:pPr>
    <w:rPr>
      <w:b/>
      <w:bCs/>
      <w:color w:val="76923C" w:themeColor="accent3" w:themeShade="BF"/>
      <w:sz w:val="18"/>
      <w:szCs w:val="18"/>
    </w:rPr>
  </w:style>
  <w:style w:type="paragraph" w:styleId="Obsah4">
    <w:name w:val="toc 4"/>
    <w:basedOn w:val="Normln"/>
    <w:next w:val="Normln"/>
    <w:autoRedefine/>
    <w:uiPriority w:val="39"/>
    <w:unhideWhenUsed/>
    <w:rsid w:val="00CD6A31"/>
    <w:pPr>
      <w:tabs>
        <w:tab w:val="left" w:pos="1540"/>
        <w:tab w:val="right" w:leader="dot" w:pos="9060"/>
      </w:tabs>
      <w:spacing w:after="0" w:afterAutospacing="0" w:line="240" w:lineRule="auto"/>
      <w:ind w:left="658"/>
    </w:pPr>
    <w:rPr>
      <w:rFonts w:asciiTheme="minorHAnsi" w:hAnsiTheme="minorHAnsi"/>
    </w:rPr>
  </w:style>
  <w:style w:type="paragraph" w:styleId="Obsah5">
    <w:name w:val="toc 5"/>
    <w:basedOn w:val="Normln"/>
    <w:next w:val="Normln"/>
    <w:autoRedefine/>
    <w:uiPriority w:val="39"/>
    <w:unhideWhenUsed/>
    <w:rsid w:val="00CD6A31"/>
    <w:pPr>
      <w:tabs>
        <w:tab w:val="left" w:pos="1880"/>
        <w:tab w:val="right" w:leader="dot" w:pos="9060"/>
      </w:tabs>
      <w:spacing w:after="0" w:afterAutospacing="0" w:line="240" w:lineRule="auto"/>
      <w:ind w:left="879"/>
    </w:pPr>
    <w:rPr>
      <w:rFonts w:asciiTheme="minorHAnsi" w:hAnsiTheme="minorHAnsi"/>
    </w:rPr>
  </w:style>
  <w:style w:type="paragraph" w:styleId="Obsah6">
    <w:name w:val="toc 6"/>
    <w:basedOn w:val="Normln"/>
    <w:next w:val="Normln"/>
    <w:autoRedefine/>
    <w:uiPriority w:val="39"/>
    <w:unhideWhenUsed/>
    <w:rsid w:val="00483FE2"/>
    <w:pPr>
      <w:tabs>
        <w:tab w:val="right" w:leader="dot" w:pos="9060"/>
      </w:tabs>
      <w:spacing w:after="120" w:afterAutospacing="0" w:line="240" w:lineRule="auto"/>
      <w:ind w:left="1100"/>
    </w:pPr>
    <w:rPr>
      <w:rFonts w:asciiTheme="minorHAnsi" w:hAnsiTheme="minorHAnsi"/>
    </w:rPr>
  </w:style>
  <w:style w:type="paragraph" w:styleId="Obsah7">
    <w:name w:val="toc 7"/>
    <w:basedOn w:val="Normln"/>
    <w:next w:val="Normln"/>
    <w:autoRedefine/>
    <w:uiPriority w:val="39"/>
    <w:unhideWhenUsed/>
    <w:rsid w:val="00B50517"/>
    <w:pPr>
      <w:tabs>
        <w:tab w:val="right" w:leader="dot" w:pos="9060"/>
      </w:tabs>
      <w:spacing w:after="0" w:afterAutospacing="0" w:line="240" w:lineRule="auto"/>
      <w:ind w:left="1321"/>
    </w:pPr>
    <w:rPr>
      <w:rFonts w:asciiTheme="minorHAnsi" w:hAnsiTheme="minorHAnsi"/>
    </w:rPr>
  </w:style>
  <w:style w:type="paragraph" w:styleId="Obsah8">
    <w:name w:val="toc 8"/>
    <w:basedOn w:val="Normln"/>
    <w:next w:val="Normln"/>
    <w:autoRedefine/>
    <w:uiPriority w:val="39"/>
    <w:unhideWhenUsed/>
    <w:rsid w:val="00A936B2"/>
    <w:pPr>
      <w:ind w:left="1540"/>
    </w:pPr>
    <w:rPr>
      <w:rFonts w:asciiTheme="minorHAnsi" w:hAnsiTheme="minorHAnsi"/>
    </w:rPr>
  </w:style>
  <w:style w:type="paragraph" w:styleId="Obsah9">
    <w:name w:val="toc 9"/>
    <w:basedOn w:val="Normln"/>
    <w:next w:val="Normln"/>
    <w:autoRedefine/>
    <w:uiPriority w:val="39"/>
    <w:unhideWhenUsed/>
    <w:rsid w:val="00A936B2"/>
    <w:pPr>
      <w:ind w:left="1760"/>
    </w:pPr>
    <w:rPr>
      <w:rFonts w:asciiTheme="minorHAnsi" w:hAnsiTheme="minorHAnsi"/>
    </w:rPr>
  </w:style>
  <w:style w:type="paragraph" w:customStyle="1" w:styleId="Odstavecseseznamem1">
    <w:name w:val="Odstavec se seznamem1"/>
    <w:basedOn w:val="Normln"/>
    <w:qFormat/>
    <w:rsid w:val="001A4A35"/>
    <w:pPr>
      <w:ind w:left="720"/>
      <w:contextualSpacing/>
    </w:pPr>
    <w:rPr>
      <w:rFonts w:eastAsia="Times New Roman" w:cs="Times New Roman"/>
    </w:rPr>
  </w:style>
  <w:style w:type="paragraph" w:customStyle="1" w:styleId="TextMetodika">
    <w:name w:val="Text Metodika"/>
    <w:basedOn w:val="TextNOK"/>
    <w:link w:val="TextMetodikaChar"/>
    <w:qFormat/>
    <w:rsid w:val="00D025A7"/>
    <w:pPr>
      <w:spacing w:before="120" w:line="312" w:lineRule="auto"/>
    </w:pPr>
    <w:rPr>
      <w:rFonts w:cs="Arial"/>
      <w:szCs w:val="20"/>
    </w:rPr>
  </w:style>
  <w:style w:type="character" w:customStyle="1" w:styleId="TextMetodikaChar">
    <w:name w:val="Text Metodika Char"/>
    <w:basedOn w:val="TextNOKChar"/>
    <w:link w:val="TextMetodika"/>
    <w:rsid w:val="00D025A7"/>
    <w:rPr>
      <w:rFonts w:ascii="Arial" w:eastAsia="Times New Roman" w:hAnsi="Arial" w:cs="Arial"/>
      <w:sz w:val="20"/>
      <w:szCs w:val="20"/>
    </w:rPr>
  </w:style>
  <w:style w:type="character" w:customStyle="1" w:styleId="st">
    <w:name w:val="st"/>
    <w:basedOn w:val="Standardnpsmoodstavce"/>
    <w:rsid w:val="00552E01"/>
  </w:style>
  <w:style w:type="paragraph" w:customStyle="1" w:styleId="DAVA">
    <w:name w:val="DAVA"/>
    <w:basedOn w:val="Normln"/>
    <w:link w:val="DAVAChar"/>
    <w:qFormat/>
    <w:rsid w:val="004302E3"/>
    <w:pPr>
      <w:spacing w:before="120" w:line="240" w:lineRule="auto"/>
    </w:pPr>
    <w:rPr>
      <w:rFonts w:ascii="Calibri" w:eastAsia="Calibri" w:hAnsi="Calibri" w:cs="Calibri"/>
      <w:sz w:val="24"/>
      <w:szCs w:val="24"/>
      <w:lang w:eastAsia="en-US"/>
    </w:rPr>
  </w:style>
  <w:style w:type="character" w:customStyle="1" w:styleId="DAVAChar">
    <w:name w:val="DAVA Char"/>
    <w:basedOn w:val="Standardnpsmoodstavce"/>
    <w:link w:val="DAVA"/>
    <w:locked/>
    <w:rsid w:val="004302E3"/>
    <w:rPr>
      <w:rFonts w:ascii="Calibri" w:eastAsia="Calibri" w:hAnsi="Calibri" w:cs="Calibri"/>
      <w:sz w:val="24"/>
      <w:szCs w:val="24"/>
      <w:lang w:eastAsia="en-US"/>
    </w:rPr>
  </w:style>
  <w:style w:type="paragraph" w:styleId="Zkladntext">
    <w:name w:val="Body Text"/>
    <w:basedOn w:val="Normln"/>
    <w:link w:val="ZkladntextChar"/>
    <w:uiPriority w:val="99"/>
    <w:unhideWhenUsed/>
    <w:rsid w:val="00CC3997"/>
    <w:pPr>
      <w:spacing w:after="120"/>
    </w:pPr>
  </w:style>
  <w:style w:type="character" w:customStyle="1" w:styleId="ZkladntextChar">
    <w:name w:val="Základní text Char"/>
    <w:basedOn w:val="Standardnpsmoodstavce"/>
    <w:link w:val="Zkladntext"/>
    <w:uiPriority w:val="99"/>
    <w:rsid w:val="00CC3997"/>
    <w:rPr>
      <w:rFonts w:ascii="Cambria" w:hAnsi="Cambria"/>
    </w:rPr>
  </w:style>
  <w:style w:type="paragraph" w:customStyle="1" w:styleId="EntRefer">
    <w:name w:val="EntRefer"/>
    <w:basedOn w:val="Normln"/>
    <w:rsid w:val="00BC50D3"/>
    <w:pPr>
      <w:spacing w:line="240" w:lineRule="auto"/>
      <w:jc w:val="left"/>
    </w:pPr>
    <w:rPr>
      <w:rFonts w:ascii="Times New Roman" w:eastAsia="Times New Roman" w:hAnsi="Times New Roman" w:cs="Times New Roman"/>
      <w:b/>
      <w:sz w:val="24"/>
      <w:szCs w:val="20"/>
      <w:lang w:val="en-GB" w:eastAsia="fr-BE"/>
    </w:rPr>
  </w:style>
  <w:style w:type="character" w:customStyle="1" w:styleId="Nadpis5Char">
    <w:name w:val="Nadpis 5 Char"/>
    <w:basedOn w:val="Standardnpsmoodstavce"/>
    <w:link w:val="Nadpis5"/>
    <w:uiPriority w:val="9"/>
    <w:rsid w:val="00397F38"/>
    <w:rPr>
      <w:rFonts w:asciiTheme="majorHAnsi" w:eastAsiaTheme="majorEastAsia" w:hAnsiTheme="majorHAnsi" w:cstheme="majorBidi"/>
      <w:b/>
      <w:color w:val="76923C" w:themeColor="accent3" w:themeShade="BF"/>
    </w:rPr>
  </w:style>
  <w:style w:type="paragraph" w:customStyle="1" w:styleId="Odstavecseseznamem2">
    <w:name w:val="Odstavec se seznamem2"/>
    <w:basedOn w:val="Normln"/>
    <w:rsid w:val="005D514F"/>
    <w:pPr>
      <w:ind w:left="720"/>
    </w:pPr>
    <w:rPr>
      <w:rFonts w:eastAsia="Times New Roman" w:cs="Times New Roman"/>
    </w:rPr>
  </w:style>
  <w:style w:type="paragraph" w:styleId="Textvysvtlivek">
    <w:name w:val="endnote text"/>
    <w:basedOn w:val="Normln"/>
    <w:link w:val="TextvysvtlivekChar"/>
    <w:uiPriority w:val="99"/>
    <w:semiHidden/>
    <w:unhideWhenUsed/>
    <w:rsid w:val="006A5A0B"/>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6A5A0B"/>
    <w:rPr>
      <w:rFonts w:ascii="Cambria" w:hAnsi="Cambria"/>
      <w:sz w:val="20"/>
      <w:szCs w:val="20"/>
    </w:rPr>
  </w:style>
  <w:style w:type="character" w:styleId="Odkaznavysvtlivky">
    <w:name w:val="endnote reference"/>
    <w:basedOn w:val="Standardnpsmoodstavce"/>
    <w:uiPriority w:val="99"/>
    <w:semiHidden/>
    <w:unhideWhenUsed/>
    <w:rsid w:val="006A5A0B"/>
    <w:rPr>
      <w:vertAlign w:val="superscript"/>
    </w:rPr>
  </w:style>
  <w:style w:type="paragraph" w:customStyle="1" w:styleId="BodyText1">
    <w:name w:val="Body Text1"/>
    <w:basedOn w:val="Normln"/>
    <w:rsid w:val="00906025"/>
    <w:pPr>
      <w:autoSpaceDE w:val="0"/>
      <w:autoSpaceDN w:val="0"/>
      <w:adjustRightInd w:val="0"/>
      <w:spacing w:before="60" w:line="240" w:lineRule="auto"/>
    </w:pPr>
    <w:rPr>
      <w:rFonts w:ascii="Georgia" w:eastAsia="Times New Roman" w:hAnsi="Georgia" w:cs="Arial"/>
      <w:color w:val="000000"/>
      <w:szCs w:val="24"/>
      <w:lang w:val="ru-RU"/>
    </w:rPr>
  </w:style>
  <w:style w:type="character" w:customStyle="1" w:styleId="CharChar5">
    <w:name w:val="Char Char5"/>
    <w:uiPriority w:val="99"/>
    <w:locked/>
    <w:rsid w:val="00DF4DD7"/>
    <w:rPr>
      <w:rFonts w:ascii="Cambria" w:hAnsi="Cambria" w:cs="Cambria"/>
      <w:b/>
      <w:bCs/>
      <w:color w:val="auto"/>
      <w:sz w:val="28"/>
      <w:szCs w:val="28"/>
    </w:rPr>
  </w:style>
  <w:style w:type="paragraph" w:customStyle="1" w:styleId="Odstavecseseznamem3">
    <w:name w:val="Odstavec se seznamem3"/>
    <w:basedOn w:val="Normln"/>
    <w:link w:val="ListParagraphChar"/>
    <w:uiPriority w:val="99"/>
    <w:qFormat/>
    <w:rsid w:val="00F04C9C"/>
    <w:pPr>
      <w:spacing w:after="200"/>
      <w:ind w:left="720"/>
      <w:jc w:val="left"/>
    </w:pPr>
    <w:rPr>
      <w:rFonts w:ascii="Calibri" w:eastAsia="Calibri" w:hAnsi="Calibri" w:cs="Calibri"/>
      <w:lang w:eastAsia="en-US"/>
    </w:rPr>
  </w:style>
  <w:style w:type="character" w:customStyle="1" w:styleId="ListParagraphChar">
    <w:name w:val="List Paragraph Char"/>
    <w:basedOn w:val="Standardnpsmoodstavce"/>
    <w:link w:val="Odstavecseseznamem3"/>
    <w:uiPriority w:val="99"/>
    <w:locked/>
    <w:rsid w:val="00F04C9C"/>
    <w:rPr>
      <w:rFonts w:ascii="Calibri" w:eastAsia="Calibri" w:hAnsi="Calibri" w:cs="Calibri"/>
      <w:lang w:eastAsia="en-US"/>
    </w:rPr>
  </w:style>
  <w:style w:type="paragraph" w:customStyle="1" w:styleId="Odstavecseseznamem4">
    <w:name w:val="Odstavec se seznamem4"/>
    <w:basedOn w:val="Normln"/>
    <w:uiPriority w:val="99"/>
    <w:qFormat/>
    <w:rsid w:val="00696D0A"/>
    <w:pPr>
      <w:spacing w:after="200"/>
      <w:ind w:left="720"/>
      <w:jc w:val="left"/>
    </w:pPr>
    <w:rPr>
      <w:rFonts w:ascii="Calibri" w:eastAsia="Calibri" w:hAnsi="Calibri" w:cs="Calibri"/>
      <w:lang w:eastAsia="en-US"/>
    </w:rPr>
  </w:style>
  <w:style w:type="paragraph" w:customStyle="1" w:styleId="MainText">
    <w:name w:val="Main Text"/>
    <w:basedOn w:val="Normln"/>
    <w:link w:val="MainTextChar"/>
    <w:rsid w:val="005D3EF9"/>
    <w:pPr>
      <w:spacing w:before="240" w:line="240" w:lineRule="auto"/>
    </w:pPr>
    <w:rPr>
      <w:rFonts w:ascii="Arial" w:eastAsia="MS Mincho" w:hAnsi="Arial" w:cs="Times New Roman"/>
      <w:sz w:val="21"/>
      <w:szCs w:val="24"/>
      <w:lang w:eastAsia="en-US"/>
    </w:rPr>
  </w:style>
  <w:style w:type="character" w:customStyle="1" w:styleId="MainTextChar">
    <w:name w:val="Main Text Char"/>
    <w:link w:val="MainText"/>
    <w:rsid w:val="005D3EF9"/>
    <w:rPr>
      <w:rFonts w:ascii="Arial" w:eastAsia="MS Mincho" w:hAnsi="Arial" w:cs="Times New Roman"/>
      <w:sz w:val="21"/>
      <w:szCs w:val="24"/>
      <w:lang w:eastAsia="en-US"/>
    </w:rPr>
  </w:style>
  <w:style w:type="paragraph" w:customStyle="1" w:styleId="CM1">
    <w:name w:val="CM1"/>
    <w:basedOn w:val="Default"/>
    <w:next w:val="Default"/>
    <w:uiPriority w:val="99"/>
    <w:rsid w:val="00341DB2"/>
    <w:rPr>
      <w:rFonts w:ascii="EUAlbertina" w:hAnsi="EUAlbertina" w:cstheme="minorBidi"/>
      <w:color w:val="auto"/>
    </w:rPr>
  </w:style>
  <w:style w:type="paragraph" w:customStyle="1" w:styleId="CM3">
    <w:name w:val="CM3"/>
    <w:basedOn w:val="Default"/>
    <w:next w:val="Default"/>
    <w:uiPriority w:val="99"/>
    <w:rsid w:val="00341DB2"/>
    <w:rPr>
      <w:rFonts w:ascii="EUAlbertina" w:hAnsi="EUAlbertina" w:cstheme="minorBidi"/>
      <w:color w:val="auto"/>
    </w:rPr>
  </w:style>
  <w:style w:type="paragraph" w:customStyle="1" w:styleId="Standardntext">
    <w:name w:val="Standardní text"/>
    <w:basedOn w:val="Normln"/>
    <w:link w:val="StandardntextChar"/>
    <w:qFormat/>
    <w:rsid w:val="00741AD8"/>
    <w:pPr>
      <w:overflowPunct w:val="0"/>
      <w:autoSpaceDE w:val="0"/>
      <w:autoSpaceDN w:val="0"/>
      <w:adjustRightInd w:val="0"/>
      <w:spacing w:after="120" w:line="240" w:lineRule="auto"/>
      <w:textAlignment w:val="baseline"/>
    </w:pPr>
    <w:rPr>
      <w:rFonts w:ascii="Times New Roman" w:eastAsia="Times New Roman" w:hAnsi="Times New Roman" w:cs="Calibri"/>
      <w:sz w:val="24"/>
      <w:szCs w:val="24"/>
    </w:rPr>
  </w:style>
  <w:style w:type="character" w:customStyle="1" w:styleId="StandardntextChar">
    <w:name w:val="Standardní text Char"/>
    <w:link w:val="Standardntext"/>
    <w:rsid w:val="00741AD8"/>
    <w:rPr>
      <w:rFonts w:ascii="Times New Roman" w:eastAsia="Times New Roman" w:hAnsi="Times New Roman" w:cs="Calibri"/>
      <w:sz w:val="24"/>
      <w:szCs w:val="24"/>
    </w:rPr>
  </w:style>
  <w:style w:type="paragraph" w:customStyle="1" w:styleId="Modrnadpis">
    <w:name w:val="Modrý nadpis"/>
    <w:basedOn w:val="Nadpis4"/>
    <w:link w:val="ModrnadpisChar"/>
    <w:qFormat/>
    <w:rsid w:val="00470E8F"/>
    <w:pPr>
      <w:spacing w:before="240" w:after="120"/>
      <w:ind w:left="862" w:hanging="862"/>
    </w:pPr>
    <w:rPr>
      <w:rFonts w:ascii="Times New Roman" w:eastAsia="Times New Roman" w:hAnsi="Times New Roman" w:cs="Times New Roman"/>
      <w:color w:val="548DD4"/>
      <w:szCs w:val="20"/>
    </w:rPr>
  </w:style>
  <w:style w:type="character" w:customStyle="1" w:styleId="ModrnadpisChar">
    <w:name w:val="Modrý nadpis Char"/>
    <w:link w:val="Modrnadpis"/>
    <w:rsid w:val="00470E8F"/>
    <w:rPr>
      <w:rFonts w:ascii="Times New Roman" w:eastAsia="Times New Roman" w:hAnsi="Times New Roman" w:cs="Times New Roman"/>
      <w:b/>
      <w:bCs/>
      <w:iCs/>
      <w:color w:val="548DD4"/>
      <w:sz w:val="24"/>
      <w:szCs w:val="20"/>
    </w:rPr>
  </w:style>
  <w:style w:type="paragraph" w:styleId="Rozloendokumentu">
    <w:name w:val="Document Map"/>
    <w:basedOn w:val="Normln"/>
    <w:link w:val="RozloendokumentuChar"/>
    <w:uiPriority w:val="99"/>
    <w:semiHidden/>
    <w:unhideWhenUsed/>
    <w:rsid w:val="006654E2"/>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654E2"/>
    <w:rPr>
      <w:rFonts w:ascii="Tahoma" w:hAnsi="Tahoma" w:cs="Tahoma"/>
      <w:sz w:val="16"/>
      <w:szCs w:val="16"/>
    </w:rPr>
  </w:style>
  <w:style w:type="paragraph" w:customStyle="1" w:styleId="Odstavec">
    <w:name w:val="Odstavec"/>
    <w:basedOn w:val="Normln"/>
    <w:qFormat/>
    <w:rsid w:val="00EF189B"/>
    <w:pPr>
      <w:spacing w:after="60" w:line="240" w:lineRule="auto"/>
    </w:pPr>
    <w:rPr>
      <w:rFonts w:asciiTheme="minorHAnsi" w:hAnsiTheme="minorHAnsi" w:cs="Times New Roman"/>
      <w:szCs w:val="24"/>
      <w:lang w:eastAsia="en-US"/>
    </w:rPr>
  </w:style>
  <w:style w:type="paragraph" w:customStyle="1" w:styleId="Norm-Bold">
    <w:name w:val="Norm-Bold"/>
    <w:basedOn w:val="Normln"/>
    <w:next w:val="Normln"/>
    <w:uiPriority w:val="99"/>
    <w:rsid w:val="00D95E93"/>
    <w:pPr>
      <w:keepNext/>
      <w:keepLines/>
      <w:widowControl w:val="0"/>
      <w:adjustRightInd w:val="0"/>
      <w:spacing w:before="240" w:line="240" w:lineRule="atLeast"/>
      <w:textAlignment w:val="baseline"/>
    </w:pPr>
    <w:rPr>
      <w:rFonts w:ascii="Times New Roman" w:eastAsia="Times New Roman" w:hAnsi="Times New Roman" w:cs="Times New Roman"/>
      <w:b/>
      <w:sz w:val="24"/>
      <w:szCs w:val="24"/>
    </w:rPr>
  </w:style>
  <w:style w:type="paragraph" w:customStyle="1" w:styleId="text">
    <w:name w:val="text"/>
    <w:basedOn w:val="Normln"/>
    <w:qFormat/>
    <w:rsid w:val="005D750E"/>
    <w:pPr>
      <w:spacing w:before="120" w:line="240" w:lineRule="auto"/>
    </w:pPr>
    <w:rPr>
      <w:rFonts w:ascii="Times New Roman" w:eastAsia="Times New Roman" w:hAnsi="Times New Roman" w:cs="Times New Roman"/>
      <w:b/>
      <w:color w:val="FF0000"/>
      <w:sz w:val="28"/>
      <w:szCs w:val="24"/>
    </w:rPr>
  </w:style>
  <w:style w:type="paragraph" w:customStyle="1" w:styleId="Tabulka">
    <w:name w:val="Tabulka"/>
    <w:basedOn w:val="Normln"/>
    <w:link w:val="TabulkaChar"/>
    <w:qFormat/>
    <w:rsid w:val="00D95E93"/>
    <w:pPr>
      <w:autoSpaceDE w:val="0"/>
      <w:autoSpaceDN w:val="0"/>
      <w:adjustRightInd w:val="0"/>
      <w:spacing w:before="60" w:after="60" w:line="240" w:lineRule="auto"/>
      <w:jc w:val="center"/>
    </w:pPr>
    <w:rPr>
      <w:rFonts w:ascii="Calibri" w:eastAsia="Times New Roman" w:hAnsi="Calibri" w:cs="Calibri"/>
    </w:rPr>
  </w:style>
  <w:style w:type="character" w:customStyle="1" w:styleId="TabulkaChar">
    <w:name w:val="Tabulka Char"/>
    <w:link w:val="Tabulka"/>
    <w:rsid w:val="00D95E93"/>
    <w:rPr>
      <w:rFonts w:ascii="Calibri" w:eastAsia="Times New Roman" w:hAnsi="Calibri" w:cs="Calibri"/>
    </w:rPr>
  </w:style>
  <w:style w:type="character" w:customStyle="1" w:styleId="Nadpis6Char">
    <w:name w:val="Nadpis 6 Char"/>
    <w:basedOn w:val="Standardnpsmoodstavce"/>
    <w:link w:val="Nadpis6"/>
    <w:uiPriority w:val="9"/>
    <w:rsid w:val="001D2383"/>
    <w:rPr>
      <w:rFonts w:asciiTheme="majorHAnsi" w:eastAsiaTheme="majorEastAsia" w:hAnsiTheme="majorHAnsi" w:cstheme="majorBidi"/>
      <w:b/>
      <w:iCs/>
      <w:color w:val="76923C" w:themeColor="accent3" w:themeShade="BF"/>
    </w:rPr>
  </w:style>
  <w:style w:type="character" w:customStyle="1" w:styleId="Nadpis7Char">
    <w:name w:val="Nadpis 7 Char"/>
    <w:basedOn w:val="Standardnpsmoodstavce"/>
    <w:link w:val="Nadpis7"/>
    <w:uiPriority w:val="9"/>
    <w:rsid w:val="001D2383"/>
    <w:rPr>
      <w:rFonts w:asciiTheme="majorHAnsi" w:eastAsiaTheme="majorEastAsia" w:hAnsiTheme="majorHAnsi" w:cstheme="majorBidi"/>
      <w:b/>
      <w:iCs/>
      <w:color w:val="76923C" w:themeColor="accent3" w:themeShade="BF"/>
    </w:rPr>
  </w:style>
  <w:style w:type="character" w:customStyle="1" w:styleId="Nadpis8Char">
    <w:name w:val="Nadpis 8 Char"/>
    <w:basedOn w:val="Standardnpsmoodstavce"/>
    <w:link w:val="Nadpis8"/>
    <w:uiPriority w:val="9"/>
    <w:semiHidden/>
    <w:rsid w:val="00F8664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86645"/>
    <w:rPr>
      <w:rFonts w:asciiTheme="majorHAnsi" w:eastAsiaTheme="majorEastAsia" w:hAnsiTheme="majorHAnsi" w:cstheme="majorBidi"/>
      <w:i/>
      <w:iCs/>
      <w:color w:val="404040" w:themeColor="text1" w:themeTint="BF"/>
      <w:sz w:val="20"/>
      <w:szCs w:val="20"/>
    </w:rPr>
  </w:style>
  <w:style w:type="character" w:customStyle="1" w:styleId="Obsah1Char">
    <w:name w:val="Obsah 1 Char"/>
    <w:basedOn w:val="Standardnpsmoodstavce"/>
    <w:link w:val="Obsah1"/>
    <w:uiPriority w:val="39"/>
    <w:rsid w:val="00CD6A31"/>
    <w:rPr>
      <w:rFonts w:ascii="Cambria" w:hAnsi="Cambria"/>
    </w:rPr>
  </w:style>
  <w:style w:type="character" w:customStyle="1" w:styleId="TitulekChar">
    <w:name w:val="Titulek Char"/>
    <w:aliases w:val="tabulky Char"/>
    <w:basedOn w:val="Standardnpsmoodstavce"/>
    <w:link w:val="Titulek"/>
    <w:uiPriority w:val="35"/>
    <w:rsid w:val="00955430"/>
    <w:rPr>
      <w:b/>
      <w:bCs/>
      <w:color w:val="76923C" w:themeColor="accent3" w:themeShade="BF"/>
      <w:sz w:val="18"/>
      <w:szCs w:val="18"/>
    </w:rPr>
  </w:style>
  <w:style w:type="paragraph" w:customStyle="1" w:styleId="obrzky">
    <w:name w:val="obrázky"/>
    <w:basedOn w:val="Seznamobrzk"/>
    <w:link w:val="obrzkyChar"/>
    <w:qFormat/>
    <w:rsid w:val="00347E54"/>
    <w:pPr>
      <w:numPr>
        <w:numId w:val="53"/>
      </w:numPr>
      <w:spacing w:afterAutospacing="0" w:line="240" w:lineRule="auto"/>
      <w:ind w:left="0" w:firstLine="0"/>
    </w:pPr>
    <w:rPr>
      <w:b/>
      <w:color w:val="76923C" w:themeColor="accent3" w:themeShade="BF"/>
      <w:sz w:val="18"/>
    </w:rPr>
  </w:style>
  <w:style w:type="paragraph" w:customStyle="1" w:styleId="grafy">
    <w:name w:val="grafy"/>
    <w:basedOn w:val="Seznam"/>
    <w:next w:val="Normln"/>
    <w:link w:val="grafyChar"/>
    <w:qFormat/>
    <w:rsid w:val="00347E54"/>
    <w:pPr>
      <w:numPr>
        <w:numId w:val="54"/>
      </w:numPr>
      <w:spacing w:after="0" w:afterAutospacing="0" w:line="240" w:lineRule="auto"/>
      <w:ind w:left="0" w:firstLine="0"/>
    </w:pPr>
    <w:rPr>
      <w:b/>
      <w:color w:val="76923C" w:themeColor="accent3" w:themeShade="BF"/>
      <w:sz w:val="18"/>
    </w:rPr>
  </w:style>
  <w:style w:type="character" w:customStyle="1" w:styleId="obrzkyChar">
    <w:name w:val="obrázky Char"/>
    <w:basedOn w:val="TitulekChar"/>
    <w:link w:val="obrzky"/>
    <w:rsid w:val="00347E54"/>
    <w:rPr>
      <w:b/>
      <w:bCs/>
      <w:color w:val="76923C" w:themeColor="accent3" w:themeShade="BF"/>
      <w:sz w:val="18"/>
      <w:szCs w:val="18"/>
    </w:rPr>
  </w:style>
  <w:style w:type="character" w:customStyle="1" w:styleId="SeznamChar">
    <w:name w:val="Seznam Char"/>
    <w:basedOn w:val="Standardnpsmoodstavce"/>
    <w:link w:val="Seznam"/>
    <w:uiPriority w:val="99"/>
    <w:semiHidden/>
    <w:rsid w:val="00490811"/>
    <w:rPr>
      <w:rFonts w:ascii="Cambria" w:hAnsi="Cambria"/>
    </w:rPr>
  </w:style>
  <w:style w:type="paragraph" w:styleId="Seznam">
    <w:name w:val="List"/>
    <w:basedOn w:val="Normln"/>
    <w:link w:val="SeznamChar"/>
    <w:uiPriority w:val="99"/>
    <w:semiHidden/>
    <w:unhideWhenUsed/>
    <w:rsid w:val="00490811"/>
    <w:pPr>
      <w:ind w:left="283" w:hanging="283"/>
      <w:contextualSpacing/>
    </w:pPr>
  </w:style>
  <w:style w:type="character" w:customStyle="1" w:styleId="grafyChar">
    <w:name w:val="grafy Char"/>
    <w:basedOn w:val="SeznamChar"/>
    <w:link w:val="grafy"/>
    <w:rsid w:val="00347E54"/>
    <w:rPr>
      <w:rFonts w:ascii="Cambria" w:hAnsi="Cambria"/>
      <w:b/>
      <w:color w:val="76923C" w:themeColor="accent3" w:themeShade="BF"/>
      <w:sz w:val="18"/>
    </w:rPr>
  </w:style>
  <w:style w:type="paragraph" w:styleId="Seznamobrzk">
    <w:name w:val="table of figures"/>
    <w:basedOn w:val="Normln"/>
    <w:next w:val="Normln"/>
    <w:uiPriority w:val="99"/>
    <w:semiHidden/>
    <w:unhideWhenUsed/>
    <w:rsid w:val="00490811"/>
    <w:pPr>
      <w:spacing w:after="0"/>
    </w:pPr>
  </w:style>
  <w:style w:type="character" w:styleId="Siln">
    <w:name w:val="Strong"/>
    <w:basedOn w:val="Standardnpsmoodstavce"/>
    <w:uiPriority w:val="22"/>
    <w:qFormat/>
    <w:rsid w:val="00920D92"/>
    <w:rPr>
      <w:b/>
      <w:bCs/>
    </w:rPr>
  </w:style>
  <w:style w:type="paragraph" w:customStyle="1" w:styleId="Nadpis11">
    <w:name w:val="Nadpis 11"/>
    <w:basedOn w:val="Normln"/>
    <w:next w:val="Normln"/>
    <w:uiPriority w:val="9"/>
    <w:qFormat/>
    <w:rsid w:val="005625D2"/>
    <w:pPr>
      <w:keepNext/>
      <w:keepLines/>
      <w:numPr>
        <w:ilvl w:val="1"/>
        <w:numId w:val="66"/>
      </w:numPr>
      <w:spacing w:before="480"/>
      <w:outlineLvl w:val="0"/>
    </w:pPr>
    <w:rPr>
      <w:rFonts w:eastAsia="Times New Roman" w:cs="Times New Roman"/>
      <w:b/>
      <w:bCs/>
      <w:color w:val="76923C"/>
      <w:sz w:val="32"/>
      <w:szCs w:val="28"/>
      <w:lang w:eastAsia="en-US"/>
    </w:rPr>
  </w:style>
  <w:style w:type="paragraph" w:customStyle="1" w:styleId="Nadpis21">
    <w:name w:val="Nadpis 21"/>
    <w:basedOn w:val="Normln"/>
    <w:next w:val="Normln"/>
    <w:uiPriority w:val="9"/>
    <w:unhideWhenUsed/>
    <w:qFormat/>
    <w:rsid w:val="005625D2"/>
    <w:pPr>
      <w:keepNext/>
      <w:keepLines/>
      <w:spacing w:before="200"/>
      <w:ind w:left="1141" w:hanging="432"/>
      <w:outlineLvl w:val="1"/>
    </w:pPr>
    <w:rPr>
      <w:rFonts w:eastAsia="Times New Roman" w:cs="Times New Roman"/>
      <w:b/>
      <w:bCs/>
      <w:color w:val="76923C"/>
      <w:sz w:val="28"/>
      <w:szCs w:val="26"/>
    </w:rPr>
  </w:style>
  <w:style w:type="paragraph" w:customStyle="1" w:styleId="Nadpis31">
    <w:name w:val="Nadpis 31"/>
    <w:basedOn w:val="Normln"/>
    <w:next w:val="Normln"/>
    <w:uiPriority w:val="9"/>
    <w:unhideWhenUsed/>
    <w:qFormat/>
    <w:rsid w:val="005625D2"/>
    <w:pPr>
      <w:keepNext/>
      <w:keepLines/>
      <w:spacing w:before="200"/>
      <w:outlineLvl w:val="2"/>
    </w:pPr>
    <w:rPr>
      <w:rFonts w:eastAsia="Times New Roman" w:cs="Times New Roman"/>
      <w:b/>
      <w:bCs/>
      <w:color w:val="76923C"/>
      <w:sz w:val="24"/>
    </w:rPr>
  </w:style>
  <w:style w:type="paragraph" w:customStyle="1" w:styleId="Nadpis41">
    <w:name w:val="Nadpis 41"/>
    <w:basedOn w:val="Normln"/>
    <w:next w:val="Normln"/>
    <w:uiPriority w:val="9"/>
    <w:unhideWhenUsed/>
    <w:qFormat/>
    <w:rsid w:val="005625D2"/>
    <w:pPr>
      <w:keepNext/>
      <w:keepLines/>
      <w:spacing w:before="200" w:after="0" w:afterAutospacing="0"/>
      <w:outlineLvl w:val="3"/>
    </w:pPr>
    <w:rPr>
      <w:rFonts w:eastAsia="Times New Roman" w:cs="Times New Roman"/>
      <w:b/>
      <w:bCs/>
      <w:i/>
      <w:iCs/>
      <w:color w:val="76923C"/>
      <w:sz w:val="24"/>
    </w:rPr>
  </w:style>
  <w:style w:type="paragraph" w:customStyle="1" w:styleId="Nadpis51">
    <w:name w:val="Nadpis 51"/>
    <w:basedOn w:val="Normln"/>
    <w:next w:val="Normln"/>
    <w:uiPriority w:val="9"/>
    <w:semiHidden/>
    <w:unhideWhenUsed/>
    <w:qFormat/>
    <w:rsid w:val="005625D2"/>
    <w:pPr>
      <w:keepNext/>
      <w:keepLines/>
      <w:spacing w:before="200" w:after="0" w:afterAutospacing="0"/>
      <w:outlineLvl w:val="4"/>
    </w:pPr>
    <w:rPr>
      <w:rFonts w:eastAsia="Times New Roman" w:cs="Times New Roman"/>
      <w:color w:val="243F60"/>
    </w:rPr>
  </w:style>
  <w:style w:type="numbering" w:customStyle="1" w:styleId="Bezseznamu1">
    <w:name w:val="Bez seznamu1"/>
    <w:next w:val="Bezseznamu"/>
    <w:uiPriority w:val="99"/>
    <w:semiHidden/>
    <w:unhideWhenUsed/>
    <w:rsid w:val="005625D2"/>
  </w:style>
  <w:style w:type="character" w:customStyle="1" w:styleId="Zdraznnintenzivn1">
    <w:name w:val="Zdůraznění – intenzivní1"/>
    <w:basedOn w:val="Standardnpsmoodstavce"/>
    <w:uiPriority w:val="21"/>
    <w:rsid w:val="005625D2"/>
    <w:rPr>
      <w:b/>
      <w:bCs/>
      <w:i/>
      <w:iCs/>
      <w:color w:val="4F81BD"/>
    </w:rPr>
  </w:style>
  <w:style w:type="character" w:customStyle="1" w:styleId="Odkazjemn1">
    <w:name w:val="Odkaz – jemný1"/>
    <w:basedOn w:val="Standardnpsmoodstavce"/>
    <w:uiPriority w:val="31"/>
    <w:qFormat/>
    <w:rsid w:val="005625D2"/>
    <w:rPr>
      <w:smallCaps/>
      <w:color w:val="C0504D"/>
      <w:u w:val="single"/>
    </w:rPr>
  </w:style>
  <w:style w:type="character" w:customStyle="1" w:styleId="Odkazintenzivn1">
    <w:name w:val="Odkaz – intenzivní1"/>
    <w:basedOn w:val="Standardnpsmoodstavce"/>
    <w:uiPriority w:val="32"/>
    <w:qFormat/>
    <w:rsid w:val="005625D2"/>
    <w:rPr>
      <w:b/>
      <w:bCs/>
      <w:smallCaps/>
      <w:color w:val="C0504D"/>
      <w:spacing w:val="5"/>
      <w:u w:val="single"/>
    </w:rPr>
  </w:style>
  <w:style w:type="paragraph" w:customStyle="1" w:styleId="Nzev1">
    <w:name w:val="Název1"/>
    <w:basedOn w:val="Normln"/>
    <w:next w:val="Normln"/>
    <w:uiPriority w:val="10"/>
    <w:qFormat/>
    <w:rsid w:val="005625D2"/>
    <w:pPr>
      <w:pBdr>
        <w:bottom w:val="single" w:sz="8" w:space="4" w:color="4F81BD"/>
      </w:pBdr>
      <w:spacing w:after="300" w:afterAutospacing="0" w:line="240" w:lineRule="auto"/>
      <w:contextualSpacing/>
    </w:pPr>
    <w:rPr>
      <w:rFonts w:eastAsia="Times New Roman" w:cs="Times New Roman"/>
      <w:color w:val="17365D"/>
      <w:spacing w:val="5"/>
      <w:kern w:val="28"/>
      <w:sz w:val="52"/>
      <w:szCs w:val="52"/>
    </w:rPr>
  </w:style>
  <w:style w:type="character" w:customStyle="1" w:styleId="Nadpis1Char1">
    <w:name w:val="Nadpis 1 Char1"/>
    <w:basedOn w:val="Standardnpsmoodstavce"/>
    <w:uiPriority w:val="9"/>
    <w:rsid w:val="005625D2"/>
    <w:rPr>
      <w:rFonts w:asciiTheme="majorHAnsi" w:eastAsiaTheme="majorEastAsia" w:hAnsiTheme="majorHAnsi" w:cstheme="majorBidi"/>
      <w:color w:val="365F91" w:themeColor="accent1" w:themeShade="BF"/>
      <w:sz w:val="32"/>
      <w:szCs w:val="32"/>
      <w:lang w:val="en-GB"/>
    </w:rPr>
  </w:style>
  <w:style w:type="character" w:customStyle="1" w:styleId="Hypertextovodkaz1">
    <w:name w:val="Hypertextový odkaz1"/>
    <w:basedOn w:val="Standardnpsmoodstavce"/>
    <w:uiPriority w:val="99"/>
    <w:unhideWhenUsed/>
    <w:rsid w:val="005625D2"/>
    <w:rPr>
      <w:color w:val="0000FF"/>
      <w:u w:val="single"/>
    </w:rPr>
  </w:style>
  <w:style w:type="paragraph" w:customStyle="1" w:styleId="Titulek1">
    <w:name w:val="Titulek1"/>
    <w:basedOn w:val="Normln"/>
    <w:next w:val="Normln"/>
    <w:uiPriority w:val="99"/>
    <w:unhideWhenUsed/>
    <w:qFormat/>
    <w:rsid w:val="005625D2"/>
    <w:pPr>
      <w:spacing w:after="0" w:afterAutospacing="0" w:line="240" w:lineRule="auto"/>
    </w:pPr>
    <w:rPr>
      <w:rFonts w:eastAsia="Times New Roman"/>
      <w:b/>
      <w:bCs/>
      <w:color w:val="76923C"/>
      <w:sz w:val="18"/>
      <w:szCs w:val="18"/>
    </w:rPr>
  </w:style>
  <w:style w:type="paragraph" w:customStyle="1" w:styleId="Obsah41">
    <w:name w:val="Obsah 41"/>
    <w:basedOn w:val="Normln"/>
    <w:next w:val="Normln"/>
    <w:autoRedefine/>
    <w:uiPriority w:val="39"/>
    <w:unhideWhenUsed/>
    <w:rsid w:val="005625D2"/>
    <w:pPr>
      <w:spacing w:afterAutospacing="0"/>
      <w:ind w:left="660"/>
    </w:pPr>
    <w:rPr>
      <w:rFonts w:asciiTheme="minorHAnsi" w:eastAsia="Times New Roman" w:hAnsiTheme="minorHAnsi"/>
    </w:rPr>
  </w:style>
  <w:style w:type="paragraph" w:customStyle="1" w:styleId="Obsah51">
    <w:name w:val="Obsah 51"/>
    <w:basedOn w:val="Normln"/>
    <w:next w:val="Normln"/>
    <w:autoRedefine/>
    <w:uiPriority w:val="39"/>
    <w:unhideWhenUsed/>
    <w:rsid w:val="005625D2"/>
    <w:pPr>
      <w:spacing w:afterAutospacing="0"/>
      <w:ind w:left="880"/>
    </w:pPr>
    <w:rPr>
      <w:rFonts w:asciiTheme="minorHAnsi" w:eastAsia="Times New Roman" w:hAnsiTheme="minorHAnsi"/>
    </w:rPr>
  </w:style>
  <w:style w:type="paragraph" w:customStyle="1" w:styleId="Obsah61">
    <w:name w:val="Obsah 61"/>
    <w:basedOn w:val="Normln"/>
    <w:next w:val="Normln"/>
    <w:autoRedefine/>
    <w:uiPriority w:val="39"/>
    <w:unhideWhenUsed/>
    <w:rsid w:val="005625D2"/>
    <w:pPr>
      <w:spacing w:afterAutospacing="0"/>
      <w:ind w:left="1100"/>
    </w:pPr>
    <w:rPr>
      <w:rFonts w:asciiTheme="minorHAnsi" w:eastAsia="Times New Roman" w:hAnsiTheme="minorHAnsi"/>
    </w:rPr>
  </w:style>
  <w:style w:type="paragraph" w:customStyle="1" w:styleId="Obsah71">
    <w:name w:val="Obsah 71"/>
    <w:basedOn w:val="Normln"/>
    <w:next w:val="Normln"/>
    <w:autoRedefine/>
    <w:uiPriority w:val="39"/>
    <w:unhideWhenUsed/>
    <w:rsid w:val="005625D2"/>
    <w:pPr>
      <w:spacing w:afterAutospacing="0"/>
      <w:ind w:left="1320"/>
    </w:pPr>
    <w:rPr>
      <w:rFonts w:asciiTheme="minorHAnsi" w:eastAsia="Times New Roman" w:hAnsiTheme="minorHAnsi"/>
    </w:rPr>
  </w:style>
  <w:style w:type="paragraph" w:customStyle="1" w:styleId="Obsah81">
    <w:name w:val="Obsah 81"/>
    <w:basedOn w:val="Normln"/>
    <w:next w:val="Normln"/>
    <w:autoRedefine/>
    <w:uiPriority w:val="39"/>
    <w:unhideWhenUsed/>
    <w:rsid w:val="005625D2"/>
    <w:pPr>
      <w:spacing w:afterAutospacing="0"/>
      <w:ind w:left="1540"/>
    </w:pPr>
    <w:rPr>
      <w:rFonts w:asciiTheme="minorHAnsi" w:eastAsia="Times New Roman" w:hAnsiTheme="minorHAnsi"/>
    </w:rPr>
  </w:style>
  <w:style w:type="paragraph" w:customStyle="1" w:styleId="Obsah91">
    <w:name w:val="Obsah 91"/>
    <w:basedOn w:val="Normln"/>
    <w:next w:val="Normln"/>
    <w:autoRedefine/>
    <w:uiPriority w:val="39"/>
    <w:unhideWhenUsed/>
    <w:rsid w:val="005625D2"/>
    <w:pPr>
      <w:spacing w:afterAutospacing="0"/>
      <w:ind w:left="1760"/>
    </w:pPr>
    <w:rPr>
      <w:rFonts w:asciiTheme="minorHAnsi" w:eastAsia="Times New Roman" w:hAnsiTheme="minorHAnsi"/>
    </w:rPr>
  </w:style>
  <w:style w:type="character" w:customStyle="1" w:styleId="Nadpis2Char1">
    <w:name w:val="Nadpis 2 Char1"/>
    <w:basedOn w:val="Standardnpsmoodstavce"/>
    <w:uiPriority w:val="9"/>
    <w:semiHidden/>
    <w:rsid w:val="005625D2"/>
    <w:rPr>
      <w:rFonts w:asciiTheme="majorHAnsi" w:eastAsiaTheme="majorEastAsia" w:hAnsiTheme="majorHAnsi" w:cstheme="majorBidi"/>
      <w:color w:val="365F91" w:themeColor="accent1" w:themeShade="BF"/>
      <w:sz w:val="26"/>
      <w:szCs w:val="26"/>
      <w:lang w:val="en-GB"/>
    </w:rPr>
  </w:style>
  <w:style w:type="character" w:customStyle="1" w:styleId="NzevChar1">
    <w:name w:val="Název Char1"/>
    <w:basedOn w:val="Standardnpsmoodstavce"/>
    <w:uiPriority w:val="10"/>
    <w:rsid w:val="005625D2"/>
    <w:rPr>
      <w:rFonts w:asciiTheme="majorHAnsi" w:eastAsiaTheme="majorEastAsia" w:hAnsiTheme="majorHAnsi" w:cstheme="majorBidi"/>
      <w:spacing w:val="-10"/>
      <w:kern w:val="28"/>
      <w:sz w:val="56"/>
      <w:szCs w:val="56"/>
      <w:lang w:val="en-GB"/>
    </w:rPr>
  </w:style>
  <w:style w:type="character" w:customStyle="1" w:styleId="Nadpis3Char1">
    <w:name w:val="Nadpis 3 Char1"/>
    <w:basedOn w:val="Standardnpsmoodstavce"/>
    <w:uiPriority w:val="9"/>
    <w:semiHidden/>
    <w:rsid w:val="005625D2"/>
    <w:rPr>
      <w:rFonts w:asciiTheme="majorHAnsi" w:eastAsiaTheme="majorEastAsia" w:hAnsiTheme="majorHAnsi" w:cstheme="majorBidi"/>
      <w:color w:val="243F60" w:themeColor="accent1" w:themeShade="7F"/>
      <w:sz w:val="24"/>
      <w:szCs w:val="24"/>
      <w:lang w:val="en-GB"/>
    </w:rPr>
  </w:style>
  <w:style w:type="character" w:customStyle="1" w:styleId="Nadpis4Char1">
    <w:name w:val="Nadpis 4 Char1"/>
    <w:basedOn w:val="Standardnpsmoodstavce"/>
    <w:uiPriority w:val="9"/>
    <w:semiHidden/>
    <w:rsid w:val="005625D2"/>
    <w:rPr>
      <w:rFonts w:asciiTheme="majorHAnsi" w:eastAsiaTheme="majorEastAsia" w:hAnsiTheme="majorHAnsi" w:cstheme="majorBidi"/>
      <w:i/>
      <w:iCs/>
      <w:color w:val="365F91" w:themeColor="accent1" w:themeShade="BF"/>
      <w:lang w:val="en-GB"/>
    </w:rPr>
  </w:style>
  <w:style w:type="character" w:customStyle="1" w:styleId="Nadpis5Char1">
    <w:name w:val="Nadpis 5 Char1"/>
    <w:basedOn w:val="Standardnpsmoodstavce"/>
    <w:uiPriority w:val="9"/>
    <w:semiHidden/>
    <w:rsid w:val="005625D2"/>
    <w:rPr>
      <w:rFonts w:asciiTheme="majorHAnsi" w:eastAsiaTheme="majorEastAsia" w:hAnsiTheme="majorHAnsi" w:cstheme="majorBidi"/>
      <w:color w:val="365F91" w:themeColor="accent1" w:themeShade="BF"/>
      <w:lang w:val="en-GB"/>
    </w:rPr>
  </w:style>
  <w:style w:type="character" w:customStyle="1" w:styleId="PoznmkapodarouChar">
    <w:name w:val="Poznámka pod čarou Char"/>
    <w:link w:val="Poznmkapodarou"/>
    <w:rsid w:val="00050C80"/>
    <w:rPr>
      <w:rFonts w:ascii="Cambria" w:hAnsi="Cambria"/>
      <w:sz w:val="20"/>
    </w:rPr>
  </w:style>
  <w:style w:type="character" w:styleId="Sledovanodkaz">
    <w:name w:val="FollowedHyperlink"/>
    <w:basedOn w:val="Standardnpsmoodstavce"/>
    <w:uiPriority w:val="99"/>
    <w:semiHidden/>
    <w:unhideWhenUsed/>
    <w:rsid w:val="00494FD0"/>
    <w:rPr>
      <w:color w:val="800080" w:themeColor="followedHyperlink"/>
      <w:u w:val="single"/>
    </w:rPr>
  </w:style>
  <w:style w:type="character" w:customStyle="1" w:styleId="WW8Num2z0">
    <w:name w:val="WW8Num2z0"/>
    <w:rsid w:val="006330E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897">
      <w:bodyDiv w:val="1"/>
      <w:marLeft w:val="0"/>
      <w:marRight w:val="0"/>
      <w:marTop w:val="0"/>
      <w:marBottom w:val="0"/>
      <w:divBdr>
        <w:top w:val="none" w:sz="0" w:space="0" w:color="auto"/>
        <w:left w:val="none" w:sz="0" w:space="0" w:color="auto"/>
        <w:bottom w:val="none" w:sz="0" w:space="0" w:color="auto"/>
        <w:right w:val="none" w:sz="0" w:space="0" w:color="auto"/>
      </w:divBdr>
    </w:div>
    <w:div w:id="19866122">
      <w:bodyDiv w:val="1"/>
      <w:marLeft w:val="0"/>
      <w:marRight w:val="0"/>
      <w:marTop w:val="0"/>
      <w:marBottom w:val="0"/>
      <w:divBdr>
        <w:top w:val="none" w:sz="0" w:space="0" w:color="auto"/>
        <w:left w:val="none" w:sz="0" w:space="0" w:color="auto"/>
        <w:bottom w:val="none" w:sz="0" w:space="0" w:color="auto"/>
        <w:right w:val="none" w:sz="0" w:space="0" w:color="auto"/>
      </w:divBdr>
    </w:div>
    <w:div w:id="24602874">
      <w:bodyDiv w:val="1"/>
      <w:marLeft w:val="0"/>
      <w:marRight w:val="0"/>
      <w:marTop w:val="0"/>
      <w:marBottom w:val="0"/>
      <w:divBdr>
        <w:top w:val="none" w:sz="0" w:space="0" w:color="auto"/>
        <w:left w:val="none" w:sz="0" w:space="0" w:color="auto"/>
        <w:bottom w:val="none" w:sz="0" w:space="0" w:color="auto"/>
        <w:right w:val="none" w:sz="0" w:space="0" w:color="auto"/>
      </w:divBdr>
    </w:div>
    <w:div w:id="47464554">
      <w:bodyDiv w:val="1"/>
      <w:marLeft w:val="0"/>
      <w:marRight w:val="0"/>
      <w:marTop w:val="0"/>
      <w:marBottom w:val="0"/>
      <w:divBdr>
        <w:top w:val="none" w:sz="0" w:space="0" w:color="auto"/>
        <w:left w:val="none" w:sz="0" w:space="0" w:color="auto"/>
        <w:bottom w:val="none" w:sz="0" w:space="0" w:color="auto"/>
        <w:right w:val="none" w:sz="0" w:space="0" w:color="auto"/>
      </w:divBdr>
    </w:div>
    <w:div w:id="76749061">
      <w:bodyDiv w:val="1"/>
      <w:marLeft w:val="0"/>
      <w:marRight w:val="0"/>
      <w:marTop w:val="0"/>
      <w:marBottom w:val="0"/>
      <w:divBdr>
        <w:top w:val="none" w:sz="0" w:space="0" w:color="auto"/>
        <w:left w:val="none" w:sz="0" w:space="0" w:color="auto"/>
        <w:bottom w:val="none" w:sz="0" w:space="0" w:color="auto"/>
        <w:right w:val="none" w:sz="0" w:space="0" w:color="auto"/>
      </w:divBdr>
    </w:div>
    <w:div w:id="119227784">
      <w:bodyDiv w:val="1"/>
      <w:marLeft w:val="0"/>
      <w:marRight w:val="0"/>
      <w:marTop w:val="0"/>
      <w:marBottom w:val="0"/>
      <w:divBdr>
        <w:top w:val="none" w:sz="0" w:space="0" w:color="auto"/>
        <w:left w:val="none" w:sz="0" w:space="0" w:color="auto"/>
        <w:bottom w:val="none" w:sz="0" w:space="0" w:color="auto"/>
        <w:right w:val="none" w:sz="0" w:space="0" w:color="auto"/>
      </w:divBdr>
    </w:div>
    <w:div w:id="210120044">
      <w:bodyDiv w:val="1"/>
      <w:marLeft w:val="0"/>
      <w:marRight w:val="0"/>
      <w:marTop w:val="0"/>
      <w:marBottom w:val="0"/>
      <w:divBdr>
        <w:top w:val="none" w:sz="0" w:space="0" w:color="auto"/>
        <w:left w:val="none" w:sz="0" w:space="0" w:color="auto"/>
        <w:bottom w:val="none" w:sz="0" w:space="0" w:color="auto"/>
        <w:right w:val="none" w:sz="0" w:space="0" w:color="auto"/>
      </w:divBdr>
    </w:div>
    <w:div w:id="216359197">
      <w:bodyDiv w:val="1"/>
      <w:marLeft w:val="0"/>
      <w:marRight w:val="0"/>
      <w:marTop w:val="0"/>
      <w:marBottom w:val="0"/>
      <w:divBdr>
        <w:top w:val="none" w:sz="0" w:space="0" w:color="auto"/>
        <w:left w:val="none" w:sz="0" w:space="0" w:color="auto"/>
        <w:bottom w:val="none" w:sz="0" w:space="0" w:color="auto"/>
        <w:right w:val="none" w:sz="0" w:space="0" w:color="auto"/>
      </w:divBdr>
    </w:div>
    <w:div w:id="221647688">
      <w:bodyDiv w:val="1"/>
      <w:marLeft w:val="0"/>
      <w:marRight w:val="0"/>
      <w:marTop w:val="0"/>
      <w:marBottom w:val="0"/>
      <w:divBdr>
        <w:top w:val="none" w:sz="0" w:space="0" w:color="auto"/>
        <w:left w:val="none" w:sz="0" w:space="0" w:color="auto"/>
        <w:bottom w:val="none" w:sz="0" w:space="0" w:color="auto"/>
        <w:right w:val="none" w:sz="0" w:space="0" w:color="auto"/>
      </w:divBdr>
      <w:divsChild>
        <w:div w:id="1879973420">
          <w:marLeft w:val="187"/>
          <w:marRight w:val="0"/>
          <w:marTop w:val="0"/>
          <w:marBottom w:val="0"/>
          <w:divBdr>
            <w:top w:val="none" w:sz="0" w:space="0" w:color="auto"/>
            <w:left w:val="none" w:sz="0" w:space="0" w:color="auto"/>
            <w:bottom w:val="none" w:sz="0" w:space="0" w:color="auto"/>
            <w:right w:val="none" w:sz="0" w:space="0" w:color="auto"/>
          </w:divBdr>
        </w:div>
      </w:divsChild>
    </w:div>
    <w:div w:id="231820199">
      <w:bodyDiv w:val="1"/>
      <w:marLeft w:val="0"/>
      <w:marRight w:val="0"/>
      <w:marTop w:val="0"/>
      <w:marBottom w:val="0"/>
      <w:divBdr>
        <w:top w:val="none" w:sz="0" w:space="0" w:color="auto"/>
        <w:left w:val="none" w:sz="0" w:space="0" w:color="auto"/>
        <w:bottom w:val="none" w:sz="0" w:space="0" w:color="auto"/>
        <w:right w:val="none" w:sz="0" w:space="0" w:color="auto"/>
      </w:divBdr>
    </w:div>
    <w:div w:id="235674420">
      <w:bodyDiv w:val="1"/>
      <w:marLeft w:val="0"/>
      <w:marRight w:val="0"/>
      <w:marTop w:val="0"/>
      <w:marBottom w:val="0"/>
      <w:divBdr>
        <w:top w:val="none" w:sz="0" w:space="0" w:color="auto"/>
        <w:left w:val="none" w:sz="0" w:space="0" w:color="auto"/>
        <w:bottom w:val="none" w:sz="0" w:space="0" w:color="auto"/>
        <w:right w:val="none" w:sz="0" w:space="0" w:color="auto"/>
      </w:divBdr>
    </w:div>
    <w:div w:id="240457615">
      <w:bodyDiv w:val="1"/>
      <w:marLeft w:val="0"/>
      <w:marRight w:val="0"/>
      <w:marTop w:val="0"/>
      <w:marBottom w:val="0"/>
      <w:divBdr>
        <w:top w:val="none" w:sz="0" w:space="0" w:color="auto"/>
        <w:left w:val="none" w:sz="0" w:space="0" w:color="auto"/>
        <w:bottom w:val="none" w:sz="0" w:space="0" w:color="auto"/>
        <w:right w:val="none" w:sz="0" w:space="0" w:color="auto"/>
      </w:divBdr>
    </w:div>
    <w:div w:id="259677169">
      <w:bodyDiv w:val="1"/>
      <w:marLeft w:val="0"/>
      <w:marRight w:val="0"/>
      <w:marTop w:val="0"/>
      <w:marBottom w:val="0"/>
      <w:divBdr>
        <w:top w:val="none" w:sz="0" w:space="0" w:color="auto"/>
        <w:left w:val="none" w:sz="0" w:space="0" w:color="auto"/>
        <w:bottom w:val="none" w:sz="0" w:space="0" w:color="auto"/>
        <w:right w:val="none" w:sz="0" w:space="0" w:color="auto"/>
      </w:divBdr>
    </w:div>
    <w:div w:id="262762270">
      <w:bodyDiv w:val="1"/>
      <w:marLeft w:val="0"/>
      <w:marRight w:val="0"/>
      <w:marTop w:val="0"/>
      <w:marBottom w:val="0"/>
      <w:divBdr>
        <w:top w:val="none" w:sz="0" w:space="0" w:color="auto"/>
        <w:left w:val="none" w:sz="0" w:space="0" w:color="auto"/>
        <w:bottom w:val="none" w:sz="0" w:space="0" w:color="auto"/>
        <w:right w:val="none" w:sz="0" w:space="0" w:color="auto"/>
      </w:divBdr>
    </w:div>
    <w:div w:id="286156728">
      <w:bodyDiv w:val="1"/>
      <w:marLeft w:val="0"/>
      <w:marRight w:val="0"/>
      <w:marTop w:val="0"/>
      <w:marBottom w:val="0"/>
      <w:divBdr>
        <w:top w:val="none" w:sz="0" w:space="0" w:color="auto"/>
        <w:left w:val="none" w:sz="0" w:space="0" w:color="auto"/>
        <w:bottom w:val="none" w:sz="0" w:space="0" w:color="auto"/>
        <w:right w:val="none" w:sz="0" w:space="0" w:color="auto"/>
      </w:divBdr>
      <w:divsChild>
        <w:div w:id="448861573">
          <w:marLeft w:val="187"/>
          <w:marRight w:val="0"/>
          <w:marTop w:val="0"/>
          <w:marBottom w:val="0"/>
          <w:divBdr>
            <w:top w:val="none" w:sz="0" w:space="0" w:color="auto"/>
            <w:left w:val="none" w:sz="0" w:space="0" w:color="auto"/>
            <w:bottom w:val="none" w:sz="0" w:space="0" w:color="auto"/>
            <w:right w:val="none" w:sz="0" w:space="0" w:color="auto"/>
          </w:divBdr>
        </w:div>
      </w:divsChild>
    </w:div>
    <w:div w:id="291445136">
      <w:bodyDiv w:val="1"/>
      <w:marLeft w:val="0"/>
      <w:marRight w:val="0"/>
      <w:marTop w:val="0"/>
      <w:marBottom w:val="0"/>
      <w:divBdr>
        <w:top w:val="none" w:sz="0" w:space="0" w:color="auto"/>
        <w:left w:val="none" w:sz="0" w:space="0" w:color="auto"/>
        <w:bottom w:val="none" w:sz="0" w:space="0" w:color="auto"/>
        <w:right w:val="none" w:sz="0" w:space="0" w:color="auto"/>
      </w:divBdr>
    </w:div>
    <w:div w:id="296033676">
      <w:bodyDiv w:val="1"/>
      <w:marLeft w:val="0"/>
      <w:marRight w:val="0"/>
      <w:marTop w:val="0"/>
      <w:marBottom w:val="0"/>
      <w:divBdr>
        <w:top w:val="none" w:sz="0" w:space="0" w:color="auto"/>
        <w:left w:val="none" w:sz="0" w:space="0" w:color="auto"/>
        <w:bottom w:val="none" w:sz="0" w:space="0" w:color="auto"/>
        <w:right w:val="none" w:sz="0" w:space="0" w:color="auto"/>
      </w:divBdr>
    </w:div>
    <w:div w:id="332681669">
      <w:bodyDiv w:val="1"/>
      <w:marLeft w:val="0"/>
      <w:marRight w:val="0"/>
      <w:marTop w:val="0"/>
      <w:marBottom w:val="0"/>
      <w:divBdr>
        <w:top w:val="none" w:sz="0" w:space="0" w:color="auto"/>
        <w:left w:val="none" w:sz="0" w:space="0" w:color="auto"/>
        <w:bottom w:val="none" w:sz="0" w:space="0" w:color="auto"/>
        <w:right w:val="none" w:sz="0" w:space="0" w:color="auto"/>
      </w:divBdr>
    </w:div>
    <w:div w:id="341783366">
      <w:bodyDiv w:val="1"/>
      <w:marLeft w:val="0"/>
      <w:marRight w:val="0"/>
      <w:marTop w:val="0"/>
      <w:marBottom w:val="0"/>
      <w:divBdr>
        <w:top w:val="none" w:sz="0" w:space="0" w:color="auto"/>
        <w:left w:val="none" w:sz="0" w:space="0" w:color="auto"/>
        <w:bottom w:val="none" w:sz="0" w:space="0" w:color="auto"/>
        <w:right w:val="none" w:sz="0" w:space="0" w:color="auto"/>
      </w:divBdr>
    </w:div>
    <w:div w:id="352146700">
      <w:bodyDiv w:val="1"/>
      <w:marLeft w:val="0"/>
      <w:marRight w:val="0"/>
      <w:marTop w:val="0"/>
      <w:marBottom w:val="0"/>
      <w:divBdr>
        <w:top w:val="none" w:sz="0" w:space="0" w:color="auto"/>
        <w:left w:val="none" w:sz="0" w:space="0" w:color="auto"/>
        <w:bottom w:val="none" w:sz="0" w:space="0" w:color="auto"/>
        <w:right w:val="none" w:sz="0" w:space="0" w:color="auto"/>
      </w:divBdr>
    </w:div>
    <w:div w:id="355892521">
      <w:bodyDiv w:val="1"/>
      <w:marLeft w:val="0"/>
      <w:marRight w:val="0"/>
      <w:marTop w:val="0"/>
      <w:marBottom w:val="0"/>
      <w:divBdr>
        <w:top w:val="none" w:sz="0" w:space="0" w:color="auto"/>
        <w:left w:val="none" w:sz="0" w:space="0" w:color="auto"/>
        <w:bottom w:val="none" w:sz="0" w:space="0" w:color="auto"/>
        <w:right w:val="none" w:sz="0" w:space="0" w:color="auto"/>
      </w:divBdr>
    </w:div>
    <w:div w:id="370809311">
      <w:bodyDiv w:val="1"/>
      <w:marLeft w:val="0"/>
      <w:marRight w:val="0"/>
      <w:marTop w:val="0"/>
      <w:marBottom w:val="0"/>
      <w:divBdr>
        <w:top w:val="none" w:sz="0" w:space="0" w:color="auto"/>
        <w:left w:val="none" w:sz="0" w:space="0" w:color="auto"/>
        <w:bottom w:val="none" w:sz="0" w:space="0" w:color="auto"/>
        <w:right w:val="none" w:sz="0" w:space="0" w:color="auto"/>
      </w:divBdr>
    </w:div>
    <w:div w:id="386799875">
      <w:bodyDiv w:val="1"/>
      <w:marLeft w:val="0"/>
      <w:marRight w:val="0"/>
      <w:marTop w:val="0"/>
      <w:marBottom w:val="0"/>
      <w:divBdr>
        <w:top w:val="none" w:sz="0" w:space="0" w:color="auto"/>
        <w:left w:val="none" w:sz="0" w:space="0" w:color="auto"/>
        <w:bottom w:val="none" w:sz="0" w:space="0" w:color="auto"/>
        <w:right w:val="none" w:sz="0" w:space="0" w:color="auto"/>
      </w:divBdr>
    </w:div>
    <w:div w:id="418216208">
      <w:bodyDiv w:val="1"/>
      <w:marLeft w:val="0"/>
      <w:marRight w:val="0"/>
      <w:marTop w:val="0"/>
      <w:marBottom w:val="0"/>
      <w:divBdr>
        <w:top w:val="none" w:sz="0" w:space="0" w:color="auto"/>
        <w:left w:val="none" w:sz="0" w:space="0" w:color="auto"/>
        <w:bottom w:val="none" w:sz="0" w:space="0" w:color="auto"/>
        <w:right w:val="none" w:sz="0" w:space="0" w:color="auto"/>
      </w:divBdr>
    </w:div>
    <w:div w:id="427501600">
      <w:bodyDiv w:val="1"/>
      <w:marLeft w:val="0"/>
      <w:marRight w:val="0"/>
      <w:marTop w:val="0"/>
      <w:marBottom w:val="0"/>
      <w:divBdr>
        <w:top w:val="none" w:sz="0" w:space="0" w:color="auto"/>
        <w:left w:val="none" w:sz="0" w:space="0" w:color="auto"/>
        <w:bottom w:val="none" w:sz="0" w:space="0" w:color="auto"/>
        <w:right w:val="none" w:sz="0" w:space="0" w:color="auto"/>
      </w:divBdr>
    </w:div>
    <w:div w:id="428429191">
      <w:bodyDiv w:val="1"/>
      <w:marLeft w:val="0"/>
      <w:marRight w:val="0"/>
      <w:marTop w:val="0"/>
      <w:marBottom w:val="0"/>
      <w:divBdr>
        <w:top w:val="none" w:sz="0" w:space="0" w:color="auto"/>
        <w:left w:val="none" w:sz="0" w:space="0" w:color="auto"/>
        <w:bottom w:val="none" w:sz="0" w:space="0" w:color="auto"/>
        <w:right w:val="none" w:sz="0" w:space="0" w:color="auto"/>
      </w:divBdr>
    </w:div>
    <w:div w:id="447434308">
      <w:bodyDiv w:val="1"/>
      <w:marLeft w:val="0"/>
      <w:marRight w:val="0"/>
      <w:marTop w:val="0"/>
      <w:marBottom w:val="0"/>
      <w:divBdr>
        <w:top w:val="none" w:sz="0" w:space="0" w:color="auto"/>
        <w:left w:val="none" w:sz="0" w:space="0" w:color="auto"/>
        <w:bottom w:val="none" w:sz="0" w:space="0" w:color="auto"/>
        <w:right w:val="none" w:sz="0" w:space="0" w:color="auto"/>
      </w:divBdr>
    </w:div>
    <w:div w:id="457182500">
      <w:bodyDiv w:val="1"/>
      <w:marLeft w:val="0"/>
      <w:marRight w:val="0"/>
      <w:marTop w:val="0"/>
      <w:marBottom w:val="0"/>
      <w:divBdr>
        <w:top w:val="none" w:sz="0" w:space="0" w:color="auto"/>
        <w:left w:val="none" w:sz="0" w:space="0" w:color="auto"/>
        <w:bottom w:val="none" w:sz="0" w:space="0" w:color="auto"/>
        <w:right w:val="none" w:sz="0" w:space="0" w:color="auto"/>
      </w:divBdr>
    </w:div>
    <w:div w:id="460464950">
      <w:bodyDiv w:val="1"/>
      <w:marLeft w:val="0"/>
      <w:marRight w:val="0"/>
      <w:marTop w:val="0"/>
      <w:marBottom w:val="0"/>
      <w:divBdr>
        <w:top w:val="none" w:sz="0" w:space="0" w:color="auto"/>
        <w:left w:val="none" w:sz="0" w:space="0" w:color="auto"/>
        <w:bottom w:val="none" w:sz="0" w:space="0" w:color="auto"/>
        <w:right w:val="none" w:sz="0" w:space="0" w:color="auto"/>
      </w:divBdr>
    </w:div>
    <w:div w:id="465388924">
      <w:bodyDiv w:val="1"/>
      <w:marLeft w:val="0"/>
      <w:marRight w:val="0"/>
      <w:marTop w:val="0"/>
      <w:marBottom w:val="0"/>
      <w:divBdr>
        <w:top w:val="none" w:sz="0" w:space="0" w:color="auto"/>
        <w:left w:val="none" w:sz="0" w:space="0" w:color="auto"/>
        <w:bottom w:val="none" w:sz="0" w:space="0" w:color="auto"/>
        <w:right w:val="none" w:sz="0" w:space="0" w:color="auto"/>
      </w:divBdr>
    </w:div>
    <w:div w:id="477840898">
      <w:bodyDiv w:val="1"/>
      <w:marLeft w:val="0"/>
      <w:marRight w:val="0"/>
      <w:marTop w:val="0"/>
      <w:marBottom w:val="0"/>
      <w:divBdr>
        <w:top w:val="none" w:sz="0" w:space="0" w:color="auto"/>
        <w:left w:val="none" w:sz="0" w:space="0" w:color="auto"/>
        <w:bottom w:val="none" w:sz="0" w:space="0" w:color="auto"/>
        <w:right w:val="none" w:sz="0" w:space="0" w:color="auto"/>
      </w:divBdr>
    </w:div>
    <w:div w:id="491023433">
      <w:bodyDiv w:val="1"/>
      <w:marLeft w:val="0"/>
      <w:marRight w:val="0"/>
      <w:marTop w:val="0"/>
      <w:marBottom w:val="0"/>
      <w:divBdr>
        <w:top w:val="none" w:sz="0" w:space="0" w:color="auto"/>
        <w:left w:val="none" w:sz="0" w:space="0" w:color="auto"/>
        <w:bottom w:val="none" w:sz="0" w:space="0" w:color="auto"/>
        <w:right w:val="none" w:sz="0" w:space="0" w:color="auto"/>
      </w:divBdr>
    </w:div>
    <w:div w:id="502479089">
      <w:bodyDiv w:val="1"/>
      <w:marLeft w:val="0"/>
      <w:marRight w:val="0"/>
      <w:marTop w:val="0"/>
      <w:marBottom w:val="0"/>
      <w:divBdr>
        <w:top w:val="none" w:sz="0" w:space="0" w:color="auto"/>
        <w:left w:val="none" w:sz="0" w:space="0" w:color="auto"/>
        <w:bottom w:val="none" w:sz="0" w:space="0" w:color="auto"/>
        <w:right w:val="none" w:sz="0" w:space="0" w:color="auto"/>
      </w:divBdr>
      <w:divsChild>
        <w:div w:id="662975021">
          <w:marLeft w:val="1166"/>
          <w:marRight w:val="0"/>
          <w:marTop w:val="86"/>
          <w:marBottom w:val="0"/>
          <w:divBdr>
            <w:top w:val="none" w:sz="0" w:space="0" w:color="auto"/>
            <w:left w:val="none" w:sz="0" w:space="0" w:color="auto"/>
            <w:bottom w:val="none" w:sz="0" w:space="0" w:color="auto"/>
            <w:right w:val="none" w:sz="0" w:space="0" w:color="auto"/>
          </w:divBdr>
        </w:div>
        <w:div w:id="48383818">
          <w:marLeft w:val="1166"/>
          <w:marRight w:val="0"/>
          <w:marTop w:val="86"/>
          <w:marBottom w:val="0"/>
          <w:divBdr>
            <w:top w:val="none" w:sz="0" w:space="0" w:color="auto"/>
            <w:left w:val="none" w:sz="0" w:space="0" w:color="auto"/>
            <w:bottom w:val="none" w:sz="0" w:space="0" w:color="auto"/>
            <w:right w:val="none" w:sz="0" w:space="0" w:color="auto"/>
          </w:divBdr>
        </w:div>
        <w:div w:id="525992913">
          <w:marLeft w:val="1166"/>
          <w:marRight w:val="0"/>
          <w:marTop w:val="86"/>
          <w:marBottom w:val="0"/>
          <w:divBdr>
            <w:top w:val="none" w:sz="0" w:space="0" w:color="auto"/>
            <w:left w:val="none" w:sz="0" w:space="0" w:color="auto"/>
            <w:bottom w:val="none" w:sz="0" w:space="0" w:color="auto"/>
            <w:right w:val="none" w:sz="0" w:space="0" w:color="auto"/>
          </w:divBdr>
        </w:div>
        <w:div w:id="1956671049">
          <w:marLeft w:val="1166"/>
          <w:marRight w:val="0"/>
          <w:marTop w:val="86"/>
          <w:marBottom w:val="0"/>
          <w:divBdr>
            <w:top w:val="none" w:sz="0" w:space="0" w:color="auto"/>
            <w:left w:val="none" w:sz="0" w:space="0" w:color="auto"/>
            <w:bottom w:val="none" w:sz="0" w:space="0" w:color="auto"/>
            <w:right w:val="none" w:sz="0" w:space="0" w:color="auto"/>
          </w:divBdr>
        </w:div>
        <w:div w:id="289046228">
          <w:marLeft w:val="1166"/>
          <w:marRight w:val="0"/>
          <w:marTop w:val="86"/>
          <w:marBottom w:val="0"/>
          <w:divBdr>
            <w:top w:val="none" w:sz="0" w:space="0" w:color="auto"/>
            <w:left w:val="none" w:sz="0" w:space="0" w:color="auto"/>
            <w:bottom w:val="none" w:sz="0" w:space="0" w:color="auto"/>
            <w:right w:val="none" w:sz="0" w:space="0" w:color="auto"/>
          </w:divBdr>
        </w:div>
        <w:div w:id="2013951872">
          <w:marLeft w:val="1166"/>
          <w:marRight w:val="0"/>
          <w:marTop w:val="86"/>
          <w:marBottom w:val="0"/>
          <w:divBdr>
            <w:top w:val="none" w:sz="0" w:space="0" w:color="auto"/>
            <w:left w:val="none" w:sz="0" w:space="0" w:color="auto"/>
            <w:bottom w:val="none" w:sz="0" w:space="0" w:color="auto"/>
            <w:right w:val="none" w:sz="0" w:space="0" w:color="auto"/>
          </w:divBdr>
        </w:div>
      </w:divsChild>
    </w:div>
    <w:div w:id="504900319">
      <w:bodyDiv w:val="1"/>
      <w:marLeft w:val="0"/>
      <w:marRight w:val="0"/>
      <w:marTop w:val="0"/>
      <w:marBottom w:val="0"/>
      <w:divBdr>
        <w:top w:val="none" w:sz="0" w:space="0" w:color="auto"/>
        <w:left w:val="none" w:sz="0" w:space="0" w:color="auto"/>
        <w:bottom w:val="none" w:sz="0" w:space="0" w:color="auto"/>
        <w:right w:val="none" w:sz="0" w:space="0" w:color="auto"/>
      </w:divBdr>
    </w:div>
    <w:div w:id="505436893">
      <w:bodyDiv w:val="1"/>
      <w:marLeft w:val="0"/>
      <w:marRight w:val="0"/>
      <w:marTop w:val="0"/>
      <w:marBottom w:val="0"/>
      <w:divBdr>
        <w:top w:val="none" w:sz="0" w:space="0" w:color="auto"/>
        <w:left w:val="none" w:sz="0" w:space="0" w:color="auto"/>
        <w:bottom w:val="none" w:sz="0" w:space="0" w:color="auto"/>
        <w:right w:val="none" w:sz="0" w:space="0" w:color="auto"/>
      </w:divBdr>
    </w:div>
    <w:div w:id="527455229">
      <w:bodyDiv w:val="1"/>
      <w:marLeft w:val="0"/>
      <w:marRight w:val="0"/>
      <w:marTop w:val="0"/>
      <w:marBottom w:val="0"/>
      <w:divBdr>
        <w:top w:val="none" w:sz="0" w:space="0" w:color="auto"/>
        <w:left w:val="none" w:sz="0" w:space="0" w:color="auto"/>
        <w:bottom w:val="none" w:sz="0" w:space="0" w:color="auto"/>
        <w:right w:val="none" w:sz="0" w:space="0" w:color="auto"/>
      </w:divBdr>
    </w:div>
    <w:div w:id="530264841">
      <w:bodyDiv w:val="1"/>
      <w:marLeft w:val="0"/>
      <w:marRight w:val="0"/>
      <w:marTop w:val="0"/>
      <w:marBottom w:val="0"/>
      <w:divBdr>
        <w:top w:val="none" w:sz="0" w:space="0" w:color="auto"/>
        <w:left w:val="none" w:sz="0" w:space="0" w:color="auto"/>
        <w:bottom w:val="none" w:sz="0" w:space="0" w:color="auto"/>
        <w:right w:val="none" w:sz="0" w:space="0" w:color="auto"/>
      </w:divBdr>
    </w:div>
    <w:div w:id="532807848">
      <w:bodyDiv w:val="1"/>
      <w:marLeft w:val="0"/>
      <w:marRight w:val="0"/>
      <w:marTop w:val="0"/>
      <w:marBottom w:val="0"/>
      <w:divBdr>
        <w:top w:val="none" w:sz="0" w:space="0" w:color="auto"/>
        <w:left w:val="none" w:sz="0" w:space="0" w:color="auto"/>
        <w:bottom w:val="none" w:sz="0" w:space="0" w:color="auto"/>
        <w:right w:val="none" w:sz="0" w:space="0" w:color="auto"/>
      </w:divBdr>
    </w:div>
    <w:div w:id="540558600">
      <w:bodyDiv w:val="1"/>
      <w:marLeft w:val="0"/>
      <w:marRight w:val="0"/>
      <w:marTop w:val="0"/>
      <w:marBottom w:val="0"/>
      <w:divBdr>
        <w:top w:val="none" w:sz="0" w:space="0" w:color="auto"/>
        <w:left w:val="none" w:sz="0" w:space="0" w:color="auto"/>
        <w:bottom w:val="none" w:sz="0" w:space="0" w:color="auto"/>
        <w:right w:val="none" w:sz="0" w:space="0" w:color="auto"/>
      </w:divBdr>
    </w:div>
    <w:div w:id="556167609">
      <w:bodyDiv w:val="1"/>
      <w:marLeft w:val="0"/>
      <w:marRight w:val="0"/>
      <w:marTop w:val="0"/>
      <w:marBottom w:val="0"/>
      <w:divBdr>
        <w:top w:val="none" w:sz="0" w:space="0" w:color="auto"/>
        <w:left w:val="none" w:sz="0" w:space="0" w:color="auto"/>
        <w:bottom w:val="none" w:sz="0" w:space="0" w:color="auto"/>
        <w:right w:val="none" w:sz="0" w:space="0" w:color="auto"/>
      </w:divBdr>
    </w:div>
    <w:div w:id="610357511">
      <w:bodyDiv w:val="1"/>
      <w:marLeft w:val="0"/>
      <w:marRight w:val="0"/>
      <w:marTop w:val="0"/>
      <w:marBottom w:val="0"/>
      <w:divBdr>
        <w:top w:val="none" w:sz="0" w:space="0" w:color="auto"/>
        <w:left w:val="none" w:sz="0" w:space="0" w:color="auto"/>
        <w:bottom w:val="none" w:sz="0" w:space="0" w:color="auto"/>
        <w:right w:val="none" w:sz="0" w:space="0" w:color="auto"/>
      </w:divBdr>
    </w:div>
    <w:div w:id="611328892">
      <w:bodyDiv w:val="1"/>
      <w:marLeft w:val="0"/>
      <w:marRight w:val="0"/>
      <w:marTop w:val="0"/>
      <w:marBottom w:val="0"/>
      <w:divBdr>
        <w:top w:val="none" w:sz="0" w:space="0" w:color="auto"/>
        <w:left w:val="none" w:sz="0" w:space="0" w:color="auto"/>
        <w:bottom w:val="none" w:sz="0" w:space="0" w:color="auto"/>
        <w:right w:val="none" w:sz="0" w:space="0" w:color="auto"/>
      </w:divBdr>
    </w:div>
    <w:div w:id="612059431">
      <w:bodyDiv w:val="1"/>
      <w:marLeft w:val="0"/>
      <w:marRight w:val="0"/>
      <w:marTop w:val="0"/>
      <w:marBottom w:val="0"/>
      <w:divBdr>
        <w:top w:val="none" w:sz="0" w:space="0" w:color="auto"/>
        <w:left w:val="none" w:sz="0" w:space="0" w:color="auto"/>
        <w:bottom w:val="none" w:sz="0" w:space="0" w:color="auto"/>
        <w:right w:val="none" w:sz="0" w:space="0" w:color="auto"/>
      </w:divBdr>
    </w:div>
    <w:div w:id="614871781">
      <w:bodyDiv w:val="1"/>
      <w:marLeft w:val="0"/>
      <w:marRight w:val="0"/>
      <w:marTop w:val="0"/>
      <w:marBottom w:val="0"/>
      <w:divBdr>
        <w:top w:val="none" w:sz="0" w:space="0" w:color="auto"/>
        <w:left w:val="none" w:sz="0" w:space="0" w:color="auto"/>
        <w:bottom w:val="none" w:sz="0" w:space="0" w:color="auto"/>
        <w:right w:val="none" w:sz="0" w:space="0" w:color="auto"/>
      </w:divBdr>
    </w:div>
    <w:div w:id="617107990">
      <w:bodyDiv w:val="1"/>
      <w:marLeft w:val="0"/>
      <w:marRight w:val="0"/>
      <w:marTop w:val="0"/>
      <w:marBottom w:val="0"/>
      <w:divBdr>
        <w:top w:val="none" w:sz="0" w:space="0" w:color="auto"/>
        <w:left w:val="none" w:sz="0" w:space="0" w:color="auto"/>
        <w:bottom w:val="none" w:sz="0" w:space="0" w:color="auto"/>
        <w:right w:val="none" w:sz="0" w:space="0" w:color="auto"/>
      </w:divBdr>
    </w:div>
    <w:div w:id="619802935">
      <w:bodyDiv w:val="1"/>
      <w:marLeft w:val="0"/>
      <w:marRight w:val="0"/>
      <w:marTop w:val="0"/>
      <w:marBottom w:val="0"/>
      <w:divBdr>
        <w:top w:val="none" w:sz="0" w:space="0" w:color="auto"/>
        <w:left w:val="none" w:sz="0" w:space="0" w:color="auto"/>
        <w:bottom w:val="none" w:sz="0" w:space="0" w:color="auto"/>
        <w:right w:val="none" w:sz="0" w:space="0" w:color="auto"/>
      </w:divBdr>
    </w:div>
    <w:div w:id="625504517">
      <w:bodyDiv w:val="1"/>
      <w:marLeft w:val="0"/>
      <w:marRight w:val="0"/>
      <w:marTop w:val="0"/>
      <w:marBottom w:val="0"/>
      <w:divBdr>
        <w:top w:val="none" w:sz="0" w:space="0" w:color="auto"/>
        <w:left w:val="none" w:sz="0" w:space="0" w:color="auto"/>
        <w:bottom w:val="none" w:sz="0" w:space="0" w:color="auto"/>
        <w:right w:val="none" w:sz="0" w:space="0" w:color="auto"/>
      </w:divBdr>
    </w:div>
    <w:div w:id="627929063">
      <w:bodyDiv w:val="1"/>
      <w:marLeft w:val="0"/>
      <w:marRight w:val="0"/>
      <w:marTop w:val="0"/>
      <w:marBottom w:val="0"/>
      <w:divBdr>
        <w:top w:val="none" w:sz="0" w:space="0" w:color="auto"/>
        <w:left w:val="none" w:sz="0" w:space="0" w:color="auto"/>
        <w:bottom w:val="none" w:sz="0" w:space="0" w:color="auto"/>
        <w:right w:val="none" w:sz="0" w:space="0" w:color="auto"/>
      </w:divBdr>
    </w:div>
    <w:div w:id="631834843">
      <w:bodyDiv w:val="1"/>
      <w:marLeft w:val="0"/>
      <w:marRight w:val="0"/>
      <w:marTop w:val="0"/>
      <w:marBottom w:val="0"/>
      <w:divBdr>
        <w:top w:val="none" w:sz="0" w:space="0" w:color="auto"/>
        <w:left w:val="none" w:sz="0" w:space="0" w:color="auto"/>
        <w:bottom w:val="none" w:sz="0" w:space="0" w:color="auto"/>
        <w:right w:val="none" w:sz="0" w:space="0" w:color="auto"/>
      </w:divBdr>
    </w:div>
    <w:div w:id="637689602">
      <w:bodyDiv w:val="1"/>
      <w:marLeft w:val="0"/>
      <w:marRight w:val="0"/>
      <w:marTop w:val="0"/>
      <w:marBottom w:val="0"/>
      <w:divBdr>
        <w:top w:val="none" w:sz="0" w:space="0" w:color="auto"/>
        <w:left w:val="none" w:sz="0" w:space="0" w:color="auto"/>
        <w:bottom w:val="none" w:sz="0" w:space="0" w:color="auto"/>
        <w:right w:val="none" w:sz="0" w:space="0" w:color="auto"/>
      </w:divBdr>
    </w:div>
    <w:div w:id="639655205">
      <w:bodyDiv w:val="1"/>
      <w:marLeft w:val="0"/>
      <w:marRight w:val="0"/>
      <w:marTop w:val="0"/>
      <w:marBottom w:val="0"/>
      <w:divBdr>
        <w:top w:val="none" w:sz="0" w:space="0" w:color="auto"/>
        <w:left w:val="none" w:sz="0" w:space="0" w:color="auto"/>
        <w:bottom w:val="none" w:sz="0" w:space="0" w:color="auto"/>
        <w:right w:val="none" w:sz="0" w:space="0" w:color="auto"/>
      </w:divBdr>
      <w:divsChild>
        <w:div w:id="1375814752">
          <w:marLeft w:val="187"/>
          <w:marRight w:val="0"/>
          <w:marTop w:val="0"/>
          <w:marBottom w:val="0"/>
          <w:divBdr>
            <w:top w:val="none" w:sz="0" w:space="0" w:color="auto"/>
            <w:left w:val="none" w:sz="0" w:space="0" w:color="auto"/>
            <w:bottom w:val="none" w:sz="0" w:space="0" w:color="auto"/>
            <w:right w:val="none" w:sz="0" w:space="0" w:color="auto"/>
          </w:divBdr>
        </w:div>
      </w:divsChild>
    </w:div>
    <w:div w:id="645277660">
      <w:bodyDiv w:val="1"/>
      <w:marLeft w:val="0"/>
      <w:marRight w:val="0"/>
      <w:marTop w:val="0"/>
      <w:marBottom w:val="0"/>
      <w:divBdr>
        <w:top w:val="none" w:sz="0" w:space="0" w:color="auto"/>
        <w:left w:val="none" w:sz="0" w:space="0" w:color="auto"/>
        <w:bottom w:val="none" w:sz="0" w:space="0" w:color="auto"/>
        <w:right w:val="none" w:sz="0" w:space="0" w:color="auto"/>
      </w:divBdr>
    </w:div>
    <w:div w:id="655257419">
      <w:bodyDiv w:val="1"/>
      <w:marLeft w:val="0"/>
      <w:marRight w:val="0"/>
      <w:marTop w:val="0"/>
      <w:marBottom w:val="0"/>
      <w:divBdr>
        <w:top w:val="none" w:sz="0" w:space="0" w:color="auto"/>
        <w:left w:val="none" w:sz="0" w:space="0" w:color="auto"/>
        <w:bottom w:val="none" w:sz="0" w:space="0" w:color="auto"/>
        <w:right w:val="none" w:sz="0" w:space="0" w:color="auto"/>
      </w:divBdr>
    </w:div>
    <w:div w:id="675421145">
      <w:bodyDiv w:val="1"/>
      <w:marLeft w:val="0"/>
      <w:marRight w:val="0"/>
      <w:marTop w:val="0"/>
      <w:marBottom w:val="0"/>
      <w:divBdr>
        <w:top w:val="none" w:sz="0" w:space="0" w:color="auto"/>
        <w:left w:val="none" w:sz="0" w:space="0" w:color="auto"/>
        <w:bottom w:val="none" w:sz="0" w:space="0" w:color="auto"/>
        <w:right w:val="none" w:sz="0" w:space="0" w:color="auto"/>
      </w:divBdr>
    </w:div>
    <w:div w:id="689571041">
      <w:bodyDiv w:val="1"/>
      <w:marLeft w:val="0"/>
      <w:marRight w:val="0"/>
      <w:marTop w:val="0"/>
      <w:marBottom w:val="0"/>
      <w:divBdr>
        <w:top w:val="none" w:sz="0" w:space="0" w:color="auto"/>
        <w:left w:val="none" w:sz="0" w:space="0" w:color="auto"/>
        <w:bottom w:val="none" w:sz="0" w:space="0" w:color="auto"/>
        <w:right w:val="none" w:sz="0" w:space="0" w:color="auto"/>
      </w:divBdr>
    </w:div>
    <w:div w:id="718359534">
      <w:bodyDiv w:val="1"/>
      <w:marLeft w:val="0"/>
      <w:marRight w:val="0"/>
      <w:marTop w:val="0"/>
      <w:marBottom w:val="0"/>
      <w:divBdr>
        <w:top w:val="none" w:sz="0" w:space="0" w:color="auto"/>
        <w:left w:val="none" w:sz="0" w:space="0" w:color="auto"/>
        <w:bottom w:val="none" w:sz="0" w:space="0" w:color="auto"/>
        <w:right w:val="none" w:sz="0" w:space="0" w:color="auto"/>
      </w:divBdr>
    </w:div>
    <w:div w:id="772894354">
      <w:bodyDiv w:val="1"/>
      <w:marLeft w:val="0"/>
      <w:marRight w:val="0"/>
      <w:marTop w:val="0"/>
      <w:marBottom w:val="0"/>
      <w:divBdr>
        <w:top w:val="none" w:sz="0" w:space="0" w:color="auto"/>
        <w:left w:val="none" w:sz="0" w:space="0" w:color="auto"/>
        <w:bottom w:val="none" w:sz="0" w:space="0" w:color="auto"/>
        <w:right w:val="none" w:sz="0" w:space="0" w:color="auto"/>
      </w:divBdr>
    </w:div>
    <w:div w:id="774061331">
      <w:bodyDiv w:val="1"/>
      <w:marLeft w:val="0"/>
      <w:marRight w:val="0"/>
      <w:marTop w:val="0"/>
      <w:marBottom w:val="0"/>
      <w:divBdr>
        <w:top w:val="none" w:sz="0" w:space="0" w:color="auto"/>
        <w:left w:val="none" w:sz="0" w:space="0" w:color="auto"/>
        <w:bottom w:val="none" w:sz="0" w:space="0" w:color="auto"/>
        <w:right w:val="none" w:sz="0" w:space="0" w:color="auto"/>
      </w:divBdr>
    </w:div>
    <w:div w:id="795442974">
      <w:bodyDiv w:val="1"/>
      <w:marLeft w:val="0"/>
      <w:marRight w:val="0"/>
      <w:marTop w:val="0"/>
      <w:marBottom w:val="0"/>
      <w:divBdr>
        <w:top w:val="none" w:sz="0" w:space="0" w:color="auto"/>
        <w:left w:val="none" w:sz="0" w:space="0" w:color="auto"/>
        <w:bottom w:val="none" w:sz="0" w:space="0" w:color="auto"/>
        <w:right w:val="none" w:sz="0" w:space="0" w:color="auto"/>
      </w:divBdr>
    </w:div>
    <w:div w:id="806777853">
      <w:bodyDiv w:val="1"/>
      <w:marLeft w:val="0"/>
      <w:marRight w:val="0"/>
      <w:marTop w:val="0"/>
      <w:marBottom w:val="0"/>
      <w:divBdr>
        <w:top w:val="none" w:sz="0" w:space="0" w:color="auto"/>
        <w:left w:val="none" w:sz="0" w:space="0" w:color="auto"/>
        <w:bottom w:val="none" w:sz="0" w:space="0" w:color="auto"/>
        <w:right w:val="none" w:sz="0" w:space="0" w:color="auto"/>
      </w:divBdr>
    </w:div>
    <w:div w:id="808547366">
      <w:bodyDiv w:val="1"/>
      <w:marLeft w:val="0"/>
      <w:marRight w:val="0"/>
      <w:marTop w:val="0"/>
      <w:marBottom w:val="0"/>
      <w:divBdr>
        <w:top w:val="none" w:sz="0" w:space="0" w:color="auto"/>
        <w:left w:val="none" w:sz="0" w:space="0" w:color="auto"/>
        <w:bottom w:val="none" w:sz="0" w:space="0" w:color="auto"/>
        <w:right w:val="none" w:sz="0" w:space="0" w:color="auto"/>
      </w:divBdr>
    </w:div>
    <w:div w:id="815997904">
      <w:bodyDiv w:val="1"/>
      <w:marLeft w:val="0"/>
      <w:marRight w:val="0"/>
      <w:marTop w:val="0"/>
      <w:marBottom w:val="0"/>
      <w:divBdr>
        <w:top w:val="none" w:sz="0" w:space="0" w:color="auto"/>
        <w:left w:val="none" w:sz="0" w:space="0" w:color="auto"/>
        <w:bottom w:val="none" w:sz="0" w:space="0" w:color="auto"/>
        <w:right w:val="none" w:sz="0" w:space="0" w:color="auto"/>
      </w:divBdr>
    </w:div>
    <w:div w:id="822046645">
      <w:bodyDiv w:val="1"/>
      <w:marLeft w:val="0"/>
      <w:marRight w:val="0"/>
      <w:marTop w:val="0"/>
      <w:marBottom w:val="0"/>
      <w:divBdr>
        <w:top w:val="none" w:sz="0" w:space="0" w:color="auto"/>
        <w:left w:val="none" w:sz="0" w:space="0" w:color="auto"/>
        <w:bottom w:val="none" w:sz="0" w:space="0" w:color="auto"/>
        <w:right w:val="none" w:sz="0" w:space="0" w:color="auto"/>
      </w:divBdr>
    </w:div>
    <w:div w:id="825827246">
      <w:bodyDiv w:val="1"/>
      <w:marLeft w:val="0"/>
      <w:marRight w:val="0"/>
      <w:marTop w:val="0"/>
      <w:marBottom w:val="0"/>
      <w:divBdr>
        <w:top w:val="none" w:sz="0" w:space="0" w:color="auto"/>
        <w:left w:val="none" w:sz="0" w:space="0" w:color="auto"/>
        <w:bottom w:val="none" w:sz="0" w:space="0" w:color="auto"/>
        <w:right w:val="none" w:sz="0" w:space="0" w:color="auto"/>
      </w:divBdr>
    </w:div>
    <w:div w:id="828717189">
      <w:bodyDiv w:val="1"/>
      <w:marLeft w:val="0"/>
      <w:marRight w:val="0"/>
      <w:marTop w:val="0"/>
      <w:marBottom w:val="0"/>
      <w:divBdr>
        <w:top w:val="none" w:sz="0" w:space="0" w:color="auto"/>
        <w:left w:val="none" w:sz="0" w:space="0" w:color="auto"/>
        <w:bottom w:val="none" w:sz="0" w:space="0" w:color="auto"/>
        <w:right w:val="none" w:sz="0" w:space="0" w:color="auto"/>
      </w:divBdr>
    </w:div>
    <w:div w:id="837962914">
      <w:bodyDiv w:val="1"/>
      <w:marLeft w:val="0"/>
      <w:marRight w:val="0"/>
      <w:marTop w:val="0"/>
      <w:marBottom w:val="0"/>
      <w:divBdr>
        <w:top w:val="none" w:sz="0" w:space="0" w:color="auto"/>
        <w:left w:val="none" w:sz="0" w:space="0" w:color="auto"/>
        <w:bottom w:val="none" w:sz="0" w:space="0" w:color="auto"/>
        <w:right w:val="none" w:sz="0" w:space="0" w:color="auto"/>
      </w:divBdr>
    </w:div>
    <w:div w:id="840318044">
      <w:bodyDiv w:val="1"/>
      <w:marLeft w:val="0"/>
      <w:marRight w:val="0"/>
      <w:marTop w:val="0"/>
      <w:marBottom w:val="0"/>
      <w:divBdr>
        <w:top w:val="none" w:sz="0" w:space="0" w:color="auto"/>
        <w:left w:val="none" w:sz="0" w:space="0" w:color="auto"/>
        <w:bottom w:val="none" w:sz="0" w:space="0" w:color="auto"/>
        <w:right w:val="none" w:sz="0" w:space="0" w:color="auto"/>
      </w:divBdr>
    </w:div>
    <w:div w:id="856966736">
      <w:bodyDiv w:val="1"/>
      <w:marLeft w:val="0"/>
      <w:marRight w:val="0"/>
      <w:marTop w:val="0"/>
      <w:marBottom w:val="0"/>
      <w:divBdr>
        <w:top w:val="none" w:sz="0" w:space="0" w:color="auto"/>
        <w:left w:val="none" w:sz="0" w:space="0" w:color="auto"/>
        <w:bottom w:val="none" w:sz="0" w:space="0" w:color="auto"/>
        <w:right w:val="none" w:sz="0" w:space="0" w:color="auto"/>
      </w:divBdr>
    </w:div>
    <w:div w:id="860358061">
      <w:bodyDiv w:val="1"/>
      <w:marLeft w:val="0"/>
      <w:marRight w:val="0"/>
      <w:marTop w:val="0"/>
      <w:marBottom w:val="0"/>
      <w:divBdr>
        <w:top w:val="none" w:sz="0" w:space="0" w:color="auto"/>
        <w:left w:val="none" w:sz="0" w:space="0" w:color="auto"/>
        <w:bottom w:val="none" w:sz="0" w:space="0" w:color="auto"/>
        <w:right w:val="none" w:sz="0" w:space="0" w:color="auto"/>
      </w:divBdr>
    </w:div>
    <w:div w:id="864831828">
      <w:bodyDiv w:val="1"/>
      <w:marLeft w:val="0"/>
      <w:marRight w:val="0"/>
      <w:marTop w:val="0"/>
      <w:marBottom w:val="0"/>
      <w:divBdr>
        <w:top w:val="none" w:sz="0" w:space="0" w:color="auto"/>
        <w:left w:val="none" w:sz="0" w:space="0" w:color="auto"/>
        <w:bottom w:val="none" w:sz="0" w:space="0" w:color="auto"/>
        <w:right w:val="none" w:sz="0" w:space="0" w:color="auto"/>
      </w:divBdr>
    </w:div>
    <w:div w:id="875584081">
      <w:bodyDiv w:val="1"/>
      <w:marLeft w:val="0"/>
      <w:marRight w:val="0"/>
      <w:marTop w:val="0"/>
      <w:marBottom w:val="0"/>
      <w:divBdr>
        <w:top w:val="none" w:sz="0" w:space="0" w:color="auto"/>
        <w:left w:val="none" w:sz="0" w:space="0" w:color="auto"/>
        <w:bottom w:val="none" w:sz="0" w:space="0" w:color="auto"/>
        <w:right w:val="none" w:sz="0" w:space="0" w:color="auto"/>
      </w:divBdr>
    </w:div>
    <w:div w:id="883296639">
      <w:bodyDiv w:val="1"/>
      <w:marLeft w:val="0"/>
      <w:marRight w:val="0"/>
      <w:marTop w:val="0"/>
      <w:marBottom w:val="0"/>
      <w:divBdr>
        <w:top w:val="none" w:sz="0" w:space="0" w:color="auto"/>
        <w:left w:val="none" w:sz="0" w:space="0" w:color="auto"/>
        <w:bottom w:val="none" w:sz="0" w:space="0" w:color="auto"/>
        <w:right w:val="none" w:sz="0" w:space="0" w:color="auto"/>
      </w:divBdr>
    </w:div>
    <w:div w:id="903838196">
      <w:bodyDiv w:val="1"/>
      <w:marLeft w:val="0"/>
      <w:marRight w:val="0"/>
      <w:marTop w:val="0"/>
      <w:marBottom w:val="0"/>
      <w:divBdr>
        <w:top w:val="none" w:sz="0" w:space="0" w:color="auto"/>
        <w:left w:val="none" w:sz="0" w:space="0" w:color="auto"/>
        <w:bottom w:val="none" w:sz="0" w:space="0" w:color="auto"/>
        <w:right w:val="none" w:sz="0" w:space="0" w:color="auto"/>
      </w:divBdr>
    </w:div>
    <w:div w:id="904339865">
      <w:bodyDiv w:val="1"/>
      <w:marLeft w:val="0"/>
      <w:marRight w:val="0"/>
      <w:marTop w:val="0"/>
      <w:marBottom w:val="0"/>
      <w:divBdr>
        <w:top w:val="none" w:sz="0" w:space="0" w:color="auto"/>
        <w:left w:val="none" w:sz="0" w:space="0" w:color="auto"/>
        <w:bottom w:val="none" w:sz="0" w:space="0" w:color="auto"/>
        <w:right w:val="none" w:sz="0" w:space="0" w:color="auto"/>
      </w:divBdr>
    </w:div>
    <w:div w:id="906694593">
      <w:bodyDiv w:val="1"/>
      <w:marLeft w:val="0"/>
      <w:marRight w:val="0"/>
      <w:marTop w:val="0"/>
      <w:marBottom w:val="0"/>
      <w:divBdr>
        <w:top w:val="none" w:sz="0" w:space="0" w:color="auto"/>
        <w:left w:val="none" w:sz="0" w:space="0" w:color="auto"/>
        <w:bottom w:val="none" w:sz="0" w:space="0" w:color="auto"/>
        <w:right w:val="none" w:sz="0" w:space="0" w:color="auto"/>
      </w:divBdr>
    </w:div>
    <w:div w:id="920018636">
      <w:bodyDiv w:val="1"/>
      <w:marLeft w:val="0"/>
      <w:marRight w:val="0"/>
      <w:marTop w:val="0"/>
      <w:marBottom w:val="0"/>
      <w:divBdr>
        <w:top w:val="none" w:sz="0" w:space="0" w:color="auto"/>
        <w:left w:val="none" w:sz="0" w:space="0" w:color="auto"/>
        <w:bottom w:val="none" w:sz="0" w:space="0" w:color="auto"/>
        <w:right w:val="none" w:sz="0" w:space="0" w:color="auto"/>
      </w:divBdr>
    </w:div>
    <w:div w:id="920023454">
      <w:bodyDiv w:val="1"/>
      <w:marLeft w:val="0"/>
      <w:marRight w:val="0"/>
      <w:marTop w:val="0"/>
      <w:marBottom w:val="0"/>
      <w:divBdr>
        <w:top w:val="none" w:sz="0" w:space="0" w:color="auto"/>
        <w:left w:val="none" w:sz="0" w:space="0" w:color="auto"/>
        <w:bottom w:val="none" w:sz="0" w:space="0" w:color="auto"/>
        <w:right w:val="none" w:sz="0" w:space="0" w:color="auto"/>
      </w:divBdr>
    </w:div>
    <w:div w:id="928083460">
      <w:bodyDiv w:val="1"/>
      <w:marLeft w:val="0"/>
      <w:marRight w:val="0"/>
      <w:marTop w:val="0"/>
      <w:marBottom w:val="0"/>
      <w:divBdr>
        <w:top w:val="none" w:sz="0" w:space="0" w:color="auto"/>
        <w:left w:val="none" w:sz="0" w:space="0" w:color="auto"/>
        <w:bottom w:val="none" w:sz="0" w:space="0" w:color="auto"/>
        <w:right w:val="none" w:sz="0" w:space="0" w:color="auto"/>
      </w:divBdr>
    </w:div>
    <w:div w:id="937056039">
      <w:bodyDiv w:val="1"/>
      <w:marLeft w:val="0"/>
      <w:marRight w:val="0"/>
      <w:marTop w:val="0"/>
      <w:marBottom w:val="0"/>
      <w:divBdr>
        <w:top w:val="none" w:sz="0" w:space="0" w:color="auto"/>
        <w:left w:val="none" w:sz="0" w:space="0" w:color="auto"/>
        <w:bottom w:val="none" w:sz="0" w:space="0" w:color="auto"/>
        <w:right w:val="none" w:sz="0" w:space="0" w:color="auto"/>
      </w:divBdr>
    </w:div>
    <w:div w:id="939485424">
      <w:bodyDiv w:val="1"/>
      <w:marLeft w:val="0"/>
      <w:marRight w:val="0"/>
      <w:marTop w:val="0"/>
      <w:marBottom w:val="0"/>
      <w:divBdr>
        <w:top w:val="none" w:sz="0" w:space="0" w:color="auto"/>
        <w:left w:val="none" w:sz="0" w:space="0" w:color="auto"/>
        <w:bottom w:val="none" w:sz="0" w:space="0" w:color="auto"/>
        <w:right w:val="none" w:sz="0" w:space="0" w:color="auto"/>
      </w:divBdr>
    </w:div>
    <w:div w:id="996810277">
      <w:bodyDiv w:val="1"/>
      <w:marLeft w:val="0"/>
      <w:marRight w:val="0"/>
      <w:marTop w:val="0"/>
      <w:marBottom w:val="0"/>
      <w:divBdr>
        <w:top w:val="none" w:sz="0" w:space="0" w:color="auto"/>
        <w:left w:val="none" w:sz="0" w:space="0" w:color="auto"/>
        <w:bottom w:val="none" w:sz="0" w:space="0" w:color="auto"/>
        <w:right w:val="none" w:sz="0" w:space="0" w:color="auto"/>
      </w:divBdr>
    </w:div>
    <w:div w:id="1003700572">
      <w:bodyDiv w:val="1"/>
      <w:marLeft w:val="0"/>
      <w:marRight w:val="0"/>
      <w:marTop w:val="0"/>
      <w:marBottom w:val="0"/>
      <w:divBdr>
        <w:top w:val="none" w:sz="0" w:space="0" w:color="auto"/>
        <w:left w:val="none" w:sz="0" w:space="0" w:color="auto"/>
        <w:bottom w:val="none" w:sz="0" w:space="0" w:color="auto"/>
        <w:right w:val="none" w:sz="0" w:space="0" w:color="auto"/>
      </w:divBdr>
    </w:div>
    <w:div w:id="1003900115">
      <w:bodyDiv w:val="1"/>
      <w:marLeft w:val="0"/>
      <w:marRight w:val="0"/>
      <w:marTop w:val="0"/>
      <w:marBottom w:val="0"/>
      <w:divBdr>
        <w:top w:val="none" w:sz="0" w:space="0" w:color="auto"/>
        <w:left w:val="none" w:sz="0" w:space="0" w:color="auto"/>
        <w:bottom w:val="none" w:sz="0" w:space="0" w:color="auto"/>
        <w:right w:val="none" w:sz="0" w:space="0" w:color="auto"/>
      </w:divBdr>
    </w:div>
    <w:div w:id="1008942297">
      <w:bodyDiv w:val="1"/>
      <w:marLeft w:val="0"/>
      <w:marRight w:val="0"/>
      <w:marTop w:val="0"/>
      <w:marBottom w:val="0"/>
      <w:divBdr>
        <w:top w:val="none" w:sz="0" w:space="0" w:color="auto"/>
        <w:left w:val="none" w:sz="0" w:space="0" w:color="auto"/>
        <w:bottom w:val="none" w:sz="0" w:space="0" w:color="auto"/>
        <w:right w:val="none" w:sz="0" w:space="0" w:color="auto"/>
      </w:divBdr>
    </w:div>
    <w:div w:id="1028677830">
      <w:bodyDiv w:val="1"/>
      <w:marLeft w:val="0"/>
      <w:marRight w:val="0"/>
      <w:marTop w:val="0"/>
      <w:marBottom w:val="0"/>
      <w:divBdr>
        <w:top w:val="none" w:sz="0" w:space="0" w:color="auto"/>
        <w:left w:val="none" w:sz="0" w:space="0" w:color="auto"/>
        <w:bottom w:val="none" w:sz="0" w:space="0" w:color="auto"/>
        <w:right w:val="none" w:sz="0" w:space="0" w:color="auto"/>
      </w:divBdr>
    </w:div>
    <w:div w:id="1028718958">
      <w:bodyDiv w:val="1"/>
      <w:marLeft w:val="0"/>
      <w:marRight w:val="0"/>
      <w:marTop w:val="0"/>
      <w:marBottom w:val="0"/>
      <w:divBdr>
        <w:top w:val="none" w:sz="0" w:space="0" w:color="auto"/>
        <w:left w:val="none" w:sz="0" w:space="0" w:color="auto"/>
        <w:bottom w:val="none" w:sz="0" w:space="0" w:color="auto"/>
        <w:right w:val="none" w:sz="0" w:space="0" w:color="auto"/>
      </w:divBdr>
    </w:div>
    <w:div w:id="1036393917">
      <w:bodyDiv w:val="1"/>
      <w:marLeft w:val="0"/>
      <w:marRight w:val="0"/>
      <w:marTop w:val="0"/>
      <w:marBottom w:val="0"/>
      <w:divBdr>
        <w:top w:val="none" w:sz="0" w:space="0" w:color="auto"/>
        <w:left w:val="none" w:sz="0" w:space="0" w:color="auto"/>
        <w:bottom w:val="none" w:sz="0" w:space="0" w:color="auto"/>
        <w:right w:val="none" w:sz="0" w:space="0" w:color="auto"/>
      </w:divBdr>
    </w:div>
    <w:div w:id="1036462638">
      <w:bodyDiv w:val="1"/>
      <w:marLeft w:val="0"/>
      <w:marRight w:val="0"/>
      <w:marTop w:val="0"/>
      <w:marBottom w:val="0"/>
      <w:divBdr>
        <w:top w:val="none" w:sz="0" w:space="0" w:color="auto"/>
        <w:left w:val="none" w:sz="0" w:space="0" w:color="auto"/>
        <w:bottom w:val="none" w:sz="0" w:space="0" w:color="auto"/>
        <w:right w:val="none" w:sz="0" w:space="0" w:color="auto"/>
      </w:divBdr>
    </w:div>
    <w:div w:id="1045449274">
      <w:bodyDiv w:val="1"/>
      <w:marLeft w:val="0"/>
      <w:marRight w:val="0"/>
      <w:marTop w:val="0"/>
      <w:marBottom w:val="0"/>
      <w:divBdr>
        <w:top w:val="none" w:sz="0" w:space="0" w:color="auto"/>
        <w:left w:val="none" w:sz="0" w:space="0" w:color="auto"/>
        <w:bottom w:val="none" w:sz="0" w:space="0" w:color="auto"/>
        <w:right w:val="none" w:sz="0" w:space="0" w:color="auto"/>
      </w:divBdr>
    </w:div>
    <w:div w:id="1052386257">
      <w:bodyDiv w:val="1"/>
      <w:marLeft w:val="0"/>
      <w:marRight w:val="0"/>
      <w:marTop w:val="0"/>
      <w:marBottom w:val="0"/>
      <w:divBdr>
        <w:top w:val="none" w:sz="0" w:space="0" w:color="auto"/>
        <w:left w:val="none" w:sz="0" w:space="0" w:color="auto"/>
        <w:bottom w:val="none" w:sz="0" w:space="0" w:color="auto"/>
        <w:right w:val="none" w:sz="0" w:space="0" w:color="auto"/>
      </w:divBdr>
    </w:div>
    <w:div w:id="1071464785">
      <w:bodyDiv w:val="1"/>
      <w:marLeft w:val="0"/>
      <w:marRight w:val="0"/>
      <w:marTop w:val="0"/>
      <w:marBottom w:val="0"/>
      <w:divBdr>
        <w:top w:val="none" w:sz="0" w:space="0" w:color="auto"/>
        <w:left w:val="none" w:sz="0" w:space="0" w:color="auto"/>
        <w:bottom w:val="none" w:sz="0" w:space="0" w:color="auto"/>
        <w:right w:val="none" w:sz="0" w:space="0" w:color="auto"/>
      </w:divBdr>
    </w:div>
    <w:div w:id="1075081092">
      <w:bodyDiv w:val="1"/>
      <w:marLeft w:val="0"/>
      <w:marRight w:val="0"/>
      <w:marTop w:val="0"/>
      <w:marBottom w:val="0"/>
      <w:divBdr>
        <w:top w:val="none" w:sz="0" w:space="0" w:color="auto"/>
        <w:left w:val="none" w:sz="0" w:space="0" w:color="auto"/>
        <w:bottom w:val="none" w:sz="0" w:space="0" w:color="auto"/>
        <w:right w:val="none" w:sz="0" w:space="0" w:color="auto"/>
      </w:divBdr>
    </w:div>
    <w:div w:id="1080831003">
      <w:bodyDiv w:val="1"/>
      <w:marLeft w:val="0"/>
      <w:marRight w:val="0"/>
      <w:marTop w:val="0"/>
      <w:marBottom w:val="0"/>
      <w:divBdr>
        <w:top w:val="none" w:sz="0" w:space="0" w:color="auto"/>
        <w:left w:val="none" w:sz="0" w:space="0" w:color="auto"/>
        <w:bottom w:val="none" w:sz="0" w:space="0" w:color="auto"/>
        <w:right w:val="none" w:sz="0" w:space="0" w:color="auto"/>
      </w:divBdr>
    </w:div>
    <w:div w:id="1082876612">
      <w:bodyDiv w:val="1"/>
      <w:marLeft w:val="0"/>
      <w:marRight w:val="0"/>
      <w:marTop w:val="0"/>
      <w:marBottom w:val="0"/>
      <w:divBdr>
        <w:top w:val="none" w:sz="0" w:space="0" w:color="auto"/>
        <w:left w:val="none" w:sz="0" w:space="0" w:color="auto"/>
        <w:bottom w:val="none" w:sz="0" w:space="0" w:color="auto"/>
        <w:right w:val="none" w:sz="0" w:space="0" w:color="auto"/>
      </w:divBdr>
    </w:div>
    <w:div w:id="1092093638">
      <w:bodyDiv w:val="1"/>
      <w:marLeft w:val="0"/>
      <w:marRight w:val="0"/>
      <w:marTop w:val="0"/>
      <w:marBottom w:val="0"/>
      <w:divBdr>
        <w:top w:val="none" w:sz="0" w:space="0" w:color="auto"/>
        <w:left w:val="none" w:sz="0" w:space="0" w:color="auto"/>
        <w:bottom w:val="none" w:sz="0" w:space="0" w:color="auto"/>
        <w:right w:val="none" w:sz="0" w:space="0" w:color="auto"/>
      </w:divBdr>
    </w:div>
    <w:div w:id="1100222280">
      <w:bodyDiv w:val="1"/>
      <w:marLeft w:val="0"/>
      <w:marRight w:val="0"/>
      <w:marTop w:val="0"/>
      <w:marBottom w:val="0"/>
      <w:divBdr>
        <w:top w:val="none" w:sz="0" w:space="0" w:color="auto"/>
        <w:left w:val="none" w:sz="0" w:space="0" w:color="auto"/>
        <w:bottom w:val="none" w:sz="0" w:space="0" w:color="auto"/>
        <w:right w:val="none" w:sz="0" w:space="0" w:color="auto"/>
      </w:divBdr>
    </w:div>
    <w:div w:id="1102263163">
      <w:bodyDiv w:val="1"/>
      <w:marLeft w:val="0"/>
      <w:marRight w:val="0"/>
      <w:marTop w:val="0"/>
      <w:marBottom w:val="0"/>
      <w:divBdr>
        <w:top w:val="none" w:sz="0" w:space="0" w:color="auto"/>
        <w:left w:val="none" w:sz="0" w:space="0" w:color="auto"/>
        <w:bottom w:val="none" w:sz="0" w:space="0" w:color="auto"/>
        <w:right w:val="none" w:sz="0" w:space="0" w:color="auto"/>
      </w:divBdr>
    </w:div>
    <w:div w:id="1102846384">
      <w:bodyDiv w:val="1"/>
      <w:marLeft w:val="0"/>
      <w:marRight w:val="0"/>
      <w:marTop w:val="0"/>
      <w:marBottom w:val="0"/>
      <w:divBdr>
        <w:top w:val="none" w:sz="0" w:space="0" w:color="auto"/>
        <w:left w:val="none" w:sz="0" w:space="0" w:color="auto"/>
        <w:bottom w:val="none" w:sz="0" w:space="0" w:color="auto"/>
        <w:right w:val="none" w:sz="0" w:space="0" w:color="auto"/>
      </w:divBdr>
    </w:div>
    <w:div w:id="1165701967">
      <w:bodyDiv w:val="1"/>
      <w:marLeft w:val="0"/>
      <w:marRight w:val="0"/>
      <w:marTop w:val="0"/>
      <w:marBottom w:val="0"/>
      <w:divBdr>
        <w:top w:val="none" w:sz="0" w:space="0" w:color="auto"/>
        <w:left w:val="none" w:sz="0" w:space="0" w:color="auto"/>
        <w:bottom w:val="none" w:sz="0" w:space="0" w:color="auto"/>
        <w:right w:val="none" w:sz="0" w:space="0" w:color="auto"/>
      </w:divBdr>
    </w:div>
    <w:div w:id="1174609321">
      <w:bodyDiv w:val="1"/>
      <w:marLeft w:val="0"/>
      <w:marRight w:val="0"/>
      <w:marTop w:val="0"/>
      <w:marBottom w:val="0"/>
      <w:divBdr>
        <w:top w:val="none" w:sz="0" w:space="0" w:color="auto"/>
        <w:left w:val="none" w:sz="0" w:space="0" w:color="auto"/>
        <w:bottom w:val="none" w:sz="0" w:space="0" w:color="auto"/>
        <w:right w:val="none" w:sz="0" w:space="0" w:color="auto"/>
      </w:divBdr>
    </w:div>
    <w:div w:id="1195079631">
      <w:bodyDiv w:val="1"/>
      <w:marLeft w:val="0"/>
      <w:marRight w:val="0"/>
      <w:marTop w:val="0"/>
      <w:marBottom w:val="0"/>
      <w:divBdr>
        <w:top w:val="none" w:sz="0" w:space="0" w:color="auto"/>
        <w:left w:val="none" w:sz="0" w:space="0" w:color="auto"/>
        <w:bottom w:val="none" w:sz="0" w:space="0" w:color="auto"/>
        <w:right w:val="none" w:sz="0" w:space="0" w:color="auto"/>
      </w:divBdr>
    </w:div>
    <w:div w:id="1216114610">
      <w:bodyDiv w:val="1"/>
      <w:marLeft w:val="0"/>
      <w:marRight w:val="0"/>
      <w:marTop w:val="0"/>
      <w:marBottom w:val="0"/>
      <w:divBdr>
        <w:top w:val="none" w:sz="0" w:space="0" w:color="auto"/>
        <w:left w:val="none" w:sz="0" w:space="0" w:color="auto"/>
        <w:bottom w:val="none" w:sz="0" w:space="0" w:color="auto"/>
        <w:right w:val="none" w:sz="0" w:space="0" w:color="auto"/>
      </w:divBdr>
    </w:div>
    <w:div w:id="1216699108">
      <w:bodyDiv w:val="1"/>
      <w:marLeft w:val="0"/>
      <w:marRight w:val="0"/>
      <w:marTop w:val="0"/>
      <w:marBottom w:val="0"/>
      <w:divBdr>
        <w:top w:val="none" w:sz="0" w:space="0" w:color="auto"/>
        <w:left w:val="none" w:sz="0" w:space="0" w:color="auto"/>
        <w:bottom w:val="none" w:sz="0" w:space="0" w:color="auto"/>
        <w:right w:val="none" w:sz="0" w:space="0" w:color="auto"/>
      </w:divBdr>
    </w:div>
    <w:div w:id="1218055526">
      <w:bodyDiv w:val="1"/>
      <w:marLeft w:val="0"/>
      <w:marRight w:val="0"/>
      <w:marTop w:val="0"/>
      <w:marBottom w:val="0"/>
      <w:divBdr>
        <w:top w:val="none" w:sz="0" w:space="0" w:color="auto"/>
        <w:left w:val="none" w:sz="0" w:space="0" w:color="auto"/>
        <w:bottom w:val="none" w:sz="0" w:space="0" w:color="auto"/>
        <w:right w:val="none" w:sz="0" w:space="0" w:color="auto"/>
      </w:divBdr>
    </w:div>
    <w:div w:id="1221987614">
      <w:bodyDiv w:val="1"/>
      <w:marLeft w:val="0"/>
      <w:marRight w:val="0"/>
      <w:marTop w:val="0"/>
      <w:marBottom w:val="0"/>
      <w:divBdr>
        <w:top w:val="none" w:sz="0" w:space="0" w:color="auto"/>
        <w:left w:val="none" w:sz="0" w:space="0" w:color="auto"/>
        <w:bottom w:val="none" w:sz="0" w:space="0" w:color="auto"/>
        <w:right w:val="none" w:sz="0" w:space="0" w:color="auto"/>
      </w:divBdr>
    </w:div>
    <w:div w:id="1237739370">
      <w:bodyDiv w:val="1"/>
      <w:marLeft w:val="0"/>
      <w:marRight w:val="0"/>
      <w:marTop w:val="0"/>
      <w:marBottom w:val="0"/>
      <w:divBdr>
        <w:top w:val="none" w:sz="0" w:space="0" w:color="auto"/>
        <w:left w:val="none" w:sz="0" w:space="0" w:color="auto"/>
        <w:bottom w:val="none" w:sz="0" w:space="0" w:color="auto"/>
        <w:right w:val="none" w:sz="0" w:space="0" w:color="auto"/>
      </w:divBdr>
    </w:div>
    <w:div w:id="1270353291">
      <w:bodyDiv w:val="1"/>
      <w:marLeft w:val="0"/>
      <w:marRight w:val="0"/>
      <w:marTop w:val="0"/>
      <w:marBottom w:val="0"/>
      <w:divBdr>
        <w:top w:val="none" w:sz="0" w:space="0" w:color="auto"/>
        <w:left w:val="none" w:sz="0" w:space="0" w:color="auto"/>
        <w:bottom w:val="none" w:sz="0" w:space="0" w:color="auto"/>
        <w:right w:val="none" w:sz="0" w:space="0" w:color="auto"/>
      </w:divBdr>
    </w:div>
    <w:div w:id="1291326689">
      <w:bodyDiv w:val="1"/>
      <w:marLeft w:val="0"/>
      <w:marRight w:val="0"/>
      <w:marTop w:val="0"/>
      <w:marBottom w:val="0"/>
      <w:divBdr>
        <w:top w:val="none" w:sz="0" w:space="0" w:color="auto"/>
        <w:left w:val="none" w:sz="0" w:space="0" w:color="auto"/>
        <w:bottom w:val="none" w:sz="0" w:space="0" w:color="auto"/>
        <w:right w:val="none" w:sz="0" w:space="0" w:color="auto"/>
      </w:divBdr>
    </w:div>
    <w:div w:id="1299648566">
      <w:bodyDiv w:val="1"/>
      <w:marLeft w:val="0"/>
      <w:marRight w:val="0"/>
      <w:marTop w:val="0"/>
      <w:marBottom w:val="0"/>
      <w:divBdr>
        <w:top w:val="none" w:sz="0" w:space="0" w:color="auto"/>
        <w:left w:val="none" w:sz="0" w:space="0" w:color="auto"/>
        <w:bottom w:val="none" w:sz="0" w:space="0" w:color="auto"/>
        <w:right w:val="none" w:sz="0" w:space="0" w:color="auto"/>
      </w:divBdr>
    </w:div>
    <w:div w:id="1318339833">
      <w:bodyDiv w:val="1"/>
      <w:marLeft w:val="0"/>
      <w:marRight w:val="0"/>
      <w:marTop w:val="0"/>
      <w:marBottom w:val="0"/>
      <w:divBdr>
        <w:top w:val="none" w:sz="0" w:space="0" w:color="auto"/>
        <w:left w:val="none" w:sz="0" w:space="0" w:color="auto"/>
        <w:bottom w:val="none" w:sz="0" w:space="0" w:color="auto"/>
        <w:right w:val="none" w:sz="0" w:space="0" w:color="auto"/>
      </w:divBdr>
    </w:div>
    <w:div w:id="1318799847">
      <w:bodyDiv w:val="1"/>
      <w:marLeft w:val="0"/>
      <w:marRight w:val="0"/>
      <w:marTop w:val="0"/>
      <w:marBottom w:val="0"/>
      <w:divBdr>
        <w:top w:val="none" w:sz="0" w:space="0" w:color="auto"/>
        <w:left w:val="none" w:sz="0" w:space="0" w:color="auto"/>
        <w:bottom w:val="none" w:sz="0" w:space="0" w:color="auto"/>
        <w:right w:val="none" w:sz="0" w:space="0" w:color="auto"/>
      </w:divBdr>
    </w:div>
    <w:div w:id="1320764497">
      <w:bodyDiv w:val="1"/>
      <w:marLeft w:val="0"/>
      <w:marRight w:val="0"/>
      <w:marTop w:val="0"/>
      <w:marBottom w:val="0"/>
      <w:divBdr>
        <w:top w:val="none" w:sz="0" w:space="0" w:color="auto"/>
        <w:left w:val="none" w:sz="0" w:space="0" w:color="auto"/>
        <w:bottom w:val="none" w:sz="0" w:space="0" w:color="auto"/>
        <w:right w:val="none" w:sz="0" w:space="0" w:color="auto"/>
      </w:divBdr>
    </w:div>
    <w:div w:id="1339886943">
      <w:bodyDiv w:val="1"/>
      <w:marLeft w:val="0"/>
      <w:marRight w:val="0"/>
      <w:marTop w:val="0"/>
      <w:marBottom w:val="0"/>
      <w:divBdr>
        <w:top w:val="none" w:sz="0" w:space="0" w:color="auto"/>
        <w:left w:val="none" w:sz="0" w:space="0" w:color="auto"/>
        <w:bottom w:val="none" w:sz="0" w:space="0" w:color="auto"/>
        <w:right w:val="none" w:sz="0" w:space="0" w:color="auto"/>
      </w:divBdr>
    </w:div>
    <w:div w:id="1376811204">
      <w:bodyDiv w:val="1"/>
      <w:marLeft w:val="0"/>
      <w:marRight w:val="0"/>
      <w:marTop w:val="0"/>
      <w:marBottom w:val="0"/>
      <w:divBdr>
        <w:top w:val="none" w:sz="0" w:space="0" w:color="auto"/>
        <w:left w:val="none" w:sz="0" w:space="0" w:color="auto"/>
        <w:bottom w:val="none" w:sz="0" w:space="0" w:color="auto"/>
        <w:right w:val="none" w:sz="0" w:space="0" w:color="auto"/>
      </w:divBdr>
    </w:div>
    <w:div w:id="1392272676">
      <w:bodyDiv w:val="1"/>
      <w:marLeft w:val="0"/>
      <w:marRight w:val="0"/>
      <w:marTop w:val="0"/>
      <w:marBottom w:val="0"/>
      <w:divBdr>
        <w:top w:val="none" w:sz="0" w:space="0" w:color="auto"/>
        <w:left w:val="none" w:sz="0" w:space="0" w:color="auto"/>
        <w:bottom w:val="none" w:sz="0" w:space="0" w:color="auto"/>
        <w:right w:val="none" w:sz="0" w:space="0" w:color="auto"/>
      </w:divBdr>
    </w:div>
    <w:div w:id="1416434915">
      <w:bodyDiv w:val="1"/>
      <w:marLeft w:val="0"/>
      <w:marRight w:val="0"/>
      <w:marTop w:val="0"/>
      <w:marBottom w:val="0"/>
      <w:divBdr>
        <w:top w:val="none" w:sz="0" w:space="0" w:color="auto"/>
        <w:left w:val="none" w:sz="0" w:space="0" w:color="auto"/>
        <w:bottom w:val="none" w:sz="0" w:space="0" w:color="auto"/>
        <w:right w:val="none" w:sz="0" w:space="0" w:color="auto"/>
      </w:divBdr>
    </w:div>
    <w:div w:id="1434279378">
      <w:bodyDiv w:val="1"/>
      <w:marLeft w:val="0"/>
      <w:marRight w:val="0"/>
      <w:marTop w:val="0"/>
      <w:marBottom w:val="0"/>
      <w:divBdr>
        <w:top w:val="none" w:sz="0" w:space="0" w:color="auto"/>
        <w:left w:val="none" w:sz="0" w:space="0" w:color="auto"/>
        <w:bottom w:val="none" w:sz="0" w:space="0" w:color="auto"/>
        <w:right w:val="none" w:sz="0" w:space="0" w:color="auto"/>
      </w:divBdr>
    </w:div>
    <w:div w:id="1439526080">
      <w:bodyDiv w:val="1"/>
      <w:marLeft w:val="0"/>
      <w:marRight w:val="0"/>
      <w:marTop w:val="0"/>
      <w:marBottom w:val="0"/>
      <w:divBdr>
        <w:top w:val="none" w:sz="0" w:space="0" w:color="auto"/>
        <w:left w:val="none" w:sz="0" w:space="0" w:color="auto"/>
        <w:bottom w:val="none" w:sz="0" w:space="0" w:color="auto"/>
        <w:right w:val="none" w:sz="0" w:space="0" w:color="auto"/>
      </w:divBdr>
    </w:div>
    <w:div w:id="1447307948">
      <w:bodyDiv w:val="1"/>
      <w:marLeft w:val="0"/>
      <w:marRight w:val="0"/>
      <w:marTop w:val="0"/>
      <w:marBottom w:val="0"/>
      <w:divBdr>
        <w:top w:val="none" w:sz="0" w:space="0" w:color="auto"/>
        <w:left w:val="none" w:sz="0" w:space="0" w:color="auto"/>
        <w:bottom w:val="none" w:sz="0" w:space="0" w:color="auto"/>
        <w:right w:val="none" w:sz="0" w:space="0" w:color="auto"/>
      </w:divBdr>
    </w:div>
    <w:div w:id="1462113276">
      <w:bodyDiv w:val="1"/>
      <w:marLeft w:val="0"/>
      <w:marRight w:val="0"/>
      <w:marTop w:val="0"/>
      <w:marBottom w:val="0"/>
      <w:divBdr>
        <w:top w:val="none" w:sz="0" w:space="0" w:color="auto"/>
        <w:left w:val="none" w:sz="0" w:space="0" w:color="auto"/>
        <w:bottom w:val="none" w:sz="0" w:space="0" w:color="auto"/>
        <w:right w:val="none" w:sz="0" w:space="0" w:color="auto"/>
      </w:divBdr>
    </w:div>
    <w:div w:id="1465931074">
      <w:bodyDiv w:val="1"/>
      <w:marLeft w:val="0"/>
      <w:marRight w:val="0"/>
      <w:marTop w:val="0"/>
      <w:marBottom w:val="0"/>
      <w:divBdr>
        <w:top w:val="none" w:sz="0" w:space="0" w:color="auto"/>
        <w:left w:val="none" w:sz="0" w:space="0" w:color="auto"/>
        <w:bottom w:val="none" w:sz="0" w:space="0" w:color="auto"/>
        <w:right w:val="none" w:sz="0" w:space="0" w:color="auto"/>
      </w:divBdr>
    </w:div>
    <w:div w:id="1477071723">
      <w:bodyDiv w:val="1"/>
      <w:marLeft w:val="0"/>
      <w:marRight w:val="0"/>
      <w:marTop w:val="0"/>
      <w:marBottom w:val="0"/>
      <w:divBdr>
        <w:top w:val="none" w:sz="0" w:space="0" w:color="auto"/>
        <w:left w:val="none" w:sz="0" w:space="0" w:color="auto"/>
        <w:bottom w:val="none" w:sz="0" w:space="0" w:color="auto"/>
        <w:right w:val="none" w:sz="0" w:space="0" w:color="auto"/>
      </w:divBdr>
    </w:div>
    <w:div w:id="1510951269">
      <w:bodyDiv w:val="1"/>
      <w:marLeft w:val="0"/>
      <w:marRight w:val="0"/>
      <w:marTop w:val="0"/>
      <w:marBottom w:val="0"/>
      <w:divBdr>
        <w:top w:val="none" w:sz="0" w:space="0" w:color="auto"/>
        <w:left w:val="none" w:sz="0" w:space="0" w:color="auto"/>
        <w:bottom w:val="none" w:sz="0" w:space="0" w:color="auto"/>
        <w:right w:val="none" w:sz="0" w:space="0" w:color="auto"/>
      </w:divBdr>
    </w:div>
    <w:div w:id="1525023160">
      <w:bodyDiv w:val="1"/>
      <w:marLeft w:val="0"/>
      <w:marRight w:val="0"/>
      <w:marTop w:val="0"/>
      <w:marBottom w:val="0"/>
      <w:divBdr>
        <w:top w:val="none" w:sz="0" w:space="0" w:color="auto"/>
        <w:left w:val="none" w:sz="0" w:space="0" w:color="auto"/>
        <w:bottom w:val="none" w:sz="0" w:space="0" w:color="auto"/>
        <w:right w:val="none" w:sz="0" w:space="0" w:color="auto"/>
      </w:divBdr>
    </w:div>
    <w:div w:id="1532262479">
      <w:bodyDiv w:val="1"/>
      <w:marLeft w:val="0"/>
      <w:marRight w:val="0"/>
      <w:marTop w:val="0"/>
      <w:marBottom w:val="0"/>
      <w:divBdr>
        <w:top w:val="none" w:sz="0" w:space="0" w:color="auto"/>
        <w:left w:val="none" w:sz="0" w:space="0" w:color="auto"/>
        <w:bottom w:val="none" w:sz="0" w:space="0" w:color="auto"/>
        <w:right w:val="none" w:sz="0" w:space="0" w:color="auto"/>
      </w:divBdr>
    </w:div>
    <w:div w:id="1545169871">
      <w:bodyDiv w:val="1"/>
      <w:marLeft w:val="0"/>
      <w:marRight w:val="0"/>
      <w:marTop w:val="0"/>
      <w:marBottom w:val="0"/>
      <w:divBdr>
        <w:top w:val="none" w:sz="0" w:space="0" w:color="auto"/>
        <w:left w:val="none" w:sz="0" w:space="0" w:color="auto"/>
        <w:bottom w:val="none" w:sz="0" w:space="0" w:color="auto"/>
        <w:right w:val="none" w:sz="0" w:space="0" w:color="auto"/>
      </w:divBdr>
    </w:div>
    <w:div w:id="1547183118">
      <w:bodyDiv w:val="1"/>
      <w:marLeft w:val="0"/>
      <w:marRight w:val="0"/>
      <w:marTop w:val="0"/>
      <w:marBottom w:val="0"/>
      <w:divBdr>
        <w:top w:val="none" w:sz="0" w:space="0" w:color="auto"/>
        <w:left w:val="none" w:sz="0" w:space="0" w:color="auto"/>
        <w:bottom w:val="none" w:sz="0" w:space="0" w:color="auto"/>
        <w:right w:val="none" w:sz="0" w:space="0" w:color="auto"/>
      </w:divBdr>
    </w:div>
    <w:div w:id="1552502309">
      <w:bodyDiv w:val="1"/>
      <w:marLeft w:val="0"/>
      <w:marRight w:val="0"/>
      <w:marTop w:val="0"/>
      <w:marBottom w:val="0"/>
      <w:divBdr>
        <w:top w:val="none" w:sz="0" w:space="0" w:color="auto"/>
        <w:left w:val="none" w:sz="0" w:space="0" w:color="auto"/>
        <w:bottom w:val="none" w:sz="0" w:space="0" w:color="auto"/>
        <w:right w:val="none" w:sz="0" w:space="0" w:color="auto"/>
      </w:divBdr>
    </w:div>
    <w:div w:id="1562213937">
      <w:bodyDiv w:val="1"/>
      <w:marLeft w:val="0"/>
      <w:marRight w:val="0"/>
      <w:marTop w:val="0"/>
      <w:marBottom w:val="0"/>
      <w:divBdr>
        <w:top w:val="none" w:sz="0" w:space="0" w:color="auto"/>
        <w:left w:val="none" w:sz="0" w:space="0" w:color="auto"/>
        <w:bottom w:val="none" w:sz="0" w:space="0" w:color="auto"/>
        <w:right w:val="none" w:sz="0" w:space="0" w:color="auto"/>
      </w:divBdr>
    </w:div>
    <w:div w:id="1570992493">
      <w:bodyDiv w:val="1"/>
      <w:marLeft w:val="0"/>
      <w:marRight w:val="0"/>
      <w:marTop w:val="0"/>
      <w:marBottom w:val="0"/>
      <w:divBdr>
        <w:top w:val="none" w:sz="0" w:space="0" w:color="auto"/>
        <w:left w:val="none" w:sz="0" w:space="0" w:color="auto"/>
        <w:bottom w:val="none" w:sz="0" w:space="0" w:color="auto"/>
        <w:right w:val="none" w:sz="0" w:space="0" w:color="auto"/>
      </w:divBdr>
    </w:div>
    <w:div w:id="1600487418">
      <w:bodyDiv w:val="1"/>
      <w:marLeft w:val="0"/>
      <w:marRight w:val="0"/>
      <w:marTop w:val="0"/>
      <w:marBottom w:val="0"/>
      <w:divBdr>
        <w:top w:val="none" w:sz="0" w:space="0" w:color="auto"/>
        <w:left w:val="none" w:sz="0" w:space="0" w:color="auto"/>
        <w:bottom w:val="none" w:sz="0" w:space="0" w:color="auto"/>
        <w:right w:val="none" w:sz="0" w:space="0" w:color="auto"/>
      </w:divBdr>
    </w:div>
    <w:div w:id="1619682052">
      <w:bodyDiv w:val="1"/>
      <w:marLeft w:val="0"/>
      <w:marRight w:val="0"/>
      <w:marTop w:val="0"/>
      <w:marBottom w:val="0"/>
      <w:divBdr>
        <w:top w:val="none" w:sz="0" w:space="0" w:color="auto"/>
        <w:left w:val="none" w:sz="0" w:space="0" w:color="auto"/>
        <w:bottom w:val="none" w:sz="0" w:space="0" w:color="auto"/>
        <w:right w:val="none" w:sz="0" w:space="0" w:color="auto"/>
      </w:divBdr>
    </w:div>
    <w:div w:id="1625965313">
      <w:bodyDiv w:val="1"/>
      <w:marLeft w:val="0"/>
      <w:marRight w:val="0"/>
      <w:marTop w:val="0"/>
      <w:marBottom w:val="0"/>
      <w:divBdr>
        <w:top w:val="none" w:sz="0" w:space="0" w:color="auto"/>
        <w:left w:val="none" w:sz="0" w:space="0" w:color="auto"/>
        <w:bottom w:val="none" w:sz="0" w:space="0" w:color="auto"/>
        <w:right w:val="none" w:sz="0" w:space="0" w:color="auto"/>
      </w:divBdr>
    </w:div>
    <w:div w:id="1632856871">
      <w:bodyDiv w:val="1"/>
      <w:marLeft w:val="0"/>
      <w:marRight w:val="0"/>
      <w:marTop w:val="0"/>
      <w:marBottom w:val="0"/>
      <w:divBdr>
        <w:top w:val="none" w:sz="0" w:space="0" w:color="auto"/>
        <w:left w:val="none" w:sz="0" w:space="0" w:color="auto"/>
        <w:bottom w:val="none" w:sz="0" w:space="0" w:color="auto"/>
        <w:right w:val="none" w:sz="0" w:space="0" w:color="auto"/>
      </w:divBdr>
    </w:div>
    <w:div w:id="1649630076">
      <w:bodyDiv w:val="1"/>
      <w:marLeft w:val="0"/>
      <w:marRight w:val="0"/>
      <w:marTop w:val="0"/>
      <w:marBottom w:val="0"/>
      <w:divBdr>
        <w:top w:val="none" w:sz="0" w:space="0" w:color="auto"/>
        <w:left w:val="none" w:sz="0" w:space="0" w:color="auto"/>
        <w:bottom w:val="none" w:sz="0" w:space="0" w:color="auto"/>
        <w:right w:val="none" w:sz="0" w:space="0" w:color="auto"/>
      </w:divBdr>
    </w:div>
    <w:div w:id="1658999587">
      <w:bodyDiv w:val="1"/>
      <w:marLeft w:val="0"/>
      <w:marRight w:val="0"/>
      <w:marTop w:val="0"/>
      <w:marBottom w:val="0"/>
      <w:divBdr>
        <w:top w:val="none" w:sz="0" w:space="0" w:color="auto"/>
        <w:left w:val="none" w:sz="0" w:space="0" w:color="auto"/>
        <w:bottom w:val="none" w:sz="0" w:space="0" w:color="auto"/>
        <w:right w:val="none" w:sz="0" w:space="0" w:color="auto"/>
      </w:divBdr>
    </w:div>
    <w:div w:id="1659993941">
      <w:bodyDiv w:val="1"/>
      <w:marLeft w:val="0"/>
      <w:marRight w:val="0"/>
      <w:marTop w:val="0"/>
      <w:marBottom w:val="0"/>
      <w:divBdr>
        <w:top w:val="none" w:sz="0" w:space="0" w:color="auto"/>
        <w:left w:val="none" w:sz="0" w:space="0" w:color="auto"/>
        <w:bottom w:val="none" w:sz="0" w:space="0" w:color="auto"/>
        <w:right w:val="none" w:sz="0" w:space="0" w:color="auto"/>
      </w:divBdr>
    </w:div>
    <w:div w:id="1675256180">
      <w:bodyDiv w:val="1"/>
      <w:marLeft w:val="0"/>
      <w:marRight w:val="0"/>
      <w:marTop w:val="0"/>
      <w:marBottom w:val="0"/>
      <w:divBdr>
        <w:top w:val="none" w:sz="0" w:space="0" w:color="auto"/>
        <w:left w:val="none" w:sz="0" w:space="0" w:color="auto"/>
        <w:bottom w:val="none" w:sz="0" w:space="0" w:color="auto"/>
        <w:right w:val="none" w:sz="0" w:space="0" w:color="auto"/>
      </w:divBdr>
    </w:div>
    <w:div w:id="1714384929">
      <w:bodyDiv w:val="1"/>
      <w:marLeft w:val="0"/>
      <w:marRight w:val="0"/>
      <w:marTop w:val="0"/>
      <w:marBottom w:val="0"/>
      <w:divBdr>
        <w:top w:val="none" w:sz="0" w:space="0" w:color="auto"/>
        <w:left w:val="none" w:sz="0" w:space="0" w:color="auto"/>
        <w:bottom w:val="none" w:sz="0" w:space="0" w:color="auto"/>
        <w:right w:val="none" w:sz="0" w:space="0" w:color="auto"/>
      </w:divBdr>
    </w:div>
    <w:div w:id="1717388416">
      <w:bodyDiv w:val="1"/>
      <w:marLeft w:val="0"/>
      <w:marRight w:val="0"/>
      <w:marTop w:val="0"/>
      <w:marBottom w:val="0"/>
      <w:divBdr>
        <w:top w:val="none" w:sz="0" w:space="0" w:color="auto"/>
        <w:left w:val="none" w:sz="0" w:space="0" w:color="auto"/>
        <w:bottom w:val="none" w:sz="0" w:space="0" w:color="auto"/>
        <w:right w:val="none" w:sz="0" w:space="0" w:color="auto"/>
      </w:divBdr>
    </w:div>
    <w:div w:id="1738818614">
      <w:bodyDiv w:val="1"/>
      <w:marLeft w:val="0"/>
      <w:marRight w:val="0"/>
      <w:marTop w:val="0"/>
      <w:marBottom w:val="0"/>
      <w:divBdr>
        <w:top w:val="none" w:sz="0" w:space="0" w:color="auto"/>
        <w:left w:val="none" w:sz="0" w:space="0" w:color="auto"/>
        <w:bottom w:val="none" w:sz="0" w:space="0" w:color="auto"/>
        <w:right w:val="none" w:sz="0" w:space="0" w:color="auto"/>
      </w:divBdr>
    </w:div>
    <w:div w:id="1771587733">
      <w:bodyDiv w:val="1"/>
      <w:marLeft w:val="0"/>
      <w:marRight w:val="0"/>
      <w:marTop w:val="0"/>
      <w:marBottom w:val="0"/>
      <w:divBdr>
        <w:top w:val="none" w:sz="0" w:space="0" w:color="auto"/>
        <w:left w:val="none" w:sz="0" w:space="0" w:color="auto"/>
        <w:bottom w:val="none" w:sz="0" w:space="0" w:color="auto"/>
        <w:right w:val="none" w:sz="0" w:space="0" w:color="auto"/>
      </w:divBdr>
    </w:div>
    <w:div w:id="1771703816">
      <w:bodyDiv w:val="1"/>
      <w:marLeft w:val="0"/>
      <w:marRight w:val="0"/>
      <w:marTop w:val="0"/>
      <w:marBottom w:val="0"/>
      <w:divBdr>
        <w:top w:val="none" w:sz="0" w:space="0" w:color="auto"/>
        <w:left w:val="none" w:sz="0" w:space="0" w:color="auto"/>
        <w:bottom w:val="none" w:sz="0" w:space="0" w:color="auto"/>
        <w:right w:val="none" w:sz="0" w:space="0" w:color="auto"/>
      </w:divBdr>
    </w:div>
    <w:div w:id="1776515417">
      <w:bodyDiv w:val="1"/>
      <w:marLeft w:val="0"/>
      <w:marRight w:val="0"/>
      <w:marTop w:val="0"/>
      <w:marBottom w:val="0"/>
      <w:divBdr>
        <w:top w:val="none" w:sz="0" w:space="0" w:color="auto"/>
        <w:left w:val="none" w:sz="0" w:space="0" w:color="auto"/>
        <w:bottom w:val="none" w:sz="0" w:space="0" w:color="auto"/>
        <w:right w:val="none" w:sz="0" w:space="0" w:color="auto"/>
      </w:divBdr>
    </w:div>
    <w:div w:id="1777946616">
      <w:bodyDiv w:val="1"/>
      <w:marLeft w:val="0"/>
      <w:marRight w:val="0"/>
      <w:marTop w:val="0"/>
      <w:marBottom w:val="0"/>
      <w:divBdr>
        <w:top w:val="none" w:sz="0" w:space="0" w:color="auto"/>
        <w:left w:val="none" w:sz="0" w:space="0" w:color="auto"/>
        <w:bottom w:val="none" w:sz="0" w:space="0" w:color="auto"/>
        <w:right w:val="none" w:sz="0" w:space="0" w:color="auto"/>
      </w:divBdr>
    </w:div>
    <w:div w:id="1781991210">
      <w:bodyDiv w:val="1"/>
      <w:marLeft w:val="0"/>
      <w:marRight w:val="0"/>
      <w:marTop w:val="0"/>
      <w:marBottom w:val="0"/>
      <w:divBdr>
        <w:top w:val="none" w:sz="0" w:space="0" w:color="auto"/>
        <w:left w:val="none" w:sz="0" w:space="0" w:color="auto"/>
        <w:bottom w:val="none" w:sz="0" w:space="0" w:color="auto"/>
        <w:right w:val="none" w:sz="0" w:space="0" w:color="auto"/>
      </w:divBdr>
    </w:div>
    <w:div w:id="1804499724">
      <w:bodyDiv w:val="1"/>
      <w:marLeft w:val="0"/>
      <w:marRight w:val="0"/>
      <w:marTop w:val="0"/>
      <w:marBottom w:val="0"/>
      <w:divBdr>
        <w:top w:val="none" w:sz="0" w:space="0" w:color="auto"/>
        <w:left w:val="none" w:sz="0" w:space="0" w:color="auto"/>
        <w:bottom w:val="none" w:sz="0" w:space="0" w:color="auto"/>
        <w:right w:val="none" w:sz="0" w:space="0" w:color="auto"/>
      </w:divBdr>
    </w:div>
    <w:div w:id="1808471748">
      <w:bodyDiv w:val="1"/>
      <w:marLeft w:val="0"/>
      <w:marRight w:val="0"/>
      <w:marTop w:val="0"/>
      <w:marBottom w:val="0"/>
      <w:divBdr>
        <w:top w:val="none" w:sz="0" w:space="0" w:color="auto"/>
        <w:left w:val="none" w:sz="0" w:space="0" w:color="auto"/>
        <w:bottom w:val="none" w:sz="0" w:space="0" w:color="auto"/>
        <w:right w:val="none" w:sz="0" w:space="0" w:color="auto"/>
      </w:divBdr>
    </w:div>
    <w:div w:id="1809516800">
      <w:bodyDiv w:val="1"/>
      <w:marLeft w:val="0"/>
      <w:marRight w:val="0"/>
      <w:marTop w:val="0"/>
      <w:marBottom w:val="0"/>
      <w:divBdr>
        <w:top w:val="none" w:sz="0" w:space="0" w:color="auto"/>
        <w:left w:val="none" w:sz="0" w:space="0" w:color="auto"/>
        <w:bottom w:val="none" w:sz="0" w:space="0" w:color="auto"/>
        <w:right w:val="none" w:sz="0" w:space="0" w:color="auto"/>
      </w:divBdr>
    </w:div>
    <w:div w:id="1820265530">
      <w:bodyDiv w:val="1"/>
      <w:marLeft w:val="0"/>
      <w:marRight w:val="0"/>
      <w:marTop w:val="0"/>
      <w:marBottom w:val="0"/>
      <w:divBdr>
        <w:top w:val="none" w:sz="0" w:space="0" w:color="auto"/>
        <w:left w:val="none" w:sz="0" w:space="0" w:color="auto"/>
        <w:bottom w:val="none" w:sz="0" w:space="0" w:color="auto"/>
        <w:right w:val="none" w:sz="0" w:space="0" w:color="auto"/>
      </w:divBdr>
    </w:div>
    <w:div w:id="1861970322">
      <w:bodyDiv w:val="1"/>
      <w:marLeft w:val="0"/>
      <w:marRight w:val="0"/>
      <w:marTop w:val="0"/>
      <w:marBottom w:val="0"/>
      <w:divBdr>
        <w:top w:val="none" w:sz="0" w:space="0" w:color="auto"/>
        <w:left w:val="none" w:sz="0" w:space="0" w:color="auto"/>
        <w:bottom w:val="none" w:sz="0" w:space="0" w:color="auto"/>
        <w:right w:val="none" w:sz="0" w:space="0" w:color="auto"/>
      </w:divBdr>
    </w:div>
    <w:div w:id="1863204827">
      <w:bodyDiv w:val="1"/>
      <w:marLeft w:val="0"/>
      <w:marRight w:val="0"/>
      <w:marTop w:val="0"/>
      <w:marBottom w:val="0"/>
      <w:divBdr>
        <w:top w:val="none" w:sz="0" w:space="0" w:color="auto"/>
        <w:left w:val="none" w:sz="0" w:space="0" w:color="auto"/>
        <w:bottom w:val="none" w:sz="0" w:space="0" w:color="auto"/>
        <w:right w:val="none" w:sz="0" w:space="0" w:color="auto"/>
      </w:divBdr>
    </w:div>
    <w:div w:id="1865442974">
      <w:bodyDiv w:val="1"/>
      <w:marLeft w:val="0"/>
      <w:marRight w:val="0"/>
      <w:marTop w:val="0"/>
      <w:marBottom w:val="0"/>
      <w:divBdr>
        <w:top w:val="none" w:sz="0" w:space="0" w:color="auto"/>
        <w:left w:val="none" w:sz="0" w:space="0" w:color="auto"/>
        <w:bottom w:val="none" w:sz="0" w:space="0" w:color="auto"/>
        <w:right w:val="none" w:sz="0" w:space="0" w:color="auto"/>
      </w:divBdr>
    </w:div>
    <w:div w:id="1878396781">
      <w:bodyDiv w:val="1"/>
      <w:marLeft w:val="0"/>
      <w:marRight w:val="0"/>
      <w:marTop w:val="0"/>
      <w:marBottom w:val="0"/>
      <w:divBdr>
        <w:top w:val="none" w:sz="0" w:space="0" w:color="auto"/>
        <w:left w:val="none" w:sz="0" w:space="0" w:color="auto"/>
        <w:bottom w:val="none" w:sz="0" w:space="0" w:color="auto"/>
        <w:right w:val="none" w:sz="0" w:space="0" w:color="auto"/>
      </w:divBdr>
    </w:div>
    <w:div w:id="1900969098">
      <w:bodyDiv w:val="1"/>
      <w:marLeft w:val="0"/>
      <w:marRight w:val="0"/>
      <w:marTop w:val="0"/>
      <w:marBottom w:val="0"/>
      <w:divBdr>
        <w:top w:val="none" w:sz="0" w:space="0" w:color="auto"/>
        <w:left w:val="none" w:sz="0" w:space="0" w:color="auto"/>
        <w:bottom w:val="none" w:sz="0" w:space="0" w:color="auto"/>
        <w:right w:val="none" w:sz="0" w:space="0" w:color="auto"/>
      </w:divBdr>
    </w:div>
    <w:div w:id="1918981475">
      <w:bodyDiv w:val="1"/>
      <w:marLeft w:val="0"/>
      <w:marRight w:val="0"/>
      <w:marTop w:val="0"/>
      <w:marBottom w:val="0"/>
      <w:divBdr>
        <w:top w:val="none" w:sz="0" w:space="0" w:color="auto"/>
        <w:left w:val="none" w:sz="0" w:space="0" w:color="auto"/>
        <w:bottom w:val="none" w:sz="0" w:space="0" w:color="auto"/>
        <w:right w:val="none" w:sz="0" w:space="0" w:color="auto"/>
      </w:divBdr>
    </w:div>
    <w:div w:id="1930692262">
      <w:bodyDiv w:val="1"/>
      <w:marLeft w:val="0"/>
      <w:marRight w:val="0"/>
      <w:marTop w:val="0"/>
      <w:marBottom w:val="0"/>
      <w:divBdr>
        <w:top w:val="none" w:sz="0" w:space="0" w:color="auto"/>
        <w:left w:val="none" w:sz="0" w:space="0" w:color="auto"/>
        <w:bottom w:val="none" w:sz="0" w:space="0" w:color="auto"/>
        <w:right w:val="none" w:sz="0" w:space="0" w:color="auto"/>
      </w:divBdr>
    </w:div>
    <w:div w:id="1945918103">
      <w:bodyDiv w:val="1"/>
      <w:marLeft w:val="0"/>
      <w:marRight w:val="0"/>
      <w:marTop w:val="0"/>
      <w:marBottom w:val="0"/>
      <w:divBdr>
        <w:top w:val="none" w:sz="0" w:space="0" w:color="auto"/>
        <w:left w:val="none" w:sz="0" w:space="0" w:color="auto"/>
        <w:bottom w:val="none" w:sz="0" w:space="0" w:color="auto"/>
        <w:right w:val="none" w:sz="0" w:space="0" w:color="auto"/>
      </w:divBdr>
      <w:divsChild>
        <w:div w:id="78911389">
          <w:marLeft w:val="1440"/>
          <w:marRight w:val="0"/>
          <w:marTop w:val="134"/>
          <w:marBottom w:val="0"/>
          <w:divBdr>
            <w:top w:val="none" w:sz="0" w:space="0" w:color="auto"/>
            <w:left w:val="none" w:sz="0" w:space="0" w:color="auto"/>
            <w:bottom w:val="none" w:sz="0" w:space="0" w:color="auto"/>
            <w:right w:val="none" w:sz="0" w:space="0" w:color="auto"/>
          </w:divBdr>
        </w:div>
        <w:div w:id="495923211">
          <w:marLeft w:val="1440"/>
          <w:marRight w:val="0"/>
          <w:marTop w:val="134"/>
          <w:marBottom w:val="0"/>
          <w:divBdr>
            <w:top w:val="none" w:sz="0" w:space="0" w:color="auto"/>
            <w:left w:val="none" w:sz="0" w:space="0" w:color="auto"/>
            <w:bottom w:val="none" w:sz="0" w:space="0" w:color="auto"/>
            <w:right w:val="none" w:sz="0" w:space="0" w:color="auto"/>
          </w:divBdr>
        </w:div>
        <w:div w:id="1580022804">
          <w:marLeft w:val="1440"/>
          <w:marRight w:val="0"/>
          <w:marTop w:val="134"/>
          <w:marBottom w:val="0"/>
          <w:divBdr>
            <w:top w:val="none" w:sz="0" w:space="0" w:color="auto"/>
            <w:left w:val="none" w:sz="0" w:space="0" w:color="auto"/>
            <w:bottom w:val="none" w:sz="0" w:space="0" w:color="auto"/>
            <w:right w:val="none" w:sz="0" w:space="0" w:color="auto"/>
          </w:divBdr>
        </w:div>
      </w:divsChild>
    </w:div>
    <w:div w:id="1947997709">
      <w:bodyDiv w:val="1"/>
      <w:marLeft w:val="0"/>
      <w:marRight w:val="0"/>
      <w:marTop w:val="0"/>
      <w:marBottom w:val="0"/>
      <w:divBdr>
        <w:top w:val="none" w:sz="0" w:space="0" w:color="auto"/>
        <w:left w:val="none" w:sz="0" w:space="0" w:color="auto"/>
        <w:bottom w:val="none" w:sz="0" w:space="0" w:color="auto"/>
        <w:right w:val="none" w:sz="0" w:space="0" w:color="auto"/>
      </w:divBdr>
    </w:div>
    <w:div w:id="1961841253">
      <w:bodyDiv w:val="1"/>
      <w:marLeft w:val="0"/>
      <w:marRight w:val="0"/>
      <w:marTop w:val="0"/>
      <w:marBottom w:val="0"/>
      <w:divBdr>
        <w:top w:val="none" w:sz="0" w:space="0" w:color="auto"/>
        <w:left w:val="none" w:sz="0" w:space="0" w:color="auto"/>
        <w:bottom w:val="none" w:sz="0" w:space="0" w:color="auto"/>
        <w:right w:val="none" w:sz="0" w:space="0" w:color="auto"/>
      </w:divBdr>
    </w:div>
    <w:div w:id="1974868587">
      <w:bodyDiv w:val="1"/>
      <w:marLeft w:val="0"/>
      <w:marRight w:val="0"/>
      <w:marTop w:val="0"/>
      <w:marBottom w:val="0"/>
      <w:divBdr>
        <w:top w:val="none" w:sz="0" w:space="0" w:color="auto"/>
        <w:left w:val="none" w:sz="0" w:space="0" w:color="auto"/>
        <w:bottom w:val="none" w:sz="0" w:space="0" w:color="auto"/>
        <w:right w:val="none" w:sz="0" w:space="0" w:color="auto"/>
      </w:divBdr>
    </w:div>
    <w:div w:id="1984846691">
      <w:bodyDiv w:val="1"/>
      <w:marLeft w:val="0"/>
      <w:marRight w:val="0"/>
      <w:marTop w:val="0"/>
      <w:marBottom w:val="0"/>
      <w:divBdr>
        <w:top w:val="none" w:sz="0" w:space="0" w:color="auto"/>
        <w:left w:val="none" w:sz="0" w:space="0" w:color="auto"/>
        <w:bottom w:val="none" w:sz="0" w:space="0" w:color="auto"/>
        <w:right w:val="none" w:sz="0" w:space="0" w:color="auto"/>
      </w:divBdr>
    </w:div>
    <w:div w:id="1988394011">
      <w:bodyDiv w:val="1"/>
      <w:marLeft w:val="0"/>
      <w:marRight w:val="0"/>
      <w:marTop w:val="0"/>
      <w:marBottom w:val="0"/>
      <w:divBdr>
        <w:top w:val="none" w:sz="0" w:space="0" w:color="auto"/>
        <w:left w:val="none" w:sz="0" w:space="0" w:color="auto"/>
        <w:bottom w:val="none" w:sz="0" w:space="0" w:color="auto"/>
        <w:right w:val="none" w:sz="0" w:space="0" w:color="auto"/>
      </w:divBdr>
    </w:div>
    <w:div w:id="1997949519">
      <w:bodyDiv w:val="1"/>
      <w:marLeft w:val="0"/>
      <w:marRight w:val="0"/>
      <w:marTop w:val="0"/>
      <w:marBottom w:val="0"/>
      <w:divBdr>
        <w:top w:val="none" w:sz="0" w:space="0" w:color="auto"/>
        <w:left w:val="none" w:sz="0" w:space="0" w:color="auto"/>
        <w:bottom w:val="none" w:sz="0" w:space="0" w:color="auto"/>
        <w:right w:val="none" w:sz="0" w:space="0" w:color="auto"/>
      </w:divBdr>
    </w:div>
    <w:div w:id="2008701518">
      <w:bodyDiv w:val="1"/>
      <w:marLeft w:val="0"/>
      <w:marRight w:val="0"/>
      <w:marTop w:val="0"/>
      <w:marBottom w:val="0"/>
      <w:divBdr>
        <w:top w:val="none" w:sz="0" w:space="0" w:color="auto"/>
        <w:left w:val="none" w:sz="0" w:space="0" w:color="auto"/>
        <w:bottom w:val="none" w:sz="0" w:space="0" w:color="auto"/>
        <w:right w:val="none" w:sz="0" w:space="0" w:color="auto"/>
      </w:divBdr>
    </w:div>
    <w:div w:id="2021662855">
      <w:bodyDiv w:val="1"/>
      <w:marLeft w:val="0"/>
      <w:marRight w:val="0"/>
      <w:marTop w:val="0"/>
      <w:marBottom w:val="0"/>
      <w:divBdr>
        <w:top w:val="none" w:sz="0" w:space="0" w:color="auto"/>
        <w:left w:val="none" w:sz="0" w:space="0" w:color="auto"/>
        <w:bottom w:val="none" w:sz="0" w:space="0" w:color="auto"/>
        <w:right w:val="none" w:sz="0" w:space="0" w:color="auto"/>
      </w:divBdr>
    </w:div>
    <w:div w:id="2028099151">
      <w:bodyDiv w:val="1"/>
      <w:marLeft w:val="0"/>
      <w:marRight w:val="0"/>
      <w:marTop w:val="0"/>
      <w:marBottom w:val="0"/>
      <w:divBdr>
        <w:top w:val="none" w:sz="0" w:space="0" w:color="auto"/>
        <w:left w:val="none" w:sz="0" w:space="0" w:color="auto"/>
        <w:bottom w:val="none" w:sz="0" w:space="0" w:color="auto"/>
        <w:right w:val="none" w:sz="0" w:space="0" w:color="auto"/>
      </w:divBdr>
    </w:div>
    <w:div w:id="2033649790">
      <w:bodyDiv w:val="1"/>
      <w:marLeft w:val="0"/>
      <w:marRight w:val="0"/>
      <w:marTop w:val="0"/>
      <w:marBottom w:val="0"/>
      <w:divBdr>
        <w:top w:val="none" w:sz="0" w:space="0" w:color="auto"/>
        <w:left w:val="none" w:sz="0" w:space="0" w:color="auto"/>
        <w:bottom w:val="none" w:sz="0" w:space="0" w:color="auto"/>
        <w:right w:val="none" w:sz="0" w:space="0" w:color="auto"/>
      </w:divBdr>
    </w:div>
    <w:div w:id="2048022369">
      <w:bodyDiv w:val="1"/>
      <w:marLeft w:val="0"/>
      <w:marRight w:val="0"/>
      <w:marTop w:val="0"/>
      <w:marBottom w:val="0"/>
      <w:divBdr>
        <w:top w:val="none" w:sz="0" w:space="0" w:color="auto"/>
        <w:left w:val="none" w:sz="0" w:space="0" w:color="auto"/>
        <w:bottom w:val="none" w:sz="0" w:space="0" w:color="auto"/>
        <w:right w:val="none" w:sz="0" w:space="0" w:color="auto"/>
      </w:divBdr>
    </w:div>
    <w:div w:id="2048293044">
      <w:bodyDiv w:val="1"/>
      <w:marLeft w:val="0"/>
      <w:marRight w:val="0"/>
      <w:marTop w:val="0"/>
      <w:marBottom w:val="0"/>
      <w:divBdr>
        <w:top w:val="none" w:sz="0" w:space="0" w:color="auto"/>
        <w:left w:val="none" w:sz="0" w:space="0" w:color="auto"/>
        <w:bottom w:val="none" w:sz="0" w:space="0" w:color="auto"/>
        <w:right w:val="none" w:sz="0" w:space="0" w:color="auto"/>
      </w:divBdr>
    </w:div>
    <w:div w:id="2049988366">
      <w:bodyDiv w:val="1"/>
      <w:marLeft w:val="0"/>
      <w:marRight w:val="0"/>
      <w:marTop w:val="0"/>
      <w:marBottom w:val="0"/>
      <w:divBdr>
        <w:top w:val="none" w:sz="0" w:space="0" w:color="auto"/>
        <w:left w:val="none" w:sz="0" w:space="0" w:color="auto"/>
        <w:bottom w:val="none" w:sz="0" w:space="0" w:color="auto"/>
        <w:right w:val="none" w:sz="0" w:space="0" w:color="auto"/>
      </w:divBdr>
    </w:div>
    <w:div w:id="2052877658">
      <w:bodyDiv w:val="1"/>
      <w:marLeft w:val="0"/>
      <w:marRight w:val="0"/>
      <w:marTop w:val="0"/>
      <w:marBottom w:val="0"/>
      <w:divBdr>
        <w:top w:val="none" w:sz="0" w:space="0" w:color="auto"/>
        <w:left w:val="none" w:sz="0" w:space="0" w:color="auto"/>
        <w:bottom w:val="none" w:sz="0" w:space="0" w:color="auto"/>
        <w:right w:val="none" w:sz="0" w:space="0" w:color="auto"/>
      </w:divBdr>
    </w:div>
    <w:div w:id="2074769927">
      <w:bodyDiv w:val="1"/>
      <w:marLeft w:val="0"/>
      <w:marRight w:val="0"/>
      <w:marTop w:val="0"/>
      <w:marBottom w:val="0"/>
      <w:divBdr>
        <w:top w:val="none" w:sz="0" w:space="0" w:color="auto"/>
        <w:left w:val="none" w:sz="0" w:space="0" w:color="auto"/>
        <w:bottom w:val="none" w:sz="0" w:space="0" w:color="auto"/>
        <w:right w:val="none" w:sz="0" w:space="0" w:color="auto"/>
      </w:divBdr>
    </w:div>
    <w:div w:id="2115707102">
      <w:bodyDiv w:val="1"/>
      <w:marLeft w:val="0"/>
      <w:marRight w:val="0"/>
      <w:marTop w:val="0"/>
      <w:marBottom w:val="0"/>
      <w:divBdr>
        <w:top w:val="none" w:sz="0" w:space="0" w:color="auto"/>
        <w:left w:val="none" w:sz="0" w:space="0" w:color="auto"/>
        <w:bottom w:val="none" w:sz="0" w:space="0" w:color="auto"/>
        <w:right w:val="none" w:sz="0" w:space="0" w:color="auto"/>
      </w:divBdr>
      <w:divsChild>
        <w:div w:id="1419790751">
          <w:marLeft w:val="0"/>
          <w:marRight w:val="0"/>
          <w:marTop w:val="0"/>
          <w:marBottom w:val="0"/>
          <w:divBdr>
            <w:top w:val="none" w:sz="0" w:space="0" w:color="auto"/>
            <w:left w:val="none" w:sz="0" w:space="0" w:color="auto"/>
            <w:bottom w:val="none" w:sz="0" w:space="0" w:color="auto"/>
            <w:right w:val="none" w:sz="0" w:space="0" w:color="auto"/>
          </w:divBdr>
          <w:divsChild>
            <w:div w:id="141044594">
              <w:marLeft w:val="0"/>
              <w:marRight w:val="0"/>
              <w:marTop w:val="0"/>
              <w:marBottom w:val="0"/>
              <w:divBdr>
                <w:top w:val="none" w:sz="0" w:space="0" w:color="auto"/>
                <w:left w:val="none" w:sz="0" w:space="0" w:color="auto"/>
                <w:bottom w:val="none" w:sz="0" w:space="0" w:color="auto"/>
                <w:right w:val="none" w:sz="0" w:space="0" w:color="auto"/>
              </w:divBdr>
              <w:divsChild>
                <w:div w:id="1168906792">
                  <w:marLeft w:val="0"/>
                  <w:marRight w:val="0"/>
                  <w:marTop w:val="0"/>
                  <w:marBottom w:val="0"/>
                  <w:divBdr>
                    <w:top w:val="none" w:sz="0" w:space="0" w:color="auto"/>
                    <w:left w:val="none" w:sz="0" w:space="0" w:color="auto"/>
                    <w:bottom w:val="none" w:sz="0" w:space="0" w:color="auto"/>
                    <w:right w:val="none" w:sz="0" w:space="0" w:color="auto"/>
                  </w:divBdr>
                  <w:divsChild>
                    <w:div w:id="581110506">
                      <w:marLeft w:val="0"/>
                      <w:marRight w:val="0"/>
                      <w:marTop w:val="0"/>
                      <w:marBottom w:val="0"/>
                      <w:divBdr>
                        <w:top w:val="none" w:sz="0" w:space="0" w:color="auto"/>
                        <w:left w:val="none" w:sz="0" w:space="0" w:color="auto"/>
                        <w:bottom w:val="none" w:sz="0" w:space="0" w:color="auto"/>
                        <w:right w:val="none" w:sz="0" w:space="0" w:color="auto"/>
                      </w:divBdr>
                      <w:divsChild>
                        <w:div w:id="450519728">
                          <w:marLeft w:val="0"/>
                          <w:marRight w:val="0"/>
                          <w:marTop w:val="0"/>
                          <w:marBottom w:val="0"/>
                          <w:divBdr>
                            <w:top w:val="none" w:sz="0" w:space="0" w:color="auto"/>
                            <w:left w:val="none" w:sz="0" w:space="0" w:color="auto"/>
                            <w:bottom w:val="none" w:sz="0" w:space="0" w:color="auto"/>
                            <w:right w:val="none" w:sz="0" w:space="0" w:color="auto"/>
                          </w:divBdr>
                          <w:divsChild>
                            <w:div w:id="1626741589">
                              <w:marLeft w:val="0"/>
                              <w:marRight w:val="0"/>
                              <w:marTop w:val="0"/>
                              <w:marBottom w:val="0"/>
                              <w:divBdr>
                                <w:top w:val="none" w:sz="0" w:space="0" w:color="auto"/>
                                <w:left w:val="none" w:sz="0" w:space="0" w:color="auto"/>
                                <w:bottom w:val="none" w:sz="0" w:space="0" w:color="auto"/>
                                <w:right w:val="none" w:sz="0" w:space="0" w:color="auto"/>
                              </w:divBdr>
                              <w:divsChild>
                                <w:div w:id="9394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224380">
      <w:bodyDiv w:val="1"/>
      <w:marLeft w:val="0"/>
      <w:marRight w:val="0"/>
      <w:marTop w:val="0"/>
      <w:marBottom w:val="0"/>
      <w:divBdr>
        <w:top w:val="none" w:sz="0" w:space="0" w:color="auto"/>
        <w:left w:val="none" w:sz="0" w:space="0" w:color="auto"/>
        <w:bottom w:val="none" w:sz="0" w:space="0" w:color="auto"/>
        <w:right w:val="none" w:sz="0" w:space="0" w:color="auto"/>
      </w:divBdr>
    </w:div>
    <w:div w:id="2131624713">
      <w:bodyDiv w:val="1"/>
      <w:marLeft w:val="0"/>
      <w:marRight w:val="0"/>
      <w:marTop w:val="0"/>
      <w:marBottom w:val="0"/>
      <w:divBdr>
        <w:top w:val="none" w:sz="0" w:space="0" w:color="auto"/>
        <w:left w:val="none" w:sz="0" w:space="0" w:color="auto"/>
        <w:bottom w:val="none" w:sz="0" w:space="0" w:color="auto"/>
        <w:right w:val="none" w:sz="0" w:space="0" w:color="auto"/>
      </w:divBdr>
    </w:div>
    <w:div w:id="21366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lada.cz/cz/ppov/vvzpo/dokumenty/zprava-o-plneni-opatreni-narodniho-planu-vytvareni-rovnych-prilezitosti-pro-osoby-se-zdravotnim-postizenim-na-obdobi-2010-2014-v-roce-2012-110987/" TargetMode="External"/><Relationship Id="rId21" Type="http://schemas.openxmlformats.org/officeDocument/2006/relationships/footer" Target="footer3.xml"/><Relationship Id="rId42" Type="http://schemas.openxmlformats.org/officeDocument/2006/relationships/hyperlink" Target="http://portal.cenia.cz/eiasea/view/eia100_cr" TargetMode="External"/><Relationship Id="rId47" Type="http://schemas.openxmlformats.org/officeDocument/2006/relationships/hyperlink" Target="http://databaze-strategie.cz/cz/mpo/strategie/narodni-akcni-plan-cr-pro-energii-z-obnovitelnych-zdroju-2010-2020" TargetMode="External"/><Relationship Id="rId63" Type="http://schemas.openxmlformats.org/officeDocument/2006/relationships/hyperlink" Target="http://www.hzscr.cz/clanek/krizovy-plan-jihoceskeho-kraje.aspx" TargetMode="External"/><Relationship Id="rId68" Type="http://schemas.openxmlformats.org/officeDocument/2006/relationships/hyperlink" Target="http://www.ikse-mkol.org/index.php?id=513&amp;L=1" TargetMode="External"/><Relationship Id="rId16" Type="http://schemas.openxmlformats.org/officeDocument/2006/relationships/hyperlink" Target="http://eur-lex.europa.eu/LexUriServ/LexUriServ.do?uri=CELEX:32004L0035:CS:NOT" TargetMode="External"/><Relationship Id="rId11" Type="http://schemas.openxmlformats.org/officeDocument/2006/relationships/image" Target="media/image1.jpeg"/><Relationship Id="rId24" Type="http://schemas.openxmlformats.org/officeDocument/2006/relationships/hyperlink" Target="http://www.mpsv.cz/cs/12152" TargetMode="External"/><Relationship Id="rId32" Type="http://schemas.openxmlformats.org/officeDocument/2006/relationships/hyperlink" Target="http://www.portal-vz.cz/cs/Jak-na-zadavani-verejnych-zakazek/Metodiky-stanoviska/Metodicke-pokyny" TargetMode="External"/><Relationship Id="rId37" Type="http://schemas.openxmlformats.org/officeDocument/2006/relationships/hyperlink" Target="http://www.uohs.cz/cs/verejna-podpora/akuality-z-verejne-podpory.html" TargetMode="External"/><Relationship Id="rId40" Type="http://schemas.openxmlformats.org/officeDocument/2006/relationships/hyperlink" Target="http://portal.cenia.cz/eiasea/static/eia_legislativa" TargetMode="External"/><Relationship Id="rId45" Type="http://schemas.openxmlformats.org/officeDocument/2006/relationships/hyperlink" Target="http://portal.cenia.cz/eiasea/view/eia100_cr" TargetMode="External"/><Relationship Id="rId53" Type="http://schemas.openxmlformats.org/officeDocument/2006/relationships/hyperlink" Target="http://www.mzp.cz/cz/plany_oblasti_povodi" TargetMode="External"/><Relationship Id="rId58" Type="http://schemas.openxmlformats.org/officeDocument/2006/relationships/hyperlink" Target="http://www.hzscr.cz/clanek/vzdelavani-v-oblasti-krizoveho-rizeni.aspx" TargetMode="External"/><Relationship Id="rId66" Type="http://schemas.openxmlformats.org/officeDocument/2006/relationships/hyperlink" Target="http://www.c-budejovice.cz/cz/mesto/krizove-rizeni/stranky/krizova-dokumentace-a-plany.aspx" TargetMode="External"/><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krizport.firebrno.cz/dokumenty/zasady-pro-pripravu-a-provedeni-cviceni-organu-krizoveho" TargetMode="External"/><Relationship Id="rId1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http://www.vlada.cz/cz/ppov/vvzpo/dokumenty/narodni-plan-vytvareni-rovnych-prilezitosti-pro-osoby-se-zdravotnim-postizenim-na-obdobi-2010---2014-70026/" TargetMode="External"/><Relationship Id="rId30" Type="http://schemas.openxmlformats.org/officeDocument/2006/relationships/hyperlink" Target="http://www.strukturalni-fondy.cz/cs/Fondy-EU/Narodni-organ-pro-koordinaci/Dokumenty" TargetMode="External"/><Relationship Id="rId35" Type="http://schemas.openxmlformats.org/officeDocument/2006/relationships/hyperlink" Target="http://www.mmr.cz/cs/Verejne-zakazky/Verejne-zakazky-a-PPP/Informace-Udalosti/Konference-Pripravovane-zmeny-v-oblasti-verejneho" TargetMode="External"/><Relationship Id="rId43" Type="http://schemas.openxmlformats.org/officeDocument/2006/relationships/hyperlink" Target="http://portal.cenia.cz/eiasea/view/SEA100_koncepce" TargetMode="External"/><Relationship Id="rId48" Type="http://schemas.openxmlformats.org/officeDocument/2006/relationships/hyperlink" Target="http://www.mzp.cz/cz/mapy_povodnoveho_nebezpeci_rizik_odkaz" TargetMode="External"/><Relationship Id="rId56" Type="http://schemas.openxmlformats.org/officeDocument/2006/relationships/hyperlink" Target="http://hydro.chmi.cz/hpps/" TargetMode="External"/><Relationship Id="rId64" Type="http://schemas.openxmlformats.org/officeDocument/2006/relationships/hyperlink" Target="http://www.hzscr.cz/clanek/dokumentace-havarijni-a-krizove-pripravenosti.aspx" TargetMode="External"/><Relationship Id="rId69" Type="http://schemas.openxmlformats.org/officeDocument/2006/relationships/hyperlink" Target="http://www.mkoo.pl/show.php?fid=2808&amp;lang=CZ" TargetMode="External"/><Relationship Id="rId77" Type="http://schemas.openxmlformats.org/officeDocument/2006/relationships/customXml" Target="../customXml/item5.xml"/><Relationship Id="rId8" Type="http://schemas.openxmlformats.org/officeDocument/2006/relationships/webSettings" Target="webSettings.xml"/><Relationship Id="rId51" Type="http://schemas.openxmlformats.org/officeDocument/2006/relationships/hyperlink" Target="http://www.mkoo.pl/show.php?fid=2808&amp;lang=CZ" TargetMode="External"/><Relationship Id="rId72" Type="http://schemas.openxmlformats.org/officeDocument/2006/relationships/hyperlink" Target="http://www.mzp.cz/C1257458002F0DC7/cz/plan_hlavnich_povodi/$FILE/OOV-PHP-20070523.pdf"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eur-lex.europa.eu/LexUriServ/LexUriServ.do?uri=CELEX:32004L0035:CS:NOT" TargetMode="External"/><Relationship Id="rId25" Type="http://schemas.openxmlformats.org/officeDocument/2006/relationships/hyperlink" Target="http://www.vlada.cz/cz/ppov/vvzpo/dokumenty/narodni-plan-vytvareni-rovnych-prilezitosti-pro-osoby-se-zdravotnim-postizenim-na-obdobi-2010---2014-70026/" TargetMode="External"/><Relationship Id="rId33" Type="http://schemas.openxmlformats.org/officeDocument/2006/relationships/hyperlink" Target="http://www.vestnikverejnychzakazek.cz/" TargetMode="External"/><Relationship Id="rId38" Type="http://schemas.openxmlformats.org/officeDocument/2006/relationships/hyperlink" Target="http://www.vzdelavaninsrr.cz/" TargetMode="External"/><Relationship Id="rId46" Type="http://schemas.openxmlformats.org/officeDocument/2006/relationships/hyperlink" Target="http://portal.cenia.cz/eiasea/view/SEA100_koncepce" TargetMode="External"/><Relationship Id="rId59" Type="http://schemas.openxmlformats.org/officeDocument/2006/relationships/hyperlink" Target="http://www.hzscr.cz/clanek/dokumenty-ke-stazeni.aspx" TargetMode="External"/><Relationship Id="rId67" Type="http://schemas.openxmlformats.org/officeDocument/2006/relationships/hyperlink" Target="http://www.icpdr.org/participate/danube_river_basin_management_plan" TargetMode="External"/><Relationship Id="rId20" Type="http://schemas.openxmlformats.org/officeDocument/2006/relationships/header" Target="header2.xml"/><Relationship Id="rId41" Type="http://schemas.openxmlformats.org/officeDocument/2006/relationships/hyperlink" Target="http://www.mzp.cz/cz/posuzovani_vlivu_zivotni_prostredi" TargetMode="External"/><Relationship Id="rId54" Type="http://schemas.openxmlformats.org/officeDocument/2006/relationships/hyperlink" Target="http://www.hzscr.cz/clanek/ochrana-obyvatelstva-v-ceske-republice.aspx" TargetMode="External"/><Relationship Id="rId62" Type="http://schemas.openxmlformats.org/officeDocument/2006/relationships/hyperlink" Target="http://portal.chmi.cz/portal/dt?portal_lang=cs&amp;menu=JSPTabContainer/P4_Historicka_data/P4_1_Pocasi/P4_1_10_Zmena_klimatu/P4_1_10_6_Projekt_VaV&amp;last=false" TargetMode="External"/><Relationship Id="rId70" Type="http://schemas.openxmlformats.org/officeDocument/2006/relationships/hyperlink" Target="http://eagri.cz/public/web/file/32725/PHP_anglicky_web.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eur-lex.europa.eu/LexUriServ/LexUriServ.do?uri=CELEX:32004L0035:CS:NOT" TargetMode="External"/><Relationship Id="rId23" Type="http://schemas.openxmlformats.org/officeDocument/2006/relationships/hyperlink" Target="http://www.ochrance.cz/en/discrimination/" TargetMode="External"/><Relationship Id="rId28" Type="http://schemas.openxmlformats.org/officeDocument/2006/relationships/hyperlink" Target="http://www.portal-vz.cz/cs/Jak-na-zadavani-verejnych-zakazek/Legislativa-a-Judikatura/Legislativa/Narodni-legislativa-aktualni-a-uplne-zneni-z-(1)" TargetMode="External"/><Relationship Id="rId36" Type="http://schemas.openxmlformats.org/officeDocument/2006/relationships/hyperlink" Target="http://www.uohs.cz/cs/legislativa/verejna-podpora.html" TargetMode="External"/><Relationship Id="rId49" Type="http://schemas.openxmlformats.org/officeDocument/2006/relationships/hyperlink" Target="http://www.icpdr.org/participate/danube_river_basin_management_plan" TargetMode="External"/><Relationship Id="rId57" Type="http://schemas.openxmlformats.org/officeDocument/2006/relationships/hyperlink" Target="http://www.meteoalarm.eu/" TargetMode="External"/><Relationship Id="rId10" Type="http://schemas.openxmlformats.org/officeDocument/2006/relationships/endnotes" Target="endnotes.xml"/><Relationship Id="rId31" Type="http://schemas.openxmlformats.org/officeDocument/2006/relationships/hyperlink" Target="http://www.portal-vz.cz/cs/Jak-na-zadavani-verejnych-zakazek/Legislativa-a-Judikatura/Legislativa/Narodni-legislativa-aktualni-a-uplne-zneni-z-(1)" TargetMode="External"/><Relationship Id="rId44" Type="http://schemas.openxmlformats.org/officeDocument/2006/relationships/hyperlink" Target="http://www.mzp.cz/cz/posuzovani_vlivu_zivotni_prostredi" TargetMode="External"/><Relationship Id="rId52" Type="http://schemas.openxmlformats.org/officeDocument/2006/relationships/hyperlink" Target="http://www.mzp.cz/cz/plany_narodnich_casti_mezinarodnich_povodi" TargetMode="External"/><Relationship Id="rId60" Type="http://schemas.openxmlformats.org/officeDocument/2006/relationships/hyperlink" Target="http://krizport.firebrno.cz/dokumenty/seznam-prehled-metodik-pro-analyzu-rizik" TargetMode="External"/><Relationship Id="rId65" Type="http://schemas.openxmlformats.org/officeDocument/2006/relationships/hyperlink" Target="http://www.olomouc.eu/obcan/bezpecnost/krizove-rizeni/krizovy-plan" TargetMode="External"/><Relationship Id="rId73" Type="http://schemas.openxmlformats.org/officeDocument/2006/relationships/hyperlink" Target="http://www.mzp.cz/cz/plany_oblasti_povodi" TargetMode="External"/><Relationship Id="rId78" Type="http://schemas.openxmlformats.org/officeDocument/2006/relationships/customXml" Target="../customXml/item6.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eur-lex.europa.eu/LexUriServ/LexUriServ.do?uri=CELEX:32004L0035:CS:NOT" TargetMode="External"/><Relationship Id="rId39" Type="http://schemas.openxmlformats.org/officeDocument/2006/relationships/hyperlink" Target="http://portal.cenia.cz/eiasea/static/sea_legislativa" TargetMode="External"/><Relationship Id="rId34" Type="http://schemas.openxmlformats.org/officeDocument/2006/relationships/hyperlink" Target="http://www.portal-vz.cz/cs/Aktuality/Informace-k-postupu-pri-uverejnovani-v-souvislosti" TargetMode="External"/><Relationship Id="rId50" Type="http://schemas.openxmlformats.org/officeDocument/2006/relationships/hyperlink" Target="http://www.ikse-mkol.org/index.php?id=513&amp;L=1" TargetMode="External"/><Relationship Id="rId55" Type="http://schemas.openxmlformats.org/officeDocument/2006/relationships/hyperlink" Target="http://portal.chmi.cz/files/portal/docs/meteo/om/sivs/sivs.html" TargetMode="External"/><Relationship Id="rId76" Type="http://schemas.openxmlformats.org/officeDocument/2006/relationships/customXml" Target="../customXml/item4.xml"/><Relationship Id="rId7" Type="http://schemas.openxmlformats.org/officeDocument/2006/relationships/settings" Target="settings.xml"/><Relationship Id="rId71" Type="http://schemas.openxmlformats.org/officeDocument/2006/relationships/hyperlink" Target="http://www.mzp.cz/cz/plany_narodnich_casti_mezinarodnich_povodi" TargetMode="External"/><Relationship Id="rId2" Type="http://schemas.openxmlformats.org/officeDocument/2006/relationships/customXml" Target="../customXml/item2.xml"/><Relationship Id="rId29" Type="http://schemas.openxmlformats.org/officeDocument/2006/relationships/hyperlink" Target="http://www.portal-vz.cz/cs/Jak-na-zadavani-verejnych-zakazek/Metodiky-stanovisk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64239D97487854F9179C7D6EE52A648" ma:contentTypeVersion="1" ma:contentTypeDescription="Vytvořit nový dokument" ma:contentTypeScope="" ma:versionID="07b78027cd1df4b56a1bea7e17a7247c">
  <xsd:schema xmlns:xsd="http://www.w3.org/2001/XMLSchema" xmlns:p="http://schemas.microsoft.com/office/2006/metadata/properties" xmlns:ns1="http://schemas.microsoft.com/sharepoint/v3" targetNamespace="http://schemas.microsoft.com/office/2006/metadata/properties" ma:root="true" ma:fieldsID="6e8f2fbf05d5d058d7bc4be0becb4e5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16196286-3B85-4425-997F-AD099B0FE93F}"/>
</file>

<file path=customXml/itemProps3.xml><?xml version="1.0" encoding="utf-8"?>
<ds:datastoreItem xmlns:ds="http://schemas.openxmlformats.org/officeDocument/2006/customXml" ds:itemID="{2C66C959-6682-4F0E-93B1-205C5ECFF1CB}"/>
</file>

<file path=customXml/itemProps4.xml><?xml version="1.0" encoding="utf-8"?>
<ds:datastoreItem xmlns:ds="http://schemas.openxmlformats.org/officeDocument/2006/customXml" ds:itemID="{1CBD6505-1802-4210-A1C1-1F69870C8EB3}"/>
</file>

<file path=customXml/itemProps5.xml><?xml version="1.0" encoding="utf-8"?>
<ds:datastoreItem xmlns:ds="http://schemas.openxmlformats.org/officeDocument/2006/customXml" ds:itemID="{3011700D-E22C-464F-AD1C-67AC70D6E59C}"/>
</file>

<file path=customXml/itemProps6.xml><?xml version="1.0" encoding="utf-8"?>
<ds:datastoreItem xmlns:ds="http://schemas.openxmlformats.org/officeDocument/2006/customXml" ds:itemID="{72764BF9-EF75-42FF-AAD0-D60EC7B5DC5F}"/>
</file>

<file path=docProps/app.xml><?xml version="1.0" encoding="utf-8"?>
<Properties xmlns="http://schemas.openxmlformats.org/officeDocument/2006/extended-properties" xmlns:vt="http://schemas.openxmlformats.org/officeDocument/2006/docPropsVTypes">
  <Template>Normal</Template>
  <TotalTime>311</TotalTime>
  <Pages>216</Pages>
  <Words>56685</Words>
  <Characters>334443</Characters>
  <Application>Microsoft Office Word</Application>
  <DocSecurity>0</DocSecurity>
  <Lines>2787</Lines>
  <Paragraphs>780</Paragraphs>
  <ScaleCrop>false</ScaleCrop>
  <HeadingPairs>
    <vt:vector size="2" baseType="variant">
      <vt:variant>
        <vt:lpstr>Název</vt:lpstr>
      </vt:variant>
      <vt:variant>
        <vt:i4>1</vt:i4>
      </vt:variant>
    </vt:vector>
  </HeadingPairs>
  <TitlesOfParts>
    <vt:vector size="1" baseType="lpstr">
      <vt:lpstr>Operační program Životní prostředí            2014-2020</vt:lpstr>
    </vt:vector>
  </TitlesOfParts>
  <Company>Ministerstvo životního prostředí</Company>
  <LinksUpToDate>false</LinksUpToDate>
  <CharactersWithSpaces>390348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Operační program Životní prostředí            2014-2020</dc:title>
  <dc:subject>Verze 5-po MPŘ</dc:subject>
  <dc:creator>Verze 3.0 (pracovní verze pro NM)</dc:creator>
  <cp:keywords/>
  <dc:description/>
  <cp:lastModifiedBy>user</cp:lastModifiedBy>
  <cp:revision>127</cp:revision>
  <cp:lastPrinted>2014-06-19T09:42:00Z</cp:lastPrinted>
  <dcterms:created xsi:type="dcterms:W3CDTF">2014-07-02T13:54:00Z</dcterms:created>
  <dcterms:modified xsi:type="dcterms:W3CDTF">2014-07-04T08:56:00Z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-1180725294</vt:i4>
  </property>
  <property fmtid="{D5CDD505-2E9C-101B-9397-08002B2CF9AE}" pid="3" name="ContentTypeId">
    <vt:lpwstr>0x010100664239D97487854F9179C7D6EE52A648</vt:lpwstr>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